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27" w:rsidRDefault="0057462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Понятие и место валютного права России.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Сергей Соловьев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настоящего времени теорией валютного права в России никто не занимался. Первая и последняя работа, затронувшая данную тему, появилась в 2000 году, подготовленная тремя авторами Б.Ю Дорофеевым, Н.Н. Земцовым и В.А. Пушиным </w:t>
      </w:r>
      <w:r>
        <w:rPr>
          <w:color w:val="000000"/>
          <w:sz w:val="24"/>
          <w:szCs w:val="24"/>
          <w:vertAlign w:val="superscript"/>
        </w:rPr>
        <w:t>[35]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считают, что правовым фундаментом валютного права являются цивилистические и гуманитарные идеи и принципы об имущественных сделках и обязательствах, свободе договора, соблюдении и реализации прав и свобод человека, имущественных прав хозяйствующего субъекта, ответственности за правонарушения, а также публично-правовые идеи об императивном методе регулирования, установлении обязанностей и мер ответственности </w:t>
      </w:r>
      <w:r>
        <w:rPr>
          <w:color w:val="000000"/>
          <w:sz w:val="24"/>
          <w:szCs w:val="24"/>
          <w:vertAlign w:val="superscript"/>
        </w:rPr>
        <w:t>[36]</w:t>
      </w:r>
      <w:r>
        <w:rPr>
          <w:color w:val="000000"/>
          <w:sz w:val="24"/>
          <w:szCs w:val="24"/>
        </w:rPr>
        <w:t>. Мне думается, что правовой основой валютного права России должен быть Гражданский кодекс РФ и принятый в соответствии с ним закон о валютном регулировании и валютном контроле, определяющий виды имущества, признаваемого валютными ценностями, а также порядок и условия совершения сделок с ними.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Источниками валютного права России они считают международный опыт и практику валютного регулирования и валютного контроля, международные соглашения России (в частности, Соглашение МВФ), выполнение задач и функций государства по защите национальной валюты, экономических интересов резидентов РФ.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международного опыта и практики валютного регулирования и валютного контроля то их ещё можно посчитать идеологическими источниками валютного права России. Однако, выполнение задач и функций государства по защите национальной валюты и экономических интересов резидентов РФ источником права быть не может. В настоящее время источниками валютного права России являются Гражданский кодекс РФ, в частности стт. 141 и 317, закон "О валютном регулировании и валютном контроле" 1992 года, и Договор о МВФ </w:t>
      </w:r>
      <w:r>
        <w:rPr>
          <w:color w:val="000000"/>
          <w:sz w:val="24"/>
          <w:szCs w:val="24"/>
          <w:vertAlign w:val="superscript"/>
        </w:rPr>
        <w:t>[37]</w:t>
      </w:r>
      <w:r>
        <w:rPr>
          <w:color w:val="000000"/>
          <w:sz w:val="24"/>
          <w:szCs w:val="24"/>
        </w:rPr>
        <w:t>, в части обязательств, принятых на себя Российской Федерацией.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утверждению авторов "валютное право является самостоятельной отраслью права, представляющая систему норм, регулирующих общественные отношения в сфере совершения валютных операций, а также в сфере валютного контроля и ответственности за валютные правонарушения.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Объектами валютного права выступают: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валютные операции; 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юридические действия (акты и поступки), вытекающие из владения, пользования и распоряжения валютными ценностями (например, нормы о порядке оформления и учёта валютно-обменных операций); 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процессуальные отношения по применению норм права (лицензирование валютных операций, порядок применения ответственности за валютные правонарушения).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Субъекты валютного права: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физические лица, юридические лица; 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резиденты, нерезиденты; 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органы валютного регулирования, органы валютного контроля, агенты валютного контроля; 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уполномоченные банки, клиенты уполномоченных банков.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 регулирования – в основном императивный (властно-централизованный, не допускающий отклонений и усмотрения субъектов), что позволяет отнести валютное законодательство к публично-правовой сфере" </w:t>
      </w:r>
      <w:r>
        <w:rPr>
          <w:color w:val="000000"/>
          <w:sz w:val="24"/>
          <w:szCs w:val="24"/>
          <w:vertAlign w:val="superscript"/>
        </w:rPr>
        <w:t>[38]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Считаем возможным определить валютное право как совокупность правовых норм, регулирующих общественные отношения, с сфере гражданского оборота валютных ценностей в Российской Федерации. К валютному праву РФ можно отнести нормы, определяющие валютные ценности как объект гражданских прав, порядок совершения сделок с валютными ценностями (валютных операций), нормы гражданского права о праве собственности и способах его защиты, нормы обязательственного права, нормы о недействительности сделок, нормы о ценных бумагах и остальные нормы, регулирующие гражданский оборот объектов гражданских прав. Валютное право – это структурный элемент гражданского (частного) права.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же авторы относят валютное законодательство к публично-правовой сфере, так как основной государственный орган валютного регулирования – Центральный банк РФ использует императивные методы регулирования, запрещает или устанавливает разрешительный порядок заключения сделок с валютными ценностями. Но от этого данные сделки не становятся публично-правовыми договорами. В ст.71 Конституции РФ при определении компетенции Российской Федерации валютное и кредитное регулирование упоминаются в одном пункте, а гражданское законодательство в другом. Но и это не означает, что это разные сферы, так как и валютное, и кредитное регулирование осуществляются в рамках гражданского законодательства.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Высказывается точка зрения, что валютное право выросло из административного, так как основной способ изложения норм в действующим законе о валютном регулировании и валютном контроле является бланкетным и основное нормативное регулирование осуществляется подзаконными актами </w:t>
      </w:r>
      <w:r>
        <w:rPr>
          <w:color w:val="000000"/>
          <w:sz w:val="24"/>
          <w:szCs w:val="24"/>
          <w:vertAlign w:val="superscript"/>
        </w:rPr>
        <w:t>[39]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Правовой вакуум, вызванный отсутствием нормального закона о валютном регулировании, и бланкетные нормы действующего закона о валютном регулировании являются недостатком законодательства. Но это не означает, что эта сфера общественных отношений должна регулироваться многочисленными, несистематизированными подзаконными актами государственного органа валютного регулирования – Центрального банка РФ, который не должен превышать свою компетенцию при регулировании этой сферы гражданского оборота, а действовать в рамках полномочий чётко определённых законом о валютном регулировании.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чётко разделять законодательство о внешнеэкономической деятельности и валютное законодательство, и, соответственно, не отождествлять государственный контроль за внешнеэкономической деятельностью и контроль за валютными операциями, осуществляемыми на территории Российской Федерации (валютный контроль). Эти 2 вида государственного контроля призваны решать разные задачи.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Нельзя согласиться с точкой зрения, что "статьи 140-141 Гражданского кодекса РФ переводят регулирование всех сделок с иностранной валютой в сферу валютного законодательства, в связи с чем применение гражданского законодательства в рассматриваемой сфере – в тех случаях, которые не урегулированы валютным законодательством иначе (согласно п.3 ст.2 ГК РФ гражданское законодательство к подобным отношениям не применяется, если иное не предусмотрено российским законодательством)" </w:t>
      </w:r>
      <w:r>
        <w:rPr>
          <w:color w:val="000000"/>
          <w:sz w:val="24"/>
          <w:szCs w:val="24"/>
          <w:vertAlign w:val="superscript"/>
        </w:rPr>
        <w:t>[40]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Статьи 140-141 ГК РФ не переводят регулирование сделок с валютными ценностями в сферу публичного права.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Н.В. Сапожников считает, что "правовое регулирование валютных операций осуществляется через установление правил их совершения, а именно последовательности определённых действий, направленных на возникновение, изменение и прекращение прав и обязанностей в отношении валютных ценностей.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правового регулирования валютных операций является создание эффективного механизма воздействия на участников валютных операций путём определения принципов осуществления валютных операций в Российской Федерации, полномочий и функций органов и агентов валютного контроля, прав и обязанностей юридических и физических лиц в отношении владения, пользования и распоряжения валютными ценностями, ответственности за нарушение валютного законодательства. Принципы правового регулирования валютных операций: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возможность участников валютных отношений совершать без специального разрешения (лицензии) уполномоченного на то государственного органа только валютные операции, исчерпывающе перечисленные в законодательстве;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возможность осуществления валютных операций только через уполномоченные банки или при их непосредственном участии;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жёсткий валютный контроль органов и агентов валютного контроля за соблюдением законодательства при осуществлении валютных операций." </w:t>
      </w:r>
      <w:r>
        <w:rPr>
          <w:color w:val="000000"/>
          <w:sz w:val="24"/>
          <w:szCs w:val="24"/>
          <w:vertAlign w:val="superscript"/>
        </w:rPr>
        <w:t>[41]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валютное законодательство – это часть гражданского законодательства, регулирующего оборот валютных ценностей.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Во-вторых, под валютным законодательством нельзя понимать подзаконные акты органов государственной власти, включая и Центрального банка РФ, так как гражданское законодательство состоит Гражданского кодекса РФ и принятых в соответствии с ним иных федеральных законов (п.2 ст. 3 ГК РФ). В соответствии с п.7 ст.3 ГК РФ "министерства и иные федеральные органы исполнительной власти могут издавать акты, содержащие нормы гражданского права, в случаях и пределах, предусмотренных Гражданским кодексом, другими законами и иными правовыми актами."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В-третьих, закон о валютном регулировании и валютном контроле регулирует имущественные отношения, связанные оборотом особого объекта - валютных ценностей, лишь в рамках полномочий, делегированных Гражданским кодексом РФ, по определению видов имущества, признаваемого валютными ценностями, установлению порядка совершения сделок с ними, а также порядка и условий использования иностранной валюты и платёжных документов в иностранной валюте при осуществлении расчётов на территории Российской Федерации. Этот закон не может регулировать имущественные отношения, определяющие недействительность сделок с валютными ценностями, право собственности на валютные ценности и способы его защиты и так далее.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В-четвёртых, в соответствии с п.3 ст. 2 ГК РФ "к имущественным отношениям, основанным на административном или ином властном подчинении одной стороны другой, в том числе к налоговым и другим финансовым и административным отношениям, гражданское законодательство не применяется, если иное не предусмотрено законодательством". Имущественные отношения, регулирующие оборот валютных ценностей, не основаны на властном подчинении. Это частно-правовые отношения, возникающие при обороте объектов гражданских прав. Юридическая природа данных правоотношений абсолютно иная по сравнению с бюджетными и налоговыми правоотношениями. Стороны при заключении сделок с валютными ценностями (валютных операций) являются равными субъектами, обладают автономией воли и имущественной самостоятельностью.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В-пятых, закон о валютном регулировании должен определять не принципы осуществления валютных операций в РФ, а порядок совершения валютных операций в РФ.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В-шестых, возможно осуществление валютных операций в РФ и без участия уполномоченных банков, что ранее мной уже было доказано.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Высказывается точка зрения, что особенностью валютного законодательства является изложение основной массы норм в подзаконных актах, что обуславливает непостоянство и бессистемность правовой основы внешнеэкономической и валютной деятельности. Существенные сведения разбросаны по десяткам и сотням постоянно изменяемых документов, ориентироваться в которых трудно даже специалистам </w:t>
      </w:r>
      <w:r>
        <w:rPr>
          <w:color w:val="000000"/>
          <w:sz w:val="24"/>
          <w:szCs w:val="24"/>
          <w:vertAlign w:val="superscript"/>
        </w:rPr>
        <w:t>[42]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представляется, что изложение основной массы норм в подзаконных актах является не особенностью, а недостатком действующего валютного и внешнеэкономического законодательства. Действующий закон о валютном регулировании 1992 года с той ролью, которая ему определена Гражданским кодексом РФ, не справляется, так как он содержит более двадцати отсылочных норм по тем вопросам, которые он и должен регулировать. Некоторые из действующих норм этого закона отменены Конституционным судом РФ. Этот пробел в гражданском законодательстве Центральный банк РФ заполнил своими несистематизированными, противоречащими друг другу более чем трёмястами нормативными актами. Для того чтобы разобраться в хаосе нормативных актов по вопросам валютного регулирования, исходящем от Центрального банка РФ, он издаёт в форме информационных сообщений обобщения практики их применения. В этих обобщениях практики применения своих же нормативных актов Центральный банк РФ в форме ответов на конкретные вопросы разъясняет то, как следует применять его нормативные акты.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для установления действующего порядка совершения сделок с валютными ценностями (валютных операций) и его анализа постараемся систематизировать эти нормативные акты Центрального банка. Но основной проблемой валютного законодательства является отсутствие нормального закона о валютном регулировании и валютном контроле, устанавливающего порядок совершения сделок с валютными ценностями, а также порядок и условия использования иностранной валюты и платёжных документов в иностранной валюте при осуществлении расчётов на территории РФ.</w:t>
      </w:r>
    </w:p>
    <w:p w:rsidR="00574627" w:rsidRDefault="0057462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Деление валютных операций на текущие и капитальные в РФ.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Деление валютных операций на текущие и капитальные имеет принципиальное значение, так как в соответствии с ст.6 закона о валютном регулировании текущие валютные операции осуществляются резидентами без ограничений, а валютные операции, связанные с движением капитала осуществляются резидентами в порядке, устанавливаемом Центральным банком РФ </w:t>
      </w:r>
      <w:r>
        <w:rPr>
          <w:color w:val="000000"/>
          <w:sz w:val="24"/>
          <w:szCs w:val="24"/>
          <w:vertAlign w:val="superscript"/>
        </w:rPr>
        <w:t>[43]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ст.1 закона о валютном регулировании закреплено следующее деление: "опеpации с иностpанной валютой и ценными бумагами в иностpанной валюте подpазделяются на текущие валютные опеpации и валютные опеpации, связанные с движением капитала.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Текущие валютные опеpации: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переводы в Российскую Федерацию и из Российской Федерации иностранной валюты для осуществления расчетов без отсрочки платежа по экспорту и импорту товаров (работ, услуг, результатов интеллектуальной деятельности), а также для осуществления расчетов, связанных с кредитованием экспортно-импортных операций на срок не более 90 дней;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получение и пpедоставление финансовых кpедитов на сpок не более 180 дней;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пеpеводы в Российскую Федеpацию и из Российской Федеpации пpоцентов, дивидендов и иных доходов по вкладам, инвестициям, кpедитам и пpочим опеpациям, связанным с движением капитала;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пеpеводы нетоpгового хаpактеpа в Российскую Федеpацию и из Российской Федеpации, включая пеpеводы сумм заpаботной платы, пенсии, алиментов, наследства, а также дpугие аналогичные опеpации.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Валютные опеpации, связанные с движением капитала: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пpямые инвестиции, то есть вложения в уставный капитал пpедпpиятия с целью извлечения дохода и получения пpав на участие в упpавлении пpедпpиятием;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поpтфельные инвестиции, то есть пpиобpетение ценных бумаг;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пеpеводы в оплату права собственности на здания, сооружения и иное имущество, включая землю и ее недра, относимое по законодательству страны его местонахождения к недвижимому имуществу, а также иных прав на недвижимость;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 предоставление и получение отсрочки платежа на срок более 90 дней по экспорту и импорту товаров (работ, услуг, результатов интеллектуальной деятельности);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пpедоставление и получение финансовых кpедитов на сpок более 180 дней;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е) все иные валютные опеpации, не являющиеся текущими валютными опеpациями."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означает, что сделки с иностранной валютой и ценными бумагами в иностранной валюте, подпадающие под критерии текущей валютной операции, можно совершать на территории Российской Федерации без получения разрешений и заключений о целесообразности. Остальные сделки с иностранной валютой и ценными бумагами в иностранной валюте на территории Российской Федерации нужно совершать в порядке, установленном Центральным банком РФ. Но в соответствии с ч.1 ст. 141 ГК РФ этот порядок должен быть установлен законом о валютном регулировании и валютном контроле, а не подзаконными актами Центрального банка РФ. До настоящего времени новый закон о валютном регулировании и валютном контроле не принят. Кроме того, с 31.12.1998 ужесточён критерий для сделок, признаваемых текущими валютными операциями, так срок для расчётов по экспортно-импортным операциям был уменьшен с 180 до 90 дней </w:t>
      </w:r>
      <w:r>
        <w:rPr>
          <w:color w:val="000000"/>
          <w:sz w:val="24"/>
          <w:szCs w:val="24"/>
          <w:vertAlign w:val="superscript"/>
        </w:rPr>
        <w:t>[44]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 практическое значение классификация валютных операций, предложенная Н.В. Сапожниковым: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проводимые на территории РФ; 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проводимые за пределами РФ; 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связанные с перемещением валютных ценностей через границу РФ </w:t>
      </w:r>
      <w:r>
        <w:rPr>
          <w:color w:val="000000"/>
          <w:sz w:val="24"/>
          <w:szCs w:val="24"/>
          <w:vertAlign w:val="superscript"/>
        </w:rPr>
        <w:t>[45]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СССР о валютном регулировании 1991 года все валютные операции делил на текущие и капитальные и определял текущие валютные опеpации следующим образом: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опеpации, связанные с куплей-пpодажей валютных ценностей, товаpов и услуг, pеализацией пpав на интеллектуальную собственность, pасчеты по котоpым осуществляются на условиях без отсpочки платежа, и не пpедполагающие пpедоставления или пpивлечения заемных сpедств;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пеpеводы сpедств за гpаницу и из-за гpаницы, пpоцентов, дивидендов и иных доходов от банковских вкладов, кpедитов, инвестиций и пpочих финансовых опеpаций;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пеpеводы сpедств нетоpгового хаpактеpа, включая пеpеводы заpплаты, пенсий, алиментов, наследства, и дpугие аналогичные опеpации </w:t>
      </w:r>
      <w:r>
        <w:rPr>
          <w:color w:val="000000"/>
          <w:sz w:val="24"/>
          <w:szCs w:val="24"/>
          <w:vertAlign w:val="superscript"/>
        </w:rPr>
        <w:t>[46]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Деление валютных операций на текущие и капитальные основано на Договоре о МВФ. Российская Федерация как государство-член МВФ приняла на себя обязательства государства-члена </w:t>
      </w:r>
      <w:r>
        <w:rPr>
          <w:color w:val="000000"/>
          <w:sz w:val="24"/>
          <w:szCs w:val="24"/>
          <w:vertAlign w:val="superscript"/>
        </w:rPr>
        <w:t>[47]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Деление валютных операций на текущие и капитальные в Договоре о МВФ.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Объяснение терминов, употребляемых в договоре, содержится в статье XXX договора о МВФ. В соответствии с пунктом "d" ст. XXX договора: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"Под платежами по текущим операциям понимаются платежи, которые производятся в целях, отличных от перевода капитала, и включают, без ограничений: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все платежи, подлежащие выплате в связи с ведением внешней торговли, иной текущей деятельности, включая услуги, а также в связи с работой обычных краткосрочных банковских и кредитных механизмов;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платежи, подлежащие выплате в форме процентов по ссудам и в форме чистого дохода от иных инвестиций;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выплаты умеренных сумм в счет погашения ссуд или в счет амортизации прямых инвестиций;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умеренные суммы частных переводов на текущие расходы семей из-за границы.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проведения консультаций с заинтересованными государствами - членами Фонд может установить, должны ли определенные операции относиться к текущим операциям или к операциям с капиталом." </w:t>
      </w:r>
      <w:r>
        <w:rPr>
          <w:color w:val="000000"/>
          <w:sz w:val="24"/>
          <w:szCs w:val="24"/>
          <w:vertAlign w:val="superscript"/>
        </w:rPr>
        <w:t>[48]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п. "а" раздела 2 ст. VIII этого же договора среди общих обязательств государств-членов установлена обязанность, что ни одно из государств-членов не может без одобрения Фонда вводить ограничения на платежы и переводы по текущим международным сделкам.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мировой практике признаётся, что "Бреттон-Вудское соглашение (Договор о МВФ) положило начало современным международным расчётам, международному движению капиталов и международному правовому сотрудничеству в валютной сфере" </w:t>
      </w:r>
      <w:r>
        <w:rPr>
          <w:color w:val="000000"/>
          <w:sz w:val="24"/>
          <w:szCs w:val="24"/>
          <w:vertAlign w:val="superscript"/>
        </w:rPr>
        <w:t>[49]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настоящему времени сложилась определённая практика применения норм этого договора; так, статья VIII, разд. 2(а) Договора о МВФ запрещает вводить валютные ограничения публично- и частно- правового характера. Торговые ограничения не подпадают под действие этой нормы. Не всегда просто обнаружить различие между правовыми ограничениями в валютной сфере и торговле. Согласно одному из решений Исполнительной дирекции Фонда, "чтобы определить, служит ли принимаемая мера для ограничения платежей и переводов по текущим сделкам согласно ст. VIII, разд. 2, ...необходимо выяснить, идёт ли речь о прямых государственных ограничениях в отношении обладания валютой или её использования".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решению Исполнительной дирекции, не имеет значения, принята данная мера с целью защиты платёжного баланса или нет. Решающим является сам факт воздействия на право распоряжения в целом и, соответственно, на конкретное использование платёжных средств. Отсюда следует, что импортные ограничения (включая и количественные) не являются таковыми в смысле ст. VIII, разд. 2(а) Договора о МВФ, если они устанавливают верхнюю границу платежа иностранному контрагенту. Не являются ограничениями в смысле ст. VIII разд. 2 (а) и постановления государств-членов, обязывающие местных экспортёров и импортёров страховать свои товары в национальных страховых обществах. Торговые ограничения не подпадают под действие ст. VIII, разд. 2 (а) Договора о МВФ и тех случаях, когда они направлены в первую очередь на поддержание валютной стабильности своей страны. Не подпадают под действие ст. VIII разд. 2 (а) и меры, обязывающие иностранные компании реинвестировать в стране часть полученной прибыли. Однако ст. VIII разд. 2 (а) противоречат меры, принятые каким-либо государством-членом МВФ с целью запрета местным компаниям выплачивать дивиденды иностранным акционерам, которые участвуют в этих компаниях в соответствии с законодательством этого государства.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Ограничениями в смысле ст. VIII разд. 2 (а) Договора о МВФ являются лишь такие меры, "которые ограничивают платежи и переводы по текущим международным сделкам". Меры пассивного контроля, такие как обязанность предоставлять властям статистические данные, не подпадают под понятие ограничений, если не делают невозможными текущие платежи и переводы, не затрудняют их чрезмерно и не ведут к неоправданным задержкам в их осуществлении.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Вернер Ф. Эбке предлагает признать текущими краткосрочные банковские и кредитные операции на срок до 12 месяцев </w:t>
      </w:r>
      <w:r>
        <w:rPr>
          <w:color w:val="000000"/>
          <w:sz w:val="24"/>
          <w:szCs w:val="24"/>
          <w:vertAlign w:val="superscript"/>
        </w:rPr>
        <w:t>[50]</w:t>
      </w:r>
      <w:r>
        <w:rPr>
          <w:color w:val="000000"/>
          <w:sz w:val="24"/>
          <w:szCs w:val="24"/>
        </w:rPr>
        <w:t>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Общепринятая мировая практика разделяет торговые ограничения внешнеэкономической деятельности и ограничения по текущим и капитальным операциям. В Российской Федерации такое разграничение не проводится. Так, в соответствии с обзором арбитражной практики Российской Федерации обязанность по продаже части валютной выручки, установленная указом Президента РФ от 14.06.1992 </w:t>
      </w:r>
      <w:r>
        <w:rPr>
          <w:color w:val="000000"/>
          <w:sz w:val="24"/>
          <w:szCs w:val="24"/>
          <w:vertAlign w:val="superscript"/>
        </w:rPr>
        <w:t>[51]</w:t>
      </w:r>
      <w:r>
        <w:rPr>
          <w:color w:val="000000"/>
          <w:sz w:val="24"/>
          <w:szCs w:val="24"/>
        </w:rPr>
        <w:t xml:space="preserve"> относится к валютному законодательству </w:t>
      </w:r>
      <w:r>
        <w:rPr>
          <w:color w:val="000000"/>
          <w:sz w:val="24"/>
          <w:szCs w:val="24"/>
          <w:vertAlign w:val="superscript"/>
        </w:rPr>
        <w:t>[52]</w:t>
      </w:r>
      <w:r>
        <w:rPr>
          <w:color w:val="000000"/>
          <w:sz w:val="24"/>
          <w:szCs w:val="24"/>
        </w:rPr>
        <w:t>. Хотя очевидно, что юридическая природа ограничений при осуществлении валютных операций и ограничений, связанных с внешнеэкономической деятельностью, является различной, несмотря на то, что в обоих случаях имеют место ограничения в правах на валютные ценности.</w:t>
      </w:r>
    </w:p>
    <w:p w:rsidR="00574627" w:rsidRDefault="0057462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[1]</w:t>
      </w:r>
      <w:r>
        <w:rPr>
          <w:color w:val="000000"/>
          <w:sz w:val="24"/>
          <w:szCs w:val="24"/>
        </w:rPr>
        <w:t xml:space="preserve"> Венедиктов А.В. Кодификация кредитного и валютного законодательства.- М., 1924.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[2]</w:t>
      </w:r>
      <w:r>
        <w:rPr>
          <w:color w:val="000000"/>
          <w:sz w:val="24"/>
          <w:szCs w:val="24"/>
        </w:rPr>
        <w:t xml:space="preserve"> Законы о деньгах и валютных операциях./ Под ред. проф. А.М. Винавера.- М., 1924.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[3]</w:t>
      </w:r>
      <w:r>
        <w:rPr>
          <w:color w:val="000000"/>
          <w:sz w:val="24"/>
          <w:szCs w:val="24"/>
        </w:rPr>
        <w:t xml:space="preserve"> Венедиктов А.В. Кодификация кредитного и валютного законодательства. С. 24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[4]</w:t>
      </w:r>
      <w:r>
        <w:rPr>
          <w:color w:val="000000"/>
          <w:sz w:val="24"/>
          <w:szCs w:val="24"/>
        </w:rPr>
        <w:t xml:space="preserve"> Данилова Е.Н. Советское торговое право.- Ленинград. 1925. С. 54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[5]</w:t>
      </w:r>
      <w:r>
        <w:rPr>
          <w:color w:val="000000"/>
          <w:sz w:val="24"/>
          <w:szCs w:val="24"/>
        </w:rPr>
        <w:t xml:space="preserve"> Декрет Совета Народных Комиссаров СССР от 06.02.1923 "Об Особом Валютном Совещании при Наркомфине СССР"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[6]</w:t>
      </w:r>
      <w:r>
        <w:rPr>
          <w:color w:val="000000"/>
          <w:sz w:val="24"/>
          <w:szCs w:val="24"/>
        </w:rPr>
        <w:t xml:space="preserve"> Декрет ВЦИК и СНК СССР от 15.02.1923 "О валютных операциях"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[7]</w:t>
      </w:r>
      <w:r>
        <w:rPr>
          <w:color w:val="000000"/>
          <w:sz w:val="24"/>
          <w:szCs w:val="24"/>
        </w:rPr>
        <w:t xml:space="preserve"> Гордон В.М. Система советского торгового права.- Харьков. 1927. С. 46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[8]</w:t>
      </w:r>
      <w:r>
        <w:rPr>
          <w:color w:val="000000"/>
          <w:sz w:val="24"/>
          <w:szCs w:val="24"/>
        </w:rPr>
        <w:t xml:space="preserve"> Законы о деньгах и валютных операциях./ Под ред. проф. А.М. Винавера.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[9]</w:t>
      </w:r>
      <w:r>
        <w:rPr>
          <w:color w:val="000000"/>
          <w:sz w:val="24"/>
          <w:szCs w:val="24"/>
        </w:rPr>
        <w:t xml:space="preserve"> Закон РФ "О валютном регулировании и валютном контроле" от 09.10.1992 № 3615-I с изм. 05.07.1999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[10]</w:t>
      </w:r>
      <w:r>
        <w:rPr>
          <w:color w:val="000000"/>
          <w:sz w:val="24"/>
          <w:szCs w:val="24"/>
        </w:rPr>
        <w:t xml:space="preserve"> Закон РФ "О драгоценных металлах и драгоценных камнях" от 26.03.1998 №41-ФЗ с изм. 31.05.1999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[11]</w:t>
      </w:r>
      <w:r>
        <w:rPr>
          <w:color w:val="000000"/>
          <w:sz w:val="24"/>
          <w:szCs w:val="24"/>
        </w:rPr>
        <w:t xml:space="preserve"> Письмо Центрального банка РФ от 26.05.2000 №б/н 3 "Обобщение практики применения нормативных актов Банка России по вопросам валютного регулирования"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[12]</w:t>
      </w:r>
      <w:r>
        <w:rPr>
          <w:color w:val="000000"/>
          <w:sz w:val="24"/>
          <w:szCs w:val="24"/>
        </w:rPr>
        <w:t xml:space="preserve"> Основные положения о регулировании валютных операций на территории СССР. Письмо ЦБ РФ от 24.05.1991 №352 с изм. 02.09.1994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[13]</w:t>
      </w:r>
      <w:r>
        <w:rPr>
          <w:color w:val="000000"/>
          <w:sz w:val="24"/>
          <w:szCs w:val="24"/>
        </w:rPr>
        <w:t xml:space="preserve"> Закон СССР от 01.03.91 №1982-1 "О валютном регулировании"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[14]</w:t>
      </w:r>
      <w:r>
        <w:rPr>
          <w:color w:val="000000"/>
          <w:sz w:val="24"/>
          <w:szCs w:val="24"/>
        </w:rPr>
        <w:t xml:space="preserve"> Закон РФ "О валютном регулировании и валютном контроле" от 09.10.1992 № 3615-I с изм. 05.07.1999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[15]</w:t>
      </w:r>
      <w:r>
        <w:rPr>
          <w:color w:val="000000"/>
          <w:sz w:val="24"/>
          <w:szCs w:val="24"/>
        </w:rPr>
        <w:t xml:space="preserve"> Информационное письмо Президиума Высшего арбитражного суда РФ от 31.05.2000 №52 "Обзор практики разрешения арбитражными судами споров, связанных с применением законодательства о валютном регулировании и валютном контроле"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[16]</w:t>
      </w:r>
      <w:r>
        <w:rPr>
          <w:color w:val="000000"/>
          <w:sz w:val="24"/>
          <w:szCs w:val="24"/>
        </w:rPr>
        <w:t xml:space="preserve"> Информационное сообщение Центрального банка РФ от 10.08.2000 №б/н 4 "Обобщение практики применения нормативных актов Банка России по вопросам валютного регулирования"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[17]</w:t>
      </w:r>
      <w:r>
        <w:rPr>
          <w:color w:val="000000"/>
          <w:sz w:val="24"/>
          <w:szCs w:val="24"/>
        </w:rPr>
        <w:t xml:space="preserve"> Харатян А.Ж. Валютные ценности как объекты гражданских прав. // "Право и экономика" 1997. №7-8 C.15.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[18]</w:t>
      </w:r>
      <w:r>
        <w:rPr>
          <w:color w:val="000000"/>
          <w:sz w:val="24"/>
          <w:szCs w:val="24"/>
        </w:rPr>
        <w:t xml:space="preserve"> Постановление Верховного Совета РФ от 22.05.1992 №2815-1 "О вступлении Российской Федерации в Международный валютный фонд, Международный банк реконструкции и развития и Международную ассоциацию развития"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[19]</w:t>
      </w:r>
      <w:r>
        <w:rPr>
          <w:color w:val="000000"/>
          <w:sz w:val="24"/>
          <w:szCs w:val="24"/>
        </w:rPr>
        <w:t xml:space="preserve"> Харатян А.Ж. Валютные ценности как объекты гражданских прав. // "Право и экономика" 1997. №7-8 C.15.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[20]</w:t>
      </w:r>
      <w:r>
        <w:rPr>
          <w:color w:val="000000"/>
          <w:sz w:val="24"/>
          <w:szCs w:val="24"/>
        </w:rPr>
        <w:t xml:space="preserve"> Закон СССР от 01.03.91 №1982-1 "О валютном регулировании"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[21]</w:t>
      </w:r>
      <w:r>
        <w:rPr>
          <w:color w:val="000000"/>
          <w:sz w:val="24"/>
          <w:szCs w:val="24"/>
        </w:rPr>
        <w:t xml:space="preserve"> Основные положения о регулировании валютных операций на территории СССР. Письмо ЦБ РФ от 24.05.1991 №352 с изм. 02.09.1994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[22]</w:t>
      </w:r>
      <w:r>
        <w:rPr>
          <w:color w:val="000000"/>
          <w:sz w:val="24"/>
          <w:szCs w:val="24"/>
        </w:rPr>
        <w:t xml:space="preserve"> Закон РФ от 29.12.1998 №192-ФЗ "О первоочередных мерах в области бюджетной и налоговой политики" с изм. 05.08.2000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[23]</w:t>
      </w:r>
      <w:r>
        <w:rPr>
          <w:color w:val="000000"/>
          <w:sz w:val="24"/>
          <w:szCs w:val="24"/>
        </w:rPr>
        <w:t xml:space="preserve"> Козырин А.Н. Валютный контроль внешнеэкономической деятельности.- М., 1998.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[24]</w:t>
      </w:r>
      <w:r>
        <w:rPr>
          <w:color w:val="000000"/>
          <w:sz w:val="24"/>
          <w:szCs w:val="24"/>
        </w:rPr>
        <w:t xml:space="preserve"> Сапожников Н.В. Валютные операции коммерческих банков.- М., 1999.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[25]</w:t>
      </w:r>
      <w:r>
        <w:rPr>
          <w:color w:val="000000"/>
          <w:sz w:val="24"/>
          <w:szCs w:val="24"/>
        </w:rPr>
        <w:t xml:space="preserve"> Общая теория денег и кредита. / Под ред. Е.Ф. Жукова.- М., 1995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[26]</w:t>
      </w:r>
      <w:r>
        <w:rPr>
          <w:color w:val="000000"/>
          <w:sz w:val="24"/>
          <w:szCs w:val="24"/>
        </w:rPr>
        <w:t xml:space="preserve"> Дорофеев Б.Ю., Земцов Н.Н., Пушин В.А. Валютное право России.- М., 2000. С. 6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[27]</w:t>
      </w:r>
      <w:r>
        <w:rPr>
          <w:color w:val="000000"/>
          <w:sz w:val="24"/>
          <w:szCs w:val="24"/>
        </w:rPr>
        <w:t xml:space="preserve"> Информационное сообщение Центрального банка РФ от 10.08.2000 №б/н 4 "Обобщение практики применения нормативных актов Банка России по вопросам валютного регулирования"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[28]</w:t>
      </w:r>
      <w:r>
        <w:rPr>
          <w:color w:val="000000"/>
          <w:sz w:val="24"/>
          <w:szCs w:val="24"/>
        </w:rPr>
        <w:t xml:space="preserve"> Инструкция ЦБ РФ и ГТК РФ от 13.10.1999 №86 и №01-23/26541 "О порядке осуществления валютного контроля за поступлением в Российскую Федерацию выручки от экспорта товаров"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[29]</w:t>
      </w:r>
      <w:r>
        <w:rPr>
          <w:color w:val="000000"/>
          <w:sz w:val="24"/>
          <w:szCs w:val="24"/>
        </w:rPr>
        <w:t xml:space="preserve"> Информационное сообщение Центрального банка РФ от 10.08.2000 №б/н 4 "Обобщение практики применения нормативных актов Банка России по вопросам валютного регулирования"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[30]</w:t>
      </w:r>
      <w:r>
        <w:rPr>
          <w:color w:val="000000"/>
          <w:sz w:val="24"/>
          <w:szCs w:val="24"/>
        </w:rPr>
        <w:t xml:space="preserve"> Указ Президента РФ от 21.11.1995 №1163 "О первоочередных мерах по усилению системы валютного контроля в Российской Федерации"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[31]</w:t>
      </w:r>
      <w:r>
        <w:rPr>
          <w:color w:val="000000"/>
          <w:sz w:val="24"/>
          <w:szCs w:val="24"/>
        </w:rPr>
        <w:t xml:space="preserve"> Инструкция ЦБ РФ и ГТК РФ от 26.07.1995 №30 и №01-20/10538 "О порядке осуществления валютного контроля за обоснованностью платежей в иностранной валюте за импортируемые товары"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[32]</w:t>
      </w:r>
      <w:r>
        <w:rPr>
          <w:color w:val="000000"/>
          <w:sz w:val="24"/>
          <w:szCs w:val="24"/>
        </w:rPr>
        <w:t xml:space="preserve"> Информационное письмо Президиума Высшего Арбитражного Суда РФ от 31.05.2000 №52 "Обзор практики разрешения арбитражными судами споров, связанных с применением законодательства о валютном регулировании и валютном контроле"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[33]</w:t>
      </w:r>
      <w:r>
        <w:rPr>
          <w:color w:val="000000"/>
          <w:sz w:val="24"/>
          <w:szCs w:val="24"/>
        </w:rPr>
        <w:t xml:space="preserve"> Закон РФ от 29.12.1998 №192-ФЗ "О первоочередных мерах в области бюджетной и налоговой политики" с изм. 05.08.2000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[34]</w:t>
      </w:r>
      <w:r>
        <w:rPr>
          <w:color w:val="000000"/>
          <w:sz w:val="24"/>
          <w:szCs w:val="24"/>
        </w:rPr>
        <w:t xml:space="preserve"> Закон СССР от 01.03.1991 №1982-1 "О валютном регулировании"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[35]</w:t>
      </w:r>
      <w:r>
        <w:rPr>
          <w:color w:val="000000"/>
          <w:sz w:val="24"/>
          <w:szCs w:val="24"/>
        </w:rPr>
        <w:t xml:space="preserve"> Дорофеев Б.Ю., Земцов Н.Н., Пушин В.А. Валютное право России.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[36]</w:t>
      </w:r>
      <w:r>
        <w:rPr>
          <w:color w:val="000000"/>
          <w:sz w:val="24"/>
          <w:szCs w:val="24"/>
        </w:rPr>
        <w:t xml:space="preserve"> Там же, С.15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[37]</w:t>
      </w:r>
      <w:r>
        <w:rPr>
          <w:color w:val="000000"/>
          <w:sz w:val="24"/>
          <w:szCs w:val="24"/>
        </w:rPr>
        <w:t xml:space="preserve"> Договор о Международном валютном фонде от 22.07.1944 в ред. от 28.06.1990 (перевод Бюро переводов Международного валютного фонда)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[38]</w:t>
      </w:r>
      <w:r>
        <w:rPr>
          <w:color w:val="000000"/>
          <w:sz w:val="24"/>
          <w:szCs w:val="24"/>
        </w:rPr>
        <w:t xml:space="preserve"> Дорофеев Б.Ю., Земцов Н.Н., Пушин В.А. Валютное право России. С. 17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[39]</w:t>
      </w:r>
      <w:r>
        <w:rPr>
          <w:color w:val="000000"/>
          <w:sz w:val="24"/>
          <w:szCs w:val="24"/>
        </w:rPr>
        <w:t xml:space="preserve"> Дорофеев Б.Ю., Земцов Н.Н., Пушин В.А. Валютное право России. С. 18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[40]</w:t>
      </w:r>
      <w:r>
        <w:rPr>
          <w:color w:val="000000"/>
          <w:sz w:val="24"/>
          <w:szCs w:val="24"/>
        </w:rPr>
        <w:t xml:space="preserve"> Дорофеев Б.Ю., Земцов Н.Н., Пушин В.А. Валютное право России. С. 19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[41]</w:t>
      </w:r>
      <w:r>
        <w:rPr>
          <w:color w:val="000000"/>
          <w:sz w:val="24"/>
          <w:szCs w:val="24"/>
        </w:rPr>
        <w:t xml:space="preserve"> Сапожников Н.В. Валютные операции коммерческих банков.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[42]</w:t>
      </w:r>
      <w:r>
        <w:rPr>
          <w:color w:val="000000"/>
          <w:sz w:val="24"/>
          <w:szCs w:val="24"/>
        </w:rPr>
        <w:t xml:space="preserve"> Дорофеев Б.Ю., Земцов Н.Н., Пушин В.А. Валютное право России. С. 20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[43]</w:t>
      </w:r>
      <w:r>
        <w:rPr>
          <w:color w:val="000000"/>
          <w:sz w:val="24"/>
          <w:szCs w:val="24"/>
        </w:rPr>
        <w:t xml:space="preserve"> Закон РФ "О валютном регулировании и валютном контроле" от 09.10.1992 № 3615-I с изм. 05.07.1999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[44]</w:t>
      </w:r>
      <w:r>
        <w:rPr>
          <w:color w:val="000000"/>
          <w:sz w:val="24"/>
          <w:szCs w:val="24"/>
        </w:rPr>
        <w:t xml:space="preserve"> Закон РФ от 29.12.1998 №192-ФЗ "О первоочередных мерах в области бюджетной и налоговой политики" с изм. 05.08.2000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[45]</w:t>
      </w:r>
      <w:r>
        <w:rPr>
          <w:color w:val="000000"/>
          <w:sz w:val="24"/>
          <w:szCs w:val="24"/>
        </w:rPr>
        <w:t xml:space="preserve"> Сапожников Н.В. Валютные операции коммерческих банков.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[46]</w:t>
      </w:r>
      <w:r>
        <w:rPr>
          <w:color w:val="000000"/>
          <w:sz w:val="24"/>
          <w:szCs w:val="24"/>
        </w:rPr>
        <w:t xml:space="preserve"> Закон СССР от 01.03.91 №1982-1 "О валютном регулировании"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[47]</w:t>
      </w:r>
      <w:r>
        <w:rPr>
          <w:color w:val="000000"/>
          <w:sz w:val="24"/>
          <w:szCs w:val="24"/>
        </w:rPr>
        <w:t xml:space="preserve"> Постановление Верховного Совета РФ от 22.05.1992 №2815-1 "О вступлении Российской Федерации в Международный валютный фонд, Международный банк реконструкции и развития и Международную ассоциацию развития"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[48]</w:t>
      </w:r>
      <w:r>
        <w:rPr>
          <w:color w:val="000000"/>
          <w:sz w:val="24"/>
          <w:szCs w:val="24"/>
        </w:rPr>
        <w:t xml:space="preserve"> Договор о Международном валютном фонде от 22.07.1944 в ред. от 28.06.1990 (перевод Бюро переводов Международного валютного фонда)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[49]</w:t>
      </w:r>
      <w:r>
        <w:rPr>
          <w:color w:val="000000"/>
          <w:sz w:val="24"/>
          <w:szCs w:val="24"/>
        </w:rPr>
        <w:t xml:space="preserve"> Вернер Ф. Эбке Международное валютное право.- М. 1997. С. 6.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[50]</w:t>
      </w:r>
      <w:r>
        <w:rPr>
          <w:color w:val="000000"/>
          <w:sz w:val="24"/>
          <w:szCs w:val="24"/>
        </w:rPr>
        <w:t xml:space="preserve"> Вернер Ф. Эбке Международное валютное право. С. 37.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[51]</w:t>
      </w:r>
      <w:r>
        <w:rPr>
          <w:color w:val="000000"/>
          <w:sz w:val="24"/>
          <w:szCs w:val="24"/>
        </w:rPr>
        <w:t xml:space="preserve"> Указ Президента РФ от 14.06.1992 №629 "О чаcтичном изменении порядка обязательной продажи части валютной выручки и взимания экспортных пошлин" с изм. 25.07.2000</w:t>
      </w:r>
    </w:p>
    <w:p w:rsidR="00574627" w:rsidRDefault="005746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 xml:space="preserve"> [52]</w:t>
      </w:r>
      <w:r>
        <w:rPr>
          <w:color w:val="000000"/>
          <w:sz w:val="24"/>
          <w:szCs w:val="24"/>
        </w:rPr>
        <w:t xml:space="preserve"> Ст.3 Письма Президиума Высшего арбитражного суда РФ от 31.05.2000 №52 "Обзор практики разрешения арбитражными судами споров, связанных с применением законодательства о валютном регулировании и валютном контроле"</w:t>
      </w:r>
      <w:bookmarkStart w:id="0" w:name="_GoBack"/>
      <w:bookmarkEnd w:id="0"/>
    </w:p>
    <w:sectPr w:rsidR="0057462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417"/>
    <w:multiLevelType w:val="hybridMultilevel"/>
    <w:tmpl w:val="E8443914"/>
    <w:lvl w:ilvl="0" w:tplc="2F2C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E1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85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4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42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F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A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A1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2EF4"/>
    <w:multiLevelType w:val="hybridMultilevel"/>
    <w:tmpl w:val="002268EE"/>
    <w:lvl w:ilvl="0" w:tplc="F94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2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CC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0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3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04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E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169B"/>
    <w:multiLevelType w:val="hybridMultilevel"/>
    <w:tmpl w:val="0046D466"/>
    <w:lvl w:ilvl="0" w:tplc="C9485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9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67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C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1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C7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7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A3648"/>
    <w:multiLevelType w:val="hybridMultilevel"/>
    <w:tmpl w:val="3A009A5E"/>
    <w:lvl w:ilvl="0" w:tplc="8288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02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3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1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2A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5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0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10AB"/>
    <w:multiLevelType w:val="hybridMultilevel"/>
    <w:tmpl w:val="65A62A8A"/>
    <w:lvl w:ilvl="0" w:tplc="50C2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D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8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B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B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CF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A8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8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96085"/>
    <w:multiLevelType w:val="hybridMultilevel"/>
    <w:tmpl w:val="2520A5DC"/>
    <w:lvl w:ilvl="0" w:tplc="87C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4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4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01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B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87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5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E2ECA"/>
    <w:multiLevelType w:val="hybridMultilevel"/>
    <w:tmpl w:val="779CFAF4"/>
    <w:lvl w:ilvl="0" w:tplc="F5E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08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61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48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9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4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D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4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95837"/>
    <w:multiLevelType w:val="hybridMultilevel"/>
    <w:tmpl w:val="E96ECBA8"/>
    <w:lvl w:ilvl="0" w:tplc="AA20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2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7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4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45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8A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6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CF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96829"/>
    <w:multiLevelType w:val="hybridMultilevel"/>
    <w:tmpl w:val="7C322254"/>
    <w:lvl w:ilvl="0" w:tplc="77D6E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C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C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8C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AF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4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F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2554"/>
    <w:multiLevelType w:val="hybridMultilevel"/>
    <w:tmpl w:val="7EB6AD3E"/>
    <w:lvl w:ilvl="0" w:tplc="AF86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68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8F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8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A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0F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E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9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C5B93"/>
    <w:multiLevelType w:val="hybridMultilevel"/>
    <w:tmpl w:val="B100EA40"/>
    <w:lvl w:ilvl="0" w:tplc="2EBA0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081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823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7C1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801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8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9CC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34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7CB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25282E"/>
    <w:multiLevelType w:val="hybridMultilevel"/>
    <w:tmpl w:val="609CAD60"/>
    <w:lvl w:ilvl="0" w:tplc="ADBE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0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EE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4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22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8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2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F08BA"/>
    <w:multiLevelType w:val="hybridMultilevel"/>
    <w:tmpl w:val="E5E04B84"/>
    <w:lvl w:ilvl="0" w:tplc="8120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A8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30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FE6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2C2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D6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22B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EAD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68F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0307B0"/>
    <w:multiLevelType w:val="hybridMultilevel"/>
    <w:tmpl w:val="4B321E9E"/>
    <w:lvl w:ilvl="0" w:tplc="FA18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68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7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1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5464B"/>
    <w:multiLevelType w:val="hybridMultilevel"/>
    <w:tmpl w:val="F8B0015C"/>
    <w:lvl w:ilvl="0" w:tplc="65862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E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5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3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4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C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D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09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5254E"/>
    <w:multiLevelType w:val="hybridMultilevel"/>
    <w:tmpl w:val="C0E83672"/>
    <w:lvl w:ilvl="0" w:tplc="162E5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E08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D0D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FC6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16E0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F63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C07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0E2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FAF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A43271"/>
    <w:multiLevelType w:val="hybridMultilevel"/>
    <w:tmpl w:val="A55C5A1C"/>
    <w:lvl w:ilvl="0" w:tplc="7BCCB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761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26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188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389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142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44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F40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8C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4E96109"/>
    <w:multiLevelType w:val="hybridMultilevel"/>
    <w:tmpl w:val="D1F095D2"/>
    <w:lvl w:ilvl="0" w:tplc="16B6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D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A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9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F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AA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1E79"/>
    <w:multiLevelType w:val="hybridMultilevel"/>
    <w:tmpl w:val="795E736C"/>
    <w:lvl w:ilvl="0" w:tplc="8D8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AD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0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6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07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0D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4E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4648D"/>
    <w:multiLevelType w:val="hybridMultilevel"/>
    <w:tmpl w:val="690AFF88"/>
    <w:lvl w:ilvl="0" w:tplc="A5DEB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47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FC0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586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EC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1124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B2A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8E1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4064F4"/>
    <w:multiLevelType w:val="hybridMultilevel"/>
    <w:tmpl w:val="5DBEC6C6"/>
    <w:lvl w:ilvl="0" w:tplc="3B36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CE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40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86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15F7"/>
    <w:multiLevelType w:val="hybridMultilevel"/>
    <w:tmpl w:val="9AD2E31A"/>
    <w:lvl w:ilvl="0" w:tplc="F1A02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ED8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942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2CD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1A8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417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26C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7AC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17006"/>
    <w:multiLevelType w:val="hybridMultilevel"/>
    <w:tmpl w:val="D8F0F520"/>
    <w:lvl w:ilvl="0" w:tplc="4D5C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AAD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24F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58B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2CD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9C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4EE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1C9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EC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42A0AFA"/>
    <w:multiLevelType w:val="hybridMultilevel"/>
    <w:tmpl w:val="71E27856"/>
    <w:lvl w:ilvl="0" w:tplc="0C50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7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4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8D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D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C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A6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C434D"/>
    <w:multiLevelType w:val="hybridMultilevel"/>
    <w:tmpl w:val="46BAE3DC"/>
    <w:lvl w:ilvl="0" w:tplc="F78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E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6E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05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E2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8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3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00E49"/>
    <w:multiLevelType w:val="hybridMultilevel"/>
    <w:tmpl w:val="7F323E56"/>
    <w:lvl w:ilvl="0" w:tplc="B7C0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26F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74C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30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2C9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8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4D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72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186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C7816AF"/>
    <w:multiLevelType w:val="hybridMultilevel"/>
    <w:tmpl w:val="B8E8481A"/>
    <w:lvl w:ilvl="0" w:tplc="7260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4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E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65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F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A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2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8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B71A0"/>
    <w:multiLevelType w:val="hybridMultilevel"/>
    <w:tmpl w:val="A94C5C62"/>
    <w:lvl w:ilvl="0" w:tplc="AB7C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72D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A84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26E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0ED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FED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FA8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18B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670D6F"/>
    <w:multiLevelType w:val="hybridMultilevel"/>
    <w:tmpl w:val="267A776A"/>
    <w:lvl w:ilvl="0" w:tplc="8E64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6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8C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C1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0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3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5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D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D0C12"/>
    <w:multiLevelType w:val="hybridMultilevel"/>
    <w:tmpl w:val="65CCD336"/>
    <w:lvl w:ilvl="0" w:tplc="449C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E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6A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4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23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9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B1350"/>
    <w:multiLevelType w:val="hybridMultilevel"/>
    <w:tmpl w:val="182C9A0A"/>
    <w:lvl w:ilvl="0" w:tplc="FEB02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8828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A3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64D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366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2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8A8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A08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A8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C02C6E"/>
    <w:multiLevelType w:val="hybridMultilevel"/>
    <w:tmpl w:val="877AD196"/>
    <w:lvl w:ilvl="0" w:tplc="0AD4B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C2D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780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584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8A2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38F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663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E1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CA13AA"/>
    <w:multiLevelType w:val="hybridMultilevel"/>
    <w:tmpl w:val="120EF3D6"/>
    <w:lvl w:ilvl="0" w:tplc="EE5CF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DAD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54E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AC2B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20A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B45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B61E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B0C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8AA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30"/>
  </w:num>
  <w:num w:numId="9">
    <w:abstractNumId w:val="5"/>
  </w:num>
  <w:num w:numId="10">
    <w:abstractNumId w:val="19"/>
  </w:num>
  <w:num w:numId="11">
    <w:abstractNumId w:val="25"/>
  </w:num>
  <w:num w:numId="12">
    <w:abstractNumId w:val="12"/>
  </w:num>
  <w:num w:numId="13">
    <w:abstractNumId w:val="21"/>
  </w:num>
  <w:num w:numId="14">
    <w:abstractNumId w:val="31"/>
  </w:num>
  <w:num w:numId="15">
    <w:abstractNumId w:val="10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22"/>
  </w:num>
  <w:num w:numId="22">
    <w:abstractNumId w:val="15"/>
  </w:num>
  <w:num w:numId="23">
    <w:abstractNumId w:val="32"/>
  </w:num>
  <w:num w:numId="24">
    <w:abstractNumId w:val="28"/>
  </w:num>
  <w:num w:numId="25">
    <w:abstractNumId w:val="16"/>
  </w:num>
  <w:num w:numId="26">
    <w:abstractNumId w:val="7"/>
  </w:num>
  <w:num w:numId="27">
    <w:abstractNumId w:val="0"/>
  </w:num>
  <w:num w:numId="28">
    <w:abstractNumId w:val="17"/>
  </w:num>
  <w:num w:numId="29">
    <w:abstractNumId w:val="24"/>
  </w:num>
  <w:num w:numId="30">
    <w:abstractNumId w:val="29"/>
  </w:num>
  <w:num w:numId="31">
    <w:abstractNumId w:val="6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C6A"/>
    <w:rsid w:val="00114C6A"/>
    <w:rsid w:val="00201493"/>
    <w:rsid w:val="00574627"/>
    <w:rsid w:val="00B4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9926D6-6517-47A3-B8BD-655648E1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16905</Words>
  <Characters>9636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и место валютного права России</vt:lpstr>
    </vt:vector>
  </TitlesOfParts>
  <Company>PERSONAL COMPUTERS</Company>
  <LinksUpToDate>false</LinksUpToDate>
  <CharactersWithSpaces>26489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и место валютного права России</dc:title>
  <dc:subject/>
  <dc:creator>USER</dc:creator>
  <cp:keywords/>
  <dc:description/>
  <cp:lastModifiedBy>admin</cp:lastModifiedBy>
  <cp:revision>2</cp:revision>
  <dcterms:created xsi:type="dcterms:W3CDTF">2014-01-26T12:46:00Z</dcterms:created>
  <dcterms:modified xsi:type="dcterms:W3CDTF">2014-01-26T12:46:00Z</dcterms:modified>
</cp:coreProperties>
</file>