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AC0" w:rsidRDefault="00A41AC0">
      <w:pPr>
        <w:pStyle w:val="ac"/>
        <w:jc w:val="center"/>
        <w:rPr>
          <w:b/>
          <w:bCs/>
          <w:sz w:val="32"/>
          <w:szCs w:val="32"/>
        </w:rPr>
      </w:pPr>
      <w:r>
        <w:rPr>
          <w:b/>
          <w:bCs/>
          <w:sz w:val="32"/>
          <w:szCs w:val="32"/>
        </w:rPr>
        <w:t>РЕФЕРАТ</w:t>
      </w:r>
    </w:p>
    <w:p w:rsidR="00A41AC0" w:rsidRDefault="00A41AC0">
      <w:pPr>
        <w:pStyle w:val="ac"/>
        <w:jc w:val="center"/>
        <w:rPr>
          <w:b/>
          <w:bCs/>
          <w:sz w:val="32"/>
          <w:szCs w:val="32"/>
        </w:rPr>
      </w:pPr>
      <w:r>
        <w:t xml:space="preserve">На тему : </w:t>
      </w:r>
      <w:r>
        <w:rPr>
          <w:b/>
          <w:bCs/>
          <w:sz w:val="32"/>
          <w:szCs w:val="32"/>
        </w:rPr>
        <w:t>Понятие и виды объектов, имущества, вещей в гражданском праве Украины.</w:t>
      </w:r>
    </w:p>
    <w:p w:rsidR="00A41AC0" w:rsidRDefault="00A41AC0">
      <w:pPr>
        <w:pStyle w:val="ac"/>
      </w:pPr>
    </w:p>
    <w:p w:rsidR="00A41AC0" w:rsidRDefault="00A41AC0">
      <w:pPr>
        <w:pStyle w:val="ac"/>
      </w:pPr>
      <w:r>
        <w:t xml:space="preserve">          Гражданско-правовые нормы, содержащиеся в различного рода нормативных актах, призваны регулировать общественные отношения, составляющие  предмет гражданского права. Важную роль в раскрытии механизма гражданско-правового регулирования общественных отношений играет понятие гражданского правоотношения. В результате урегулирования нормами гражданского права общественных отношений они приобретают правовую форму и становятся гражданскими правоотношениями. Гражданское правоотношение это не что иное, как само общественное отношение, урегулированное нормой гражданского права. </w:t>
      </w:r>
    </w:p>
    <w:p w:rsidR="00A41AC0" w:rsidRDefault="00A41AC0">
      <w:pPr>
        <w:pStyle w:val="a4"/>
        <w:spacing w:line="360" w:lineRule="auto"/>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        Гражданское право, регулируемое Гражданским кодексом Украины, </w:t>
      </w:r>
    </w:p>
    <w:p w:rsidR="00A41AC0" w:rsidRDefault="00A41AC0">
      <w:pPr>
        <w:pStyle w:val="a4"/>
        <w:spacing w:line="360" w:lineRule="auto"/>
        <w:rPr>
          <w:spacing w:val="0"/>
          <w:kern w:val="0"/>
          <w:position w:val="0"/>
          <w:sz w:val="28"/>
          <w:szCs w:val="28"/>
        </w:rPr>
      </w:pPr>
      <w:r>
        <w:rPr>
          <w:rFonts w:ascii="LMUkrLine" w:hAnsi="LMUkrLine" w:cs="LMUkrLine"/>
          <w:spacing w:val="0"/>
          <w:kern w:val="0"/>
          <w:position w:val="0"/>
          <w:sz w:val="28"/>
          <w:szCs w:val="28"/>
        </w:rPr>
        <w:t xml:space="preserve">утвержденного 18 июля 1963 года Законом №1540-06 и введенного в действие с 1 января 1964 года, с последующими изменениями и дополнениями (далее ГК Украины), </w:t>
      </w:r>
      <w:r>
        <w:rPr>
          <w:rFonts w:ascii="LMUkrLine" w:hAnsi="LMUkrLine" w:cs="LMUkrLine"/>
          <w:color w:val="000000"/>
          <w:spacing w:val="0"/>
          <w:kern w:val="0"/>
          <w:position w:val="0"/>
          <w:sz w:val="28"/>
          <w:szCs w:val="28"/>
        </w:rPr>
        <w:t>регулирует имущественн</w:t>
      </w:r>
      <w:r>
        <w:rPr>
          <w:rFonts w:ascii="LMUkrLine" w:hAnsi="LMUkrLine" w:cs="LMUkrLine"/>
          <w:spacing w:val="0"/>
          <w:kern w:val="0"/>
          <w:position w:val="0"/>
          <w:sz w:val="28"/>
          <w:szCs w:val="28"/>
        </w:rPr>
        <w:t>ые и связанные с ними личные неимущественные отношения.</w:t>
      </w:r>
    </w:p>
    <w:p w:rsidR="00A41AC0" w:rsidRDefault="00A41AC0">
      <w:pPr>
        <w:pStyle w:val="a4"/>
        <w:spacing w:line="360" w:lineRule="auto"/>
        <w:rPr>
          <w:spacing w:val="0"/>
          <w:kern w:val="0"/>
          <w:position w:val="0"/>
          <w:sz w:val="28"/>
          <w:szCs w:val="28"/>
        </w:rPr>
      </w:pPr>
    </w:p>
    <w:p w:rsidR="00A41AC0" w:rsidRDefault="00A41AC0">
      <w:pPr>
        <w:pStyle w:val="ac"/>
        <w:jc w:val="center"/>
        <w:rPr>
          <w:b/>
          <w:bCs/>
          <w:sz w:val="32"/>
          <w:szCs w:val="32"/>
        </w:rPr>
      </w:pPr>
      <w:r>
        <w:rPr>
          <w:b/>
          <w:bCs/>
          <w:sz w:val="32"/>
          <w:szCs w:val="32"/>
        </w:rPr>
        <w:t>Понятие и виды объектов, имущества, вещей в гражданском праве.</w:t>
      </w:r>
    </w:p>
    <w:p w:rsidR="00A41AC0" w:rsidRDefault="00A41AC0">
      <w:pPr>
        <w:pStyle w:val="ac"/>
      </w:pPr>
    </w:p>
    <w:p w:rsidR="00A41AC0" w:rsidRDefault="00A41AC0">
      <w:pPr>
        <w:pStyle w:val="ac"/>
      </w:pPr>
      <w:r>
        <w:t xml:space="preserve">        Под объектом права надо понимать то, на что направлены права и обязанности субъектов правоотношения, т.е. вещи, включая деньги и ценные бумаги, иное имущество, в том числе имущественные права; работы и </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услуги; информация; результаты интеллектуальной деятельности, в том </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числе исключительные права на них (интеллектуальная собственность); нематериальные блага.</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        Объекты гражданских правоотношений можно разделить на четыре группы: 1) имущество; 2) действия (работы и услуги); 3) результаты интеллектуальной (творческой) деятельности; 4) нематериальные блага.</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        Под термином “</w:t>
      </w:r>
      <w:r>
        <w:rPr>
          <w:rFonts w:ascii="LMUkrLine" w:hAnsi="LMUkrLine" w:cs="LMUkrLine"/>
          <w:b/>
          <w:bCs/>
          <w:spacing w:val="0"/>
          <w:kern w:val="0"/>
          <w:position w:val="0"/>
          <w:sz w:val="28"/>
          <w:szCs w:val="28"/>
        </w:rPr>
        <w:t>имущество</w:t>
      </w:r>
      <w:r>
        <w:rPr>
          <w:rFonts w:ascii="LMUkrLine" w:hAnsi="LMUkrLine" w:cs="LMUkrLine"/>
          <w:spacing w:val="0"/>
          <w:kern w:val="0"/>
          <w:position w:val="0"/>
          <w:sz w:val="28"/>
          <w:szCs w:val="28"/>
        </w:rPr>
        <w:t>” в гражданском праве подразумевают :</w:t>
      </w:r>
    </w:p>
    <w:p w:rsidR="00A41AC0" w:rsidRDefault="00A41AC0">
      <w:pPr>
        <w:pStyle w:val="a4"/>
        <w:numPr>
          <w:ilvl w:val="0"/>
          <w:numId w:val="4"/>
        </w:numPr>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вещь или совокупность вещей, находящихся во владении у собственника;</w:t>
      </w:r>
    </w:p>
    <w:p w:rsidR="00A41AC0" w:rsidRDefault="00A41AC0">
      <w:pPr>
        <w:pStyle w:val="a4"/>
        <w:numPr>
          <w:ilvl w:val="0"/>
          <w:numId w:val="4"/>
        </w:numPr>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объединение имеющих денежную оценку как вещей, так и имущественных прав;</w:t>
      </w:r>
    </w:p>
    <w:p w:rsidR="00A41AC0" w:rsidRDefault="00A41AC0">
      <w:pPr>
        <w:pStyle w:val="a4"/>
        <w:numPr>
          <w:ilvl w:val="0"/>
          <w:numId w:val="4"/>
        </w:numPr>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имущественные права и обязательства наследодателя, которые переходят к наследникам.</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        Во всех случаях право на имущество распространяется не только на вещи, но и на причитающиеся доходы и иные права.</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        Специфика имущественных и личных неимущественных правоотношений предопределяет и особые способы защиты субъективных прав, существующих в рамках этих правоотношений. По общему правилу, имущественные права защищаются посредством возмещения причиненных убытков. Защита же личных неимущественных прав осуществляется другими способами. Так, в случае опубликования в газете сведений, порочащих честь, достоинство и деловую репутацию гражданина, выплата ему денежной компенсации сама по себе не восстановит его пошатнувшуюся репутацию. Однако репутация гражданина будет восстановлена, а его личное неимущественное право защищено, если по решению суда газета опубликует опровержение. </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        Под </w:t>
      </w:r>
      <w:r>
        <w:rPr>
          <w:rFonts w:ascii="LMUkrLine" w:hAnsi="LMUkrLine" w:cs="LMUkrLine"/>
          <w:b/>
          <w:bCs/>
          <w:spacing w:val="0"/>
          <w:kern w:val="0"/>
          <w:position w:val="0"/>
          <w:sz w:val="28"/>
          <w:szCs w:val="28"/>
        </w:rPr>
        <w:t>вещами</w:t>
      </w:r>
      <w:r>
        <w:rPr>
          <w:rFonts w:ascii="LMUkrLine" w:hAnsi="LMUkrLine" w:cs="LMUkrLine"/>
          <w:spacing w:val="0"/>
          <w:kern w:val="0"/>
          <w:position w:val="0"/>
          <w:sz w:val="28"/>
          <w:szCs w:val="28"/>
        </w:rPr>
        <w:t xml:space="preserve"> понимаются материальные объекты внешнего мира. К ним относятся как предметы материальной и духовной культуры, т.е. продукты человеческого труда, так и предметы, созданные самой природой и используемые людьми в своей жизнедеятельности - земля, полезные ископаемые, растения и т.п. Важнейший признак  вещей, благодаря которому они и становятся объектами гражданских прав, заключается в их способности удовлетворять те или иные потребности людей. Естественные свойства вещей могут обусловить различное правовое регулирование отношений людей по поводу вещей. Так неделимость вещи часто создаёт необходимость появления общей собственности на неё, потребляемые вещи не могут быть объектами договоров имущественного найма и ссуды. В интересах обеспечения общественной безопасности некоторые вещи требуют для приобретения в собственность получения предварительного разрешения государственных органов управления.</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        Вещи делятся на </w:t>
      </w:r>
      <w:r>
        <w:rPr>
          <w:rFonts w:ascii="LMUkrLine" w:hAnsi="LMUkrLine" w:cs="LMUkrLine"/>
          <w:b/>
          <w:bCs/>
          <w:spacing w:val="0"/>
          <w:kern w:val="0"/>
          <w:position w:val="0"/>
          <w:sz w:val="28"/>
          <w:szCs w:val="28"/>
        </w:rPr>
        <w:t>движимые и недвижимые</w:t>
      </w:r>
      <w:r>
        <w:rPr>
          <w:rFonts w:ascii="LMUkrLine" w:hAnsi="LMUkrLine" w:cs="LMUkrLine"/>
          <w:spacing w:val="0"/>
          <w:kern w:val="0"/>
          <w:position w:val="0"/>
          <w:sz w:val="28"/>
          <w:szCs w:val="28"/>
        </w:rPr>
        <w:t xml:space="preserve">. В основе этого деления лежит право частной собственности на землю. К недвижимым вещам относятся земельные участки, участки недр, обособленные водные объекты, леса, строения, здания сооружения и всё то, что прочно связано с землёй, т.е. объекты, перемещение которых, без нанесения ущерба их назначению невозможно. </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        К недвижимым вещам относятся так же воздушные  и морские суда, суда внутреннего водного плавания и некоторые другие объекты. Гражданский кодекс не исчерпывает перечень недвижимых объектов. Законодатель может признать недвижимыми вещами и другие предметы.</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        Гражданский кодекс не исчерпывает перечень недвижимых объектов. Законодатель может признать недвижимыми вещами и другие предметы.</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        Особый правовой режим недвижимого имущества основан на необходимости обеспечить особую устойчивость правам на это имущество, установить специальный порядок распоряжения им. Право собственности на недвижимость, его возникновение, ограничение и прекращение подлежат государственной регистрации. </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Особым видом недвижимости является </w:t>
      </w:r>
      <w:r>
        <w:rPr>
          <w:rFonts w:ascii="LMUkrLine" w:hAnsi="LMUkrLine" w:cs="LMUkrLine"/>
          <w:b/>
          <w:bCs/>
          <w:spacing w:val="0"/>
          <w:kern w:val="0"/>
          <w:position w:val="0"/>
          <w:sz w:val="28"/>
          <w:szCs w:val="28"/>
        </w:rPr>
        <w:t>предприятие.</w:t>
      </w:r>
      <w:r>
        <w:rPr>
          <w:rFonts w:ascii="LMUkrLine" w:hAnsi="LMUkrLine" w:cs="LMUkrLine"/>
          <w:spacing w:val="0"/>
          <w:kern w:val="0"/>
          <w:position w:val="0"/>
          <w:sz w:val="28"/>
          <w:szCs w:val="28"/>
        </w:rPr>
        <w:t xml:space="preserve">  Термин “предприятие” применяется в двух различных смыслах:</w:t>
      </w:r>
    </w:p>
    <w:p w:rsidR="00A41AC0" w:rsidRDefault="00A41AC0">
      <w:pPr>
        <w:pStyle w:val="a4"/>
        <w:numPr>
          <w:ilvl w:val="0"/>
          <w:numId w:val="4"/>
        </w:numPr>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юридическое лицо - субъект гражданского права. В этом случае предприятие подлежит государственной регистрации, как субъект предпринимательской деятельности, выступает как сторона договора;</w:t>
      </w:r>
    </w:p>
    <w:p w:rsidR="00A41AC0" w:rsidRDefault="00A41AC0">
      <w:pPr>
        <w:pStyle w:val="a4"/>
        <w:numPr>
          <w:ilvl w:val="0"/>
          <w:numId w:val="4"/>
        </w:numPr>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имущественный комплекс, используемый для предпринимательской деятельности. В данном случае оно является объектом права, недвижимостью.</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        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сырьё, продукцию и др. Изъятие из имущественного комплекса какого-либо из этих объектов должно быть специально предусмотрено законом или договором. Иначе при переходе права собственности или иных прав на предприятие другому лицу, последнее вправе требовать передачи ему всех указанных прав.</w:t>
      </w:r>
    </w:p>
    <w:p w:rsidR="00A41AC0" w:rsidRDefault="00A41AC0">
      <w:pPr>
        <w:pStyle w:val="a4"/>
        <w:spacing w:line="360" w:lineRule="auto"/>
        <w:ind w:firstLine="851"/>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Распространено деление вещей на :</w:t>
      </w:r>
    </w:p>
    <w:p w:rsidR="00A41AC0" w:rsidRDefault="00A41AC0">
      <w:pPr>
        <w:pStyle w:val="a4"/>
        <w:spacing w:line="360" w:lineRule="auto"/>
        <w:ind w:firstLine="851"/>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вещи, изъятые из оборота;</w:t>
      </w:r>
    </w:p>
    <w:p w:rsidR="00A41AC0" w:rsidRDefault="00A41AC0">
      <w:pPr>
        <w:pStyle w:val="a4"/>
        <w:spacing w:line="360" w:lineRule="auto"/>
        <w:ind w:firstLine="851"/>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вещи, ограниченные в обороте;</w:t>
      </w:r>
    </w:p>
    <w:p w:rsidR="00A41AC0" w:rsidRDefault="00A41AC0">
      <w:pPr>
        <w:pStyle w:val="a4"/>
        <w:spacing w:line="360" w:lineRule="auto"/>
        <w:ind w:firstLine="851"/>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вещи в обороте.</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i/>
          <w:iCs/>
          <w:spacing w:val="0"/>
          <w:kern w:val="0"/>
          <w:position w:val="0"/>
          <w:sz w:val="28"/>
          <w:szCs w:val="28"/>
        </w:rPr>
        <w:t xml:space="preserve">        </w:t>
      </w:r>
      <w:r>
        <w:rPr>
          <w:rFonts w:ascii="LMUkrLine" w:hAnsi="LMUkrLine" w:cs="LMUkrLine"/>
          <w:b/>
          <w:bCs/>
          <w:i/>
          <w:iCs/>
          <w:spacing w:val="0"/>
          <w:kern w:val="0"/>
          <w:position w:val="0"/>
          <w:sz w:val="28"/>
          <w:szCs w:val="28"/>
        </w:rPr>
        <w:t>Полностью изъяты из оборота вещи</w:t>
      </w:r>
      <w:r>
        <w:rPr>
          <w:rFonts w:ascii="LMUkrLine" w:hAnsi="LMUkrLine" w:cs="LMUkrLine"/>
          <w:spacing w:val="0"/>
          <w:kern w:val="0"/>
          <w:position w:val="0"/>
          <w:sz w:val="28"/>
          <w:szCs w:val="28"/>
        </w:rPr>
        <w:t>, отчуждение которых не допускается. Этот ограниченный круг вещей прямо указан в законе (ст.129 ГК Украины). К ним относятся некоторые виды вооружений, ядерная энергия и др. Их нельзя не только передавать в собственность других лиц, но вещи, изъятые из оборота, вообще не могут быть предметом гражданско-правовых сделок. Распоряжение этими вещами осуществляется на основании административно-правовых актов. Так например, недра в границах территории Украины, включая подземное пространство, и содержащиеся в недрах полезные ископаемые, энергетические и другие ресурсы являются государственной собственностью. Участки недр не могут быть предметом купли-продажи, дарения, вклада, залога. Права пользования недрами могут отчуждаться или переходить от одного лица другому в той мере, в какой их оборот допускается законом.</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b/>
          <w:bCs/>
          <w:i/>
          <w:iCs/>
          <w:spacing w:val="0"/>
          <w:kern w:val="0"/>
          <w:position w:val="0"/>
          <w:sz w:val="28"/>
          <w:szCs w:val="28"/>
        </w:rPr>
        <w:t xml:space="preserve">        Вещи, ограниченные в обороте</w:t>
      </w:r>
      <w:r>
        <w:rPr>
          <w:rFonts w:ascii="LMUkrLine" w:hAnsi="LMUkrLine" w:cs="LMUkrLine"/>
          <w:i/>
          <w:iCs/>
          <w:spacing w:val="0"/>
          <w:kern w:val="0"/>
          <w:position w:val="0"/>
          <w:sz w:val="28"/>
          <w:szCs w:val="28"/>
        </w:rPr>
        <w:t xml:space="preserve"> </w:t>
      </w:r>
      <w:r>
        <w:rPr>
          <w:rFonts w:ascii="LMUkrLine" w:hAnsi="LMUkrLine" w:cs="LMUkrLine"/>
          <w:spacing w:val="0"/>
          <w:kern w:val="0"/>
          <w:position w:val="0"/>
          <w:sz w:val="28"/>
          <w:szCs w:val="28"/>
        </w:rPr>
        <w:t>могут принадлежать либо определённым участникам оборота, либо приобретение и отчуждение их допускается на основе специальных решений. Круг этих вещей должен быть чётко определён в законе. К ним относятся наркотические вещества, оружие, специальное оборудование, которые по причине общественного порядка и безопасности граждан, не должны находиться в свободном обращении. Списки объектов, которые подлежат лицензированию и сертификации, публикуются в печати.</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        Большинство объектов гражданского права </w:t>
      </w:r>
      <w:r>
        <w:rPr>
          <w:rFonts w:ascii="LMUkrLine" w:hAnsi="LMUkrLine" w:cs="LMUkrLine"/>
          <w:i/>
          <w:iCs/>
          <w:spacing w:val="0"/>
          <w:kern w:val="0"/>
          <w:position w:val="0"/>
          <w:sz w:val="28"/>
          <w:szCs w:val="28"/>
        </w:rPr>
        <w:t>оборотоспособны</w:t>
      </w:r>
      <w:r>
        <w:rPr>
          <w:rFonts w:ascii="LMUkrLine" w:hAnsi="LMUkrLine" w:cs="LMUkrLine"/>
          <w:spacing w:val="0"/>
          <w:kern w:val="0"/>
          <w:position w:val="0"/>
          <w:sz w:val="28"/>
          <w:szCs w:val="28"/>
        </w:rPr>
        <w:t>. Они могут свободно отчуждаться и переходить от одного лица к другому в порядке индивидуального и универсального правопреемства. При универсальном правопреемстве к правопреемнику переходит имущество лица, как совокупность всех прав и обязанностей в качестве единого целого. В этой совокупности единым актом переходят права и обязанности, принадлежащие на момент правопреемства субъекту этих прав независимо от того, выявлены ли они к данному моменту. Такое правопреемство применяется при наследовании имущества граждан, реорганизации юридического лица и в некоторых случаях прекращения деятельности юридического лица.</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        Вещи в гражданском праве  делятся так же в соответствии с индивидуальными и родовыми признаками. Индивидуально-определённой является вещь, выделенная из массы однородных вещей (костюм, выбранный покупателем в магазине) и уникальные вещи (картина-подлинник, дом на определённой улице, под определенным номером). Родовые вещи определяются только числом, весом или мерой и, следовательно, юридически заменимы. Это различие имеет значение в обязательном праве, так как право собственности всегда существует в отношении индивидуально-определённых вещей.</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        </w:t>
      </w:r>
      <w:r>
        <w:rPr>
          <w:rFonts w:ascii="LMUkrLine" w:hAnsi="LMUkrLine" w:cs="LMUkrLine"/>
          <w:b/>
          <w:bCs/>
          <w:i/>
          <w:iCs/>
          <w:spacing w:val="0"/>
          <w:kern w:val="0"/>
          <w:position w:val="0"/>
          <w:sz w:val="28"/>
          <w:szCs w:val="28"/>
        </w:rPr>
        <w:t>Вещи могут быть делимыми и неделимыми</w:t>
      </w:r>
      <w:r>
        <w:rPr>
          <w:rFonts w:ascii="LMUkrLine" w:hAnsi="LMUkrLine" w:cs="LMUkrLine"/>
          <w:spacing w:val="0"/>
          <w:kern w:val="0"/>
          <w:position w:val="0"/>
          <w:sz w:val="28"/>
          <w:szCs w:val="28"/>
        </w:rPr>
        <w:t xml:space="preserve">. </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        К первым относятся предметы, которые можно разделить без ущерба для их первоначального назначения. Неделимые - вещи, которые нельзя разделить, не нанеся им ущерба. Эта классификация имеет значение при разделе общей собственности, исполнения обязательства по частям, наследовании. Так, при разделе общей собственности соответствующие части делимых вещей передаются всем участникам, а неделимые - одному из них. Последний должен выплатить другим денежную компенсацию, либо вещь продаётся, а вырученная сумма делится между собственниками.</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        В ряде случаев вещи рассматриваются как неделимые и не подлежащие разделу. Например, коллекция, которая в случае раздела потеряет свою художественную ценность.</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        Так же не делятся сложные вещи, которые состоят из многих частей, но образуют единое целое и используются по единому назначению. Например, библиотека, предприятие, стадо скота. Такие вещи выступают единым объектом определенного обязательства, хотя они могут быть отчужденны и по отдельным частям. Если разнородные вещи образуют единое целое, предполагающее использование их по общему назначению, они рассматриваются как одна вещь (сложная вещь). Действие сделки, заключенной по поводу сложной вещи, распространяется на все ее составные части, если договором не предусмотрено иное.</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        Гражданский кодекс делит вещи на главную и принадлежность (ст.132 ГК Украины). Под принадлежностью понимают вещь, предназначенную служить главной вещи и связанную с ней общим хозяйственным назначением (например, ключ от замка, футляр от скрипки). Принадлежность, как правило следует судьбе главной вещи. Однако в законе или договоре может быть определено иное.</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        В особую категорию Гражданский кодекс Украины, в статье 133, выделяет плоды, продукцию и доходы. Это поступления, полученные в результате использования имущества. Они разделяются на:</w:t>
      </w:r>
    </w:p>
    <w:p w:rsidR="00A41AC0" w:rsidRDefault="00A41AC0">
      <w:pPr>
        <w:pStyle w:val="a4"/>
        <w:numPr>
          <w:ilvl w:val="0"/>
          <w:numId w:val="4"/>
        </w:numPr>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естественные плоды - приплод животных, плоды фруктовых деревьев и т.п.;</w:t>
      </w:r>
    </w:p>
    <w:p w:rsidR="00A41AC0" w:rsidRDefault="00A41AC0">
      <w:pPr>
        <w:pStyle w:val="a4"/>
        <w:numPr>
          <w:ilvl w:val="0"/>
          <w:numId w:val="4"/>
        </w:numPr>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создаваемые самой вещью;</w:t>
      </w:r>
    </w:p>
    <w:p w:rsidR="00A41AC0" w:rsidRDefault="00A41AC0">
      <w:pPr>
        <w:pStyle w:val="a4"/>
        <w:numPr>
          <w:ilvl w:val="0"/>
          <w:numId w:val="4"/>
        </w:numPr>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доходы, которые вещь приносит, если находится в гражданском обороте - наёмная плата, проценты, получаемые за кредит.</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        Вопрос о том, кому принадлежат поступления, полученные в результате использования вещи, можно решать как в пользу собственника, так и в пользу её законного владельца, например фермера - арендатора земли, основная цель которого - получение в собственность плодов, продукции и доходов от использования земельного участка. </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        Особым объектом права являются животные. К ним применяются общие правила об имуществе, если законом или иным правовым актом не установлено иное. Статья, регулирующая эти отношения, должна быть включена в Новый Гражданский кодекс Украины, в связи с увеличением количества домашних животных, находящихся в собственности граждан, а также возможных сделок, объектами которых являются животные, и введением необходимых специальных правил, обеспечивающих гуманное отношение к животным.</w:t>
      </w:r>
    </w:p>
    <w:p w:rsidR="00A41AC0" w:rsidRDefault="00A41AC0">
      <w:pPr>
        <w:pStyle w:val="a4"/>
        <w:spacing w:line="360" w:lineRule="auto"/>
        <w:ind w:firstLine="851"/>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        Особым объектом права является </w:t>
      </w:r>
      <w:r>
        <w:rPr>
          <w:rFonts w:ascii="LMUkrLine" w:hAnsi="LMUkrLine" w:cs="LMUkrLine"/>
          <w:b/>
          <w:bCs/>
          <w:spacing w:val="0"/>
          <w:kern w:val="0"/>
          <w:position w:val="0"/>
          <w:sz w:val="28"/>
          <w:szCs w:val="28"/>
        </w:rPr>
        <w:t xml:space="preserve">интеллектуальная собственность </w:t>
      </w:r>
      <w:r>
        <w:rPr>
          <w:rFonts w:ascii="LMUkrLine" w:hAnsi="LMUkrLine" w:cs="LMUkrLine"/>
          <w:spacing w:val="0"/>
          <w:kern w:val="0"/>
          <w:position w:val="0"/>
          <w:sz w:val="28"/>
          <w:szCs w:val="28"/>
        </w:rPr>
        <w:t>гражданина или юридического лица на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или</w:t>
      </w:r>
      <w:r>
        <w:rPr>
          <w:rFonts w:ascii="LMUkrLine" w:hAnsi="LMUkrLine" w:cs="LMUkrLine"/>
          <w:b/>
          <w:bCs/>
          <w:spacing w:val="0"/>
          <w:kern w:val="0"/>
          <w:position w:val="0"/>
          <w:sz w:val="28"/>
          <w:szCs w:val="28"/>
        </w:rPr>
        <w:t xml:space="preserve"> </w:t>
      </w:r>
      <w:r>
        <w:rPr>
          <w:rFonts w:ascii="LMUkrLine" w:hAnsi="LMUkrLine" w:cs="LMUkrLine"/>
          <w:spacing w:val="0"/>
          <w:kern w:val="0"/>
          <w:position w:val="0"/>
          <w:sz w:val="28"/>
          <w:szCs w:val="28"/>
        </w:rPr>
        <w:t>услуг (фирменное наименование, товарный знак, знак обслуживания). Эти права на результаты творческой деятельности  человека и средств индивидуализации регулируются специальным законодательством, т.е. Законом Украины "Об авторском праве и соавторском праве”</w:t>
      </w:r>
      <w:r>
        <w:rPr>
          <w:rStyle w:val="af0"/>
          <w:rFonts w:ascii="LMUkrLine" w:hAnsi="LMUkrLine" w:cs="LMUkrLine"/>
          <w:spacing w:val="0"/>
          <w:kern w:val="0"/>
          <w:position w:val="0"/>
          <w:sz w:val="28"/>
          <w:szCs w:val="28"/>
        </w:rPr>
        <w:footnoteReference w:id="1"/>
      </w:r>
      <w:r>
        <w:rPr>
          <w:rFonts w:ascii="LMUkrLine" w:hAnsi="LMUkrLine" w:cs="LMUkrLine"/>
          <w:spacing w:val="0"/>
          <w:kern w:val="0"/>
          <w:position w:val="0"/>
          <w:sz w:val="28"/>
          <w:szCs w:val="28"/>
        </w:rPr>
        <w:t xml:space="preserve"> с последующими изменениями, Законом Украины "Об охране  прав  на  изобретения  и  полезные модели"</w:t>
      </w:r>
      <w:r>
        <w:rPr>
          <w:rStyle w:val="af0"/>
          <w:rFonts w:ascii="LMUkrLine" w:hAnsi="LMUkrLine" w:cs="LMUkrLine"/>
          <w:spacing w:val="0"/>
          <w:kern w:val="0"/>
          <w:position w:val="0"/>
          <w:sz w:val="28"/>
          <w:szCs w:val="28"/>
        </w:rPr>
        <w:footnoteReference w:id="2"/>
      </w:r>
      <w:r>
        <w:rPr>
          <w:rFonts w:ascii="LMUkrLine" w:hAnsi="LMUkrLine" w:cs="LMUkrLine"/>
          <w:spacing w:val="0"/>
          <w:kern w:val="0"/>
          <w:position w:val="0"/>
          <w:sz w:val="28"/>
          <w:szCs w:val="28"/>
        </w:rPr>
        <w:t>. Объекты интеллектуальной собственности могут использоваться третьими лицами только с согласия правообладателя. К объектам интеллектуальной собственности относятся результаты духовного творчества людей и поэтому они непосредственно не связаны с правом собственности на материальный объект, в котором выражены.</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        Частным случаем интеллектуальной собственности является промышленная собственность. К ней относится изобретения, полезные модели, промышленные образцы, фирменное наименование, товарный знак, знак обслуживания. Имущественные и связанные с ними личные неимущественные отношения, основанные на промышленной собственности, регулируются законом Украины  "Об охране  прав  на  промышленные  образцы"</w:t>
      </w:r>
      <w:r>
        <w:rPr>
          <w:rStyle w:val="af0"/>
          <w:rFonts w:ascii="LMUkrLine" w:hAnsi="LMUkrLine" w:cs="LMUkrLine"/>
          <w:spacing w:val="0"/>
          <w:kern w:val="0"/>
          <w:position w:val="0"/>
          <w:sz w:val="28"/>
          <w:szCs w:val="28"/>
        </w:rPr>
        <w:footnoteReference w:id="3"/>
      </w:r>
      <w:r>
        <w:rPr>
          <w:rFonts w:ascii="LMUkrLine" w:hAnsi="LMUkrLine" w:cs="LMUkrLine"/>
          <w:spacing w:val="0"/>
          <w:kern w:val="0"/>
          <w:position w:val="0"/>
          <w:sz w:val="28"/>
          <w:szCs w:val="28"/>
        </w:rPr>
        <w:t xml:space="preserve">        Результаты интеллектуальной деятельности, как блага нематериальные, могут рассматриваться в качестве определённого вида информационных ресурсов. Однако сами эти ресурсы не сводятся к произведениям творчества и другим результатам интеллектуальной деятельности и могут существовать также в виде самых разнообразных знаний научного, технического, технологического, коммерческого и иного характера.</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        В современном мире информация выступает в качестве особого объекта договорных отношений, связанных с её сбором, хранением, поиском, переработкой, распространением и использованием в различных сферах человеческой деятельности. При этом особое значение имеет машинная информация, циркулирующая в вычислительной среде, зафиксированная на физическом носителе в форме, доступной восприятию ЭВМ, или передающаяся по телекоммуникационным каналам.</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        Как объект гражданских прав информация должна обладать следующими признаками: </w:t>
      </w:r>
    </w:p>
    <w:p w:rsidR="00A41AC0" w:rsidRDefault="00A41AC0">
      <w:pPr>
        <w:pStyle w:val="a4"/>
        <w:numPr>
          <w:ilvl w:val="0"/>
          <w:numId w:val="4"/>
        </w:numPr>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информация является идеальным компонентом бытия, т.е. благом нематериальным;</w:t>
      </w:r>
    </w:p>
    <w:p w:rsidR="00A41AC0" w:rsidRDefault="00A41AC0">
      <w:pPr>
        <w:pStyle w:val="a4"/>
        <w:numPr>
          <w:ilvl w:val="0"/>
          <w:numId w:val="4"/>
        </w:numPr>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информация – благо непотребляемое, которое подвергается лишь моральному, но не физическому старению;</w:t>
      </w:r>
    </w:p>
    <w:p w:rsidR="00A41AC0" w:rsidRDefault="00A41AC0">
      <w:pPr>
        <w:pStyle w:val="a4"/>
        <w:numPr>
          <w:ilvl w:val="0"/>
          <w:numId w:val="4"/>
        </w:numPr>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информация обладает возможностью неограниченного тиражирования, распространения и преобразования форм её фиксации.</w:t>
      </w:r>
    </w:p>
    <w:p w:rsidR="00A41AC0" w:rsidRDefault="00A41AC0">
      <w:pPr>
        <w:pStyle w:val="ac"/>
        <w:jc w:val="both"/>
        <w:rPr>
          <w:rFonts w:ascii="LMUkrLine Cyr" w:hAnsi="LMUkrLine Cyr" w:cs="LMUkrLine Cyr"/>
        </w:rPr>
      </w:pPr>
      <w:r>
        <w:rPr>
          <w:rFonts w:ascii="LMUkrLine Cyr" w:hAnsi="LMUkrLine Cyr" w:cs="LMUkrLine Cyr"/>
        </w:rPr>
        <w:t xml:space="preserve">        Законами “О Национальной программе информатизации”</w:t>
      </w:r>
      <w:r>
        <w:rPr>
          <w:rStyle w:val="af0"/>
          <w:rFonts w:ascii="LMUkrLine" w:hAnsi="LMUkrLine" w:cs="LMUkrLine"/>
        </w:rPr>
        <w:footnoteReference w:id="4"/>
      </w:r>
      <w:r>
        <w:rPr>
          <w:rFonts w:ascii="LMUkrLine Cyr" w:hAnsi="LMUkrLine Cyr" w:cs="LMUkrLine Cyr"/>
        </w:rPr>
        <w:t xml:space="preserve"> с изменениями, внесенными согласно закону N 2684-III от 13.09.2001 года, "О государственной поддержке средств массовой информации и социальная защита журналистов"</w:t>
      </w:r>
      <w:r>
        <w:rPr>
          <w:rStyle w:val="af0"/>
          <w:rFonts w:ascii="LMUkrLine" w:hAnsi="LMUkrLine" w:cs="LMUkrLine"/>
        </w:rPr>
        <w:footnoteReference w:id="5"/>
      </w:r>
      <w:r>
        <w:rPr>
          <w:rFonts w:ascii="LMUkrLine Cyr" w:hAnsi="LMUkrLine Cyr" w:cs="LMUkrLine Cyr"/>
        </w:rPr>
        <w:t>, "О  телевидении  и  радиовещании"</w:t>
      </w:r>
      <w:r>
        <w:rPr>
          <w:rStyle w:val="af0"/>
          <w:rFonts w:ascii="LMUkrLine" w:hAnsi="LMUkrLine" w:cs="LMUkrLine"/>
        </w:rPr>
        <w:footnoteReference w:id="6"/>
      </w:r>
      <w:r>
        <w:rPr>
          <w:rFonts w:ascii="LMUkrLine Cyr" w:hAnsi="LMUkrLine Cyr" w:cs="LMUkrLine Cyr"/>
        </w:rPr>
        <w:t xml:space="preserve"> не закрепляется за кем либо монополии на обладание и использование информации, за исключением той, которая является одновременно объектом интеллектуальной собственности или подпадает под понятие служебной или коммерческой тайны. Состав и объём сведений, составляющих коммерческую и служебную тайну, порядок её защиты определяются предпринимателем в отношении коммерческой тайны и государственными органами управления - в отношении служебной. Сведения, содержащиеся в уставах юридических лиц, не могут быть коммерческой тайной. Лица, незаконными методами получившие информацию, которая составляет служебную или коммерческую тайну, обязаны возместить причиненные убытки. Такая же обязанность возлагается на работников, разгласивших служебную или коммерческую тайну вопреки трудовому договору, в том числе контракту, и на контрагентов, сделавших это вопреки гражданско-правовому договору.</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        Наряду с результатами творческой деятельности объектами гражданских правоотношений выступают результаты иных действий. Так, предметом договора подряда является результат работы подрядчика, который он должен передать заказчику. В подряде и иных договорах подрядного типа результат приобретает вещную форму, т.е. материализуется в созданных, отремонтированных, переработанных вещах. Эти результаты могут быть отделены от самих действий, вследствие чего они рассматриваются в качестве самостоятельных объектов гражданских правоотношений. Полезный результат действий может выражаться не только в их вещественных результатах, но и заключаться в них самих. Так, деятельность поверенного, комиссионера, хранителя не имеет материализованного результата, но представляет юридически значимый интерес для доверителя, комитента, поклажедателя. Действия, результаты которых неотделимы от самой деятельности и потребляются в процессе этой деятельности, именуются услугами. </w:t>
      </w:r>
      <w:r>
        <w:rPr>
          <w:rFonts w:ascii="LMUkrLine" w:hAnsi="LMUkrLine" w:cs="LMUkrLine"/>
          <w:b/>
          <w:bCs/>
          <w:i/>
          <w:iCs/>
          <w:spacing w:val="0"/>
          <w:kern w:val="0"/>
          <w:position w:val="0"/>
          <w:sz w:val="28"/>
          <w:szCs w:val="28"/>
        </w:rPr>
        <w:t xml:space="preserve">Услуги </w:t>
      </w:r>
      <w:r>
        <w:rPr>
          <w:rFonts w:ascii="LMUkrLine" w:hAnsi="LMUkrLine" w:cs="LMUkrLine"/>
          <w:spacing w:val="0"/>
          <w:kern w:val="0"/>
          <w:position w:val="0"/>
          <w:sz w:val="28"/>
          <w:szCs w:val="28"/>
        </w:rPr>
        <w:t>– самостоятельный объект гражданских правоотношений. Широкое распространение получили посреднические, информационные, юридические, медицинские, образовательные, социально-культурные и иные услуги.</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        Особую группу объектов гражданских прав образуют </w:t>
      </w:r>
      <w:r>
        <w:rPr>
          <w:rFonts w:ascii="LMUkrLine" w:hAnsi="LMUkrLine" w:cs="LMUkrLine"/>
          <w:b/>
          <w:bCs/>
          <w:i/>
          <w:iCs/>
          <w:spacing w:val="0"/>
          <w:kern w:val="0"/>
          <w:position w:val="0"/>
          <w:sz w:val="28"/>
          <w:szCs w:val="28"/>
        </w:rPr>
        <w:t>нематериальные блага</w:t>
      </w:r>
      <w:r>
        <w:rPr>
          <w:rFonts w:ascii="LMUkrLine" w:hAnsi="LMUkrLine" w:cs="LMUkrLine"/>
          <w:spacing w:val="0"/>
          <w:kern w:val="0"/>
          <w:position w:val="0"/>
          <w:sz w:val="28"/>
          <w:szCs w:val="28"/>
        </w:rPr>
        <w:t>, под которыми понимают не имеющие экономического содержания и неотделимые от личности их носителей блага и свободы, признанные и охраняемые действующим законодательством. К ним относится следующие:</w:t>
      </w:r>
    </w:p>
    <w:p w:rsidR="00A41AC0" w:rsidRDefault="00A41AC0">
      <w:pPr>
        <w:pStyle w:val="a4"/>
        <w:numPr>
          <w:ilvl w:val="0"/>
          <w:numId w:val="4"/>
        </w:numPr>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жизнь и здоровье;</w:t>
      </w:r>
    </w:p>
    <w:p w:rsidR="00A41AC0" w:rsidRDefault="00A41AC0">
      <w:pPr>
        <w:pStyle w:val="a4"/>
        <w:numPr>
          <w:ilvl w:val="0"/>
          <w:numId w:val="4"/>
        </w:numPr>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достоинство личности;</w:t>
      </w:r>
    </w:p>
    <w:p w:rsidR="00A41AC0" w:rsidRDefault="00A41AC0">
      <w:pPr>
        <w:pStyle w:val="a4"/>
        <w:numPr>
          <w:ilvl w:val="0"/>
          <w:numId w:val="4"/>
        </w:numPr>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честь и доброе имя;</w:t>
      </w:r>
    </w:p>
    <w:p w:rsidR="00A41AC0" w:rsidRDefault="00A41AC0">
      <w:pPr>
        <w:pStyle w:val="a4"/>
        <w:numPr>
          <w:ilvl w:val="0"/>
          <w:numId w:val="4"/>
        </w:numPr>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деловая репутация;</w:t>
      </w:r>
    </w:p>
    <w:p w:rsidR="00A41AC0" w:rsidRDefault="00A41AC0">
      <w:pPr>
        <w:pStyle w:val="a4"/>
        <w:numPr>
          <w:ilvl w:val="0"/>
          <w:numId w:val="4"/>
        </w:numPr>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неприкосновенность частной жизни;  </w:t>
      </w:r>
    </w:p>
    <w:p w:rsidR="00A41AC0" w:rsidRDefault="00A41AC0">
      <w:pPr>
        <w:pStyle w:val="a4"/>
        <w:numPr>
          <w:ilvl w:val="0"/>
          <w:numId w:val="4"/>
        </w:numPr>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личная и семейная тайна,</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иные личные неимущественные права и другие нематериальные блага,  принадлежащие гражданину от рождения или в силу закона,  неотчуждаемые и непередаваемые иным способом. В частности нельзя продать отдельные органы или части человеческой личности, уступить свою фамилию, авторство и т.п.</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        В качестве особого материального объекта гражданского права в различных отношениях выступают деньги. Они могут быть основным объектом правоотношения, например, в договоре займа, но чаще выступают в качестве всеобщего эквивалента как средство платежа. При этом деньги в наибольшей степени являются родовыми, заменимыми и делимыми вещами. Денежную купюру можно разменять на более мелкие купюры, а в качестве всеобщего эквивалента могут заменить любую другую вещь, свободно обращающуюся на рынке. В соответствии с законодательством Украины, деньгами можно возместить даже моральный вред.</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        Способ расчётов не влияет на качество денег и вид платежа. Расчёты могут проводиться в наличной форме путём передачи определённой суммы денег управомоченному лицу и путём безналичных расчётов через кредитное учреждение, путём списания суммы долга со счёта одного лица и зачисления этой суммы на счёт другого.</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        Деньги могут выступать и в качестве индивидуально-определённой вещи, если они, например, приобретены для коллекции нумизмата или служат целям правоохранительных органов для поимки преступника или получения вещественного доказательства. Во всех случаях каждый денежный знак индивидуализирован своим номером, неделим и незаменим, и на деньги распространяются общие правила об имуществе, за изъятиями, установленными законом. Так, деньги не могут быть истребованы от добросовестного приобретателя.</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        Одним из объектов гражданского права являются </w:t>
      </w:r>
      <w:r>
        <w:rPr>
          <w:rFonts w:ascii="LMUkrLine" w:hAnsi="LMUkrLine" w:cs="LMUkrLine"/>
          <w:b/>
          <w:bCs/>
          <w:i/>
          <w:iCs/>
          <w:spacing w:val="0"/>
          <w:kern w:val="0"/>
          <w:position w:val="0"/>
          <w:sz w:val="28"/>
          <w:szCs w:val="28"/>
        </w:rPr>
        <w:t>ценные бумаги</w:t>
      </w:r>
      <w:r>
        <w:rPr>
          <w:rFonts w:ascii="LMUkrLine" w:hAnsi="LMUkrLine" w:cs="LMUkrLine"/>
          <w:spacing w:val="0"/>
          <w:kern w:val="0"/>
          <w:position w:val="0"/>
          <w:sz w:val="28"/>
          <w:szCs w:val="28"/>
        </w:rPr>
        <w:t>.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 передачей ценной бумаги переходят все удостоверяемые ею права в совокупности. Таким образом, ценная бумага - строго формальный документ. Отсутствие обязательных реквизитов, предусмотренных для данного вида ценной бумаги, или несоответствие ценной бумаги установленной для неё форме влечёт её ничтожность. Например, если вексель составлен с нарушением формы (чаще всего неправильно указывается дата оплаты векселя), то такой документ не может рассматриваться как вексель. Отличительная особенность всех видов ценных бумаг - необходимость их предъявления для осуществления прав, удостоверенных ценными бумагами. В этом отличие  прав субъектов гражданско-правовой сделки, осуществление которой не требует, по общему правилу, предъявления документа, подтверждающего заключение данной сделки.</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        Ценные бумаги подразделяются на “казуальные” и “абстрактные”. Казуальными являются ценные бумаги, содержащие ссылку на основную сделку. В тех случаях, когда из ценной бумаги возникает новое обязательство, которое не зависит от лежащей в его основе сделки, имеют место абстрактные ценные бумаги. Так, если покупатель продукции расплатился путём передачи чека, то обязательство выплатить по чеку не зависит от обязательства, основанного на договоре купли-продажи.</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        Особенность всех видов ценных бумаг - возможность их широкого обращения, что достигается за счёт упрощённого порядка передачи прав по ценной бумаге. Права, удостоверенные ценной бумагой на предъявителя, передаются путём вручения ценной бумаги новому владельцу. Предъявительские ценные бумаги обладают наибольшей оборотоспособностью. Более сложный порядок передачи именных ценных бумаг, которые можно переуступить только в обычном гражданско-правовом порядке, установленном для уступки требования, т.е. путём заключения сделки между новым и предыдущим владельцами ценной бумаги. Права по ордерной ценной бумаге передаются с помощью передаточной надписи - индоссамента. Передаточная надпись на ценной бумаге означает, что все права, удостоверенные ценной бумагой, принадлежащие лицу, учинившему надпись, - индоссанту, переходят субъекту, которому передаются права по ценной бумаге, - индоссату. Все лица, учинившие передаточные надписи - индоссировавшие ценную бумагу, несут перед её законным владельцем, как и лицо, выдавшее ценную бумагу, солидарную ответственность. Таким образом, законный владелец ценной бумаги может требовать исполнения обязательства, вытекающего из ценной бумаги, от лица, выдавшего ценную бумагу, либо от всех обязанных лиц. Лица, исполнившие обязательство, удостоверенное ценной бумагой, получают право обратного требования (регресса) к остальным лицам, обязавшимся по ценной бумаге.</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        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 </w:t>
      </w:r>
    </w:p>
    <w:p w:rsidR="00A41AC0" w:rsidRDefault="00A41AC0">
      <w:pPr>
        <w:pStyle w:val="a4"/>
        <w:spacing w:line="360" w:lineRule="auto"/>
        <w:jc w:val="both"/>
        <w:rPr>
          <w:rFonts w:ascii="LMUkrLine" w:hAnsi="LMUkrLine" w:cs="LMUkrLine"/>
          <w:spacing w:val="0"/>
          <w:kern w:val="0"/>
          <w:position w:val="0"/>
          <w:sz w:val="28"/>
          <w:szCs w:val="28"/>
        </w:rPr>
      </w:pPr>
    </w:p>
    <w:p w:rsidR="00A41AC0" w:rsidRDefault="00A41AC0">
      <w:pPr>
        <w:pStyle w:val="a4"/>
        <w:spacing w:line="360" w:lineRule="auto"/>
        <w:jc w:val="both"/>
        <w:rPr>
          <w:rFonts w:ascii="LMUkrLine" w:hAnsi="LMUkrLine" w:cs="LMUkrLine"/>
          <w:spacing w:val="0"/>
          <w:kern w:val="0"/>
          <w:position w:val="0"/>
          <w:sz w:val="28"/>
          <w:szCs w:val="28"/>
        </w:rPr>
      </w:pPr>
    </w:p>
    <w:p w:rsidR="00A41AC0" w:rsidRDefault="00A41AC0">
      <w:pPr>
        <w:pStyle w:val="a4"/>
        <w:spacing w:line="360" w:lineRule="auto"/>
        <w:jc w:val="both"/>
        <w:rPr>
          <w:rFonts w:ascii="LMUkrLine" w:hAnsi="LMUkrLine" w:cs="LMUkrLine"/>
          <w:spacing w:val="0"/>
          <w:kern w:val="0"/>
          <w:position w:val="0"/>
          <w:sz w:val="28"/>
          <w:szCs w:val="28"/>
        </w:rPr>
      </w:pPr>
    </w:p>
    <w:p w:rsidR="00A41AC0" w:rsidRDefault="00A41AC0">
      <w:pPr>
        <w:pStyle w:val="a4"/>
        <w:spacing w:line="360" w:lineRule="auto"/>
        <w:jc w:val="both"/>
        <w:rPr>
          <w:rFonts w:ascii="LMUkrLine" w:hAnsi="LMUkrLine" w:cs="LMUkrLine"/>
          <w:spacing w:val="0"/>
          <w:kern w:val="0"/>
          <w:position w:val="0"/>
          <w:sz w:val="28"/>
          <w:szCs w:val="28"/>
        </w:rPr>
      </w:pPr>
    </w:p>
    <w:p w:rsidR="00A41AC0" w:rsidRDefault="00A41AC0">
      <w:pPr>
        <w:pStyle w:val="a4"/>
        <w:spacing w:line="360" w:lineRule="auto"/>
        <w:jc w:val="both"/>
        <w:rPr>
          <w:rFonts w:ascii="LMUkrLine" w:hAnsi="LMUkrLine" w:cs="LMUkrLine"/>
          <w:spacing w:val="0"/>
          <w:kern w:val="0"/>
          <w:position w:val="0"/>
          <w:sz w:val="28"/>
          <w:szCs w:val="28"/>
        </w:rPr>
      </w:pP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ЗАДАЧА  № 3</w:t>
      </w:r>
    </w:p>
    <w:p w:rsidR="00A41AC0" w:rsidRDefault="00A41AC0">
      <w:pPr>
        <w:pStyle w:val="a4"/>
        <w:spacing w:line="360" w:lineRule="auto"/>
        <w:jc w:val="both"/>
        <w:rPr>
          <w:rFonts w:ascii="LMUkrLine" w:hAnsi="LMUkrLine" w:cs="LMUkrLine"/>
          <w:spacing w:val="0"/>
          <w:kern w:val="0"/>
          <w:position w:val="0"/>
          <w:sz w:val="28"/>
          <w:szCs w:val="28"/>
        </w:rPr>
      </w:pPr>
    </w:p>
    <w:p w:rsidR="00A41AC0" w:rsidRDefault="00A41AC0">
      <w:pPr>
        <w:pStyle w:val="a4"/>
        <w:jc w:val="both"/>
        <w:rPr>
          <w:rFonts w:ascii="LMUkrLine" w:hAnsi="LMUkrLine" w:cs="LMUkrLine"/>
          <w:i/>
          <w:iCs/>
          <w:spacing w:val="0"/>
          <w:kern w:val="0"/>
          <w:position w:val="0"/>
          <w:sz w:val="28"/>
          <w:szCs w:val="28"/>
        </w:rPr>
      </w:pPr>
      <w:r>
        <w:rPr>
          <w:rFonts w:ascii="LMUkrLine" w:hAnsi="LMUkrLine" w:cs="LMUkrLine"/>
          <w:i/>
          <w:iCs/>
          <w:spacing w:val="0"/>
          <w:kern w:val="0"/>
          <w:position w:val="0"/>
          <w:sz w:val="28"/>
          <w:szCs w:val="28"/>
        </w:rPr>
        <w:t xml:space="preserve">        Профсоюзный комитет завода передал подарки подшефной школе-интернату. В числе подарков было 20 облигаций государственного внутреннего займа. Через некоторое время в школе произошел пожар, во время которого среди прочего имущества сгорели и облигации, хранившиеся в сейфе директора школы. Вскоре состоялся тираж и на одну из сгоревших облигаций выпал выигрыш. Школа просила выдать ей выигрыш. В подтверждение того, что выигрышная облигация действительно принадлежала школе, было представлено письмо профкома завода, в котором были указаны номера и серии переданных школе облигаций. Однако Сбербанк отказался выплатить выигрыш.</w:t>
      </w:r>
    </w:p>
    <w:p w:rsidR="00A41AC0" w:rsidRDefault="00A41AC0">
      <w:pPr>
        <w:pStyle w:val="a4"/>
        <w:spacing w:line="360" w:lineRule="auto"/>
        <w:jc w:val="both"/>
        <w:rPr>
          <w:rFonts w:ascii="LMUkrLine" w:hAnsi="LMUkrLine" w:cs="LMUkrLine"/>
          <w:i/>
          <w:iCs/>
          <w:spacing w:val="0"/>
          <w:kern w:val="0"/>
          <w:position w:val="0"/>
          <w:sz w:val="28"/>
          <w:szCs w:val="28"/>
        </w:rPr>
      </w:pPr>
      <w:r>
        <w:rPr>
          <w:rFonts w:ascii="LMUkrLine" w:hAnsi="LMUkrLine" w:cs="LMUkrLine"/>
          <w:i/>
          <w:iCs/>
          <w:spacing w:val="0"/>
          <w:kern w:val="0"/>
          <w:position w:val="0"/>
          <w:sz w:val="28"/>
          <w:szCs w:val="28"/>
        </w:rPr>
        <w:t xml:space="preserve">        Правомерны ли действия Сбербанка?</w:t>
      </w:r>
    </w:p>
    <w:p w:rsidR="00A41AC0" w:rsidRDefault="00A41AC0">
      <w:pPr>
        <w:pStyle w:val="a4"/>
        <w:spacing w:line="360" w:lineRule="auto"/>
        <w:jc w:val="both"/>
        <w:rPr>
          <w:rFonts w:ascii="LMUkrLine" w:hAnsi="LMUkrLine" w:cs="LMUkrLine"/>
          <w:i/>
          <w:iCs/>
          <w:spacing w:val="0"/>
          <w:kern w:val="0"/>
          <w:position w:val="0"/>
          <w:sz w:val="28"/>
          <w:szCs w:val="28"/>
        </w:rPr>
      </w:pPr>
    </w:p>
    <w:p w:rsidR="00A41AC0" w:rsidRDefault="00A41AC0">
      <w:pPr>
        <w:pStyle w:val="a4"/>
        <w:spacing w:line="360" w:lineRule="auto"/>
        <w:ind w:firstLine="851"/>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Облигации внутренних займов в соответствии правил статьи 3 Закона “О ценных бумагах и фондовой бирже”</w:t>
      </w:r>
      <w:r>
        <w:rPr>
          <w:rStyle w:val="af0"/>
          <w:rFonts w:ascii="LMUkrLine" w:hAnsi="LMUkrLine" w:cs="LMUkrLine"/>
          <w:spacing w:val="0"/>
          <w:kern w:val="0"/>
          <w:position w:val="0"/>
          <w:sz w:val="28"/>
          <w:szCs w:val="28"/>
        </w:rPr>
        <w:footnoteReference w:id="7"/>
      </w:r>
      <w:r>
        <w:rPr>
          <w:rFonts w:ascii="LMUkrLine" w:hAnsi="LMUkrLine" w:cs="LMUkrLine"/>
          <w:spacing w:val="0"/>
          <w:kern w:val="0"/>
          <w:position w:val="0"/>
          <w:sz w:val="28"/>
          <w:szCs w:val="28"/>
        </w:rPr>
        <w:t xml:space="preserve"> введенного в действие Постановлением Верховной Рады Украины №1202-XII от 18.06.91 года, (далее – Закон) является одним из видов ценных бумаг.В Законе,  в статьи 1, указано, что: “Ценные бумаги, это денежные документы, которые удостоверяют право владения или отношения займа, определяют взаимоотношения между лицом, которое их выпустило, и их собственником и предусматривают, как правило, выплату дохода в виде дивидендов или процентов, а также возможность передачи денежных и других прав, которые вытекают из этих документов, другим лицам....     Ценные бумаги на предъявителя используются в обороте свободно.     Ценные бумаги могут быть использованы для осуществления расчетов, а также как залог для обеспечения платежей и кредитов.     Восстановление утраченных  именных  ценных  бумаг производится государственными органами, предприятиями, учреждениями и организациями, которые выпустили эти бумаги...”.</w:t>
      </w:r>
    </w:p>
    <w:p w:rsidR="00A41AC0" w:rsidRDefault="00A41AC0">
      <w:pPr>
        <w:pStyle w:val="a4"/>
        <w:spacing w:line="360" w:lineRule="auto"/>
        <w:jc w:val="both"/>
        <w:rPr>
          <w:rFonts w:ascii="LMUkrLine" w:hAnsi="LMUkrLine" w:cs="LMUkrLine"/>
          <w:spacing w:val="0"/>
          <w:kern w:val="0"/>
          <w:position w:val="0"/>
          <w:sz w:val="28"/>
          <w:szCs w:val="28"/>
        </w:rPr>
      </w:pPr>
      <w:r>
        <w:rPr>
          <w:rFonts w:ascii="LMUkrLine" w:hAnsi="LMUkrLine" w:cs="LMUkrLine"/>
          <w:spacing w:val="0"/>
          <w:kern w:val="0"/>
          <w:position w:val="0"/>
          <w:sz w:val="28"/>
          <w:szCs w:val="28"/>
        </w:rPr>
        <w:t xml:space="preserve">Основные характеристики облигаций внутренних и местных займов, которые выпускаются только на предъявителя, указываются в статье 10 Закона. В частности в ней сказано, что: “Облигация - ценная бумага, которая удостоверяет внесение  ее  собственником  денежных средств и подтверждает  обязательство  возместить ему нарицательную  стоимость этой ценной бумаги в предусмотренный в ней  срок  с  выплатой  фиксированного процента ( если другое не предусмотрено условиями выпуска). Облигации  всех  видов распространяются среди предприятий и граждан на добровольных началах…”.        Таким образом действия Сбербанка являются правомерными, так как облигация должна быть предъявлена в Сбербанк для получения выигрыша. </w:t>
      </w:r>
    </w:p>
    <w:p w:rsidR="00A41AC0" w:rsidRDefault="00A41AC0">
      <w:pPr>
        <w:pStyle w:val="a4"/>
        <w:spacing w:line="360" w:lineRule="auto"/>
        <w:jc w:val="both"/>
        <w:rPr>
          <w:rFonts w:ascii="LMUkrLine" w:hAnsi="LMUkrLine" w:cs="LMUkrLine"/>
          <w:spacing w:val="0"/>
          <w:kern w:val="0"/>
          <w:position w:val="0"/>
          <w:sz w:val="28"/>
          <w:szCs w:val="28"/>
        </w:rPr>
      </w:pPr>
    </w:p>
    <w:p w:rsidR="00A41AC0" w:rsidRDefault="00A41AC0">
      <w:pPr>
        <w:pStyle w:val="a4"/>
        <w:spacing w:line="360" w:lineRule="auto"/>
        <w:jc w:val="both"/>
        <w:rPr>
          <w:spacing w:val="0"/>
          <w:kern w:val="0"/>
          <w:position w:val="0"/>
          <w:sz w:val="28"/>
          <w:szCs w:val="28"/>
        </w:rPr>
      </w:pPr>
      <w:r>
        <w:rPr>
          <w:rFonts w:ascii="LMUkrLine" w:hAnsi="LMUkrLine" w:cs="LMUkrLine"/>
          <w:spacing w:val="0"/>
          <w:kern w:val="0"/>
          <w:position w:val="0"/>
          <w:sz w:val="28"/>
          <w:szCs w:val="28"/>
        </w:rPr>
        <w:t xml:space="preserve"> Данная работа написана с использованием Информационно- Аналитичекой Системы по законодательству Украины “Парус-Консультант” коpпоpации Паpус (04071, Укpаина, Киев, ул. Hабеpежно-Луговая, 12, </w:t>
      </w:r>
      <w:hyperlink r:id="rId7" w:history="1">
        <w:r>
          <w:rPr>
            <w:rStyle w:val="ae"/>
            <w:rFonts w:ascii="LMUkrLine" w:hAnsi="LMUkrLine" w:cs="LMUkrLine"/>
            <w:color w:val="auto"/>
            <w:spacing w:val="0"/>
            <w:kern w:val="0"/>
            <w:position w:val="0"/>
            <w:sz w:val="28"/>
            <w:szCs w:val="28"/>
          </w:rPr>
          <w:t>www.parus.com.ua</w:t>
        </w:r>
      </w:hyperlink>
      <w:r>
        <w:rPr>
          <w:rFonts w:ascii="LMUkrLine" w:hAnsi="LMUkrLine" w:cs="LMUkrLine"/>
          <w:spacing w:val="0"/>
          <w:kern w:val="0"/>
          <w:position w:val="0"/>
          <w:sz w:val="28"/>
          <w:szCs w:val="28"/>
        </w:rPr>
        <w:t xml:space="preserve">) и с использованием документов в системе </w:t>
      </w:r>
      <w:r>
        <w:rPr>
          <w:rFonts w:ascii="LMUkrLine" w:hAnsi="LMUkrLine" w:cs="LMUkrLine"/>
          <w:spacing w:val="0"/>
          <w:kern w:val="0"/>
          <w:position w:val="0"/>
          <w:sz w:val="28"/>
          <w:szCs w:val="28"/>
          <w:lang w:val="en-US"/>
        </w:rPr>
        <w:t>Internet</w:t>
      </w:r>
      <w:r>
        <w:rPr>
          <w:rFonts w:ascii="LMUkrLine" w:hAnsi="LMUkrLine" w:cs="LMUkrLine"/>
          <w:spacing w:val="0"/>
          <w:kern w:val="0"/>
          <w:position w:val="0"/>
          <w:sz w:val="28"/>
          <w:szCs w:val="28"/>
        </w:rPr>
        <w:t xml:space="preserve">. </w:t>
      </w:r>
      <w:r>
        <w:rPr>
          <w:rFonts w:ascii="LMUkrLine" w:hAnsi="LMUkrLine" w:cs="LMUkrLine"/>
          <w:spacing w:val="0"/>
          <w:kern w:val="0"/>
          <w:position w:val="0"/>
          <w:sz w:val="28"/>
          <w:szCs w:val="28"/>
        </w:rPr>
        <w:br/>
      </w:r>
      <w:bookmarkStart w:id="0" w:name="_GoBack"/>
      <w:bookmarkEnd w:id="0"/>
    </w:p>
    <w:sectPr w:rsidR="00A41AC0">
      <w:headerReference w:type="default" r:id="rId8"/>
      <w:footerReference w:type="default" r:id="rId9"/>
      <w:pgSz w:w="11907" w:h="16840" w:code="9"/>
      <w:pgMar w:top="1418" w:right="1134" w:bottom="1559" w:left="1418" w:header="709" w:footer="1089" w:gutter="0"/>
      <w:pgNumType w:start="3"/>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AC0" w:rsidRDefault="00A41AC0">
      <w:r>
        <w:separator/>
      </w:r>
    </w:p>
  </w:endnote>
  <w:endnote w:type="continuationSeparator" w:id="0">
    <w:p w:rsidR="00A41AC0" w:rsidRDefault="00A4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onotype Sorts">
    <w:panose1 w:val="00000000000000000000"/>
    <w:charset w:val="02"/>
    <w:family w:val="auto"/>
    <w:notTrueType/>
    <w:pitch w:val="variable"/>
  </w:font>
  <w:font w:name="Calibri">
    <w:panose1 w:val="020F0502020204030204"/>
    <w:charset w:val="CC"/>
    <w:family w:val="swiss"/>
    <w:pitch w:val="variable"/>
    <w:sig w:usb0="E00002FF" w:usb1="4000ACFF" w:usb2="00000001" w:usb3="00000000" w:csb0="0000019F" w:csb1="00000000"/>
  </w:font>
  <w:font w:name="LMUkrLine">
    <w:altName w:val="Courier New"/>
    <w:panose1 w:val="00000000000000000000"/>
    <w:charset w:val="00"/>
    <w:family w:val="swiss"/>
    <w:notTrueType/>
    <w:pitch w:val="variable"/>
    <w:sig w:usb0="00000003" w:usb1="00000000" w:usb2="00000000" w:usb3="00000000" w:csb0="00000001" w:csb1="00000000"/>
  </w:font>
  <w:font w:name="LMUkrLine Cyr">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AC0" w:rsidRDefault="00A41AC0">
    <w:pPr>
      <w:pStyle w:val="a7"/>
      <w:framePr w:wrap="auto"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A50D0E">
      <w:rPr>
        <w:rStyle w:val="af1"/>
        <w:noProof/>
      </w:rPr>
      <w:t>4</w:t>
    </w:r>
    <w:r>
      <w:rPr>
        <w:rStyle w:val="af1"/>
      </w:rPr>
      <w:fldChar w:fldCharType="end"/>
    </w:r>
  </w:p>
  <w:p w:rsidR="00A41AC0" w:rsidRDefault="00A41AC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AC0" w:rsidRDefault="00A41AC0">
      <w:r>
        <w:separator/>
      </w:r>
    </w:p>
  </w:footnote>
  <w:footnote w:type="continuationSeparator" w:id="0">
    <w:p w:rsidR="00A41AC0" w:rsidRDefault="00A41AC0">
      <w:r>
        <w:continuationSeparator/>
      </w:r>
    </w:p>
  </w:footnote>
  <w:footnote w:id="1">
    <w:p w:rsidR="00A41AC0" w:rsidRDefault="00A41AC0">
      <w:pPr>
        <w:pStyle w:val="af"/>
      </w:pPr>
      <w:r>
        <w:rPr>
          <w:rStyle w:val="af0"/>
        </w:rPr>
        <w:footnoteRef/>
      </w:r>
      <w:r>
        <w:t xml:space="preserve"> Ведомости Верховной Рады Украины, 1994 г., N 13, ст.  64</w:t>
      </w:r>
    </w:p>
  </w:footnote>
  <w:footnote w:id="2">
    <w:p w:rsidR="00A41AC0" w:rsidRDefault="00A41AC0">
      <w:pPr>
        <w:pStyle w:val="af"/>
      </w:pPr>
      <w:r>
        <w:rPr>
          <w:rStyle w:val="af0"/>
        </w:rPr>
        <w:footnoteRef/>
      </w:r>
      <w:r>
        <w:t xml:space="preserve"> Ведомости Верховной Ради Украины, 1994 г., N 7,  ст.  32; 2000 г., N 37, ст.307 </w:t>
      </w:r>
    </w:p>
  </w:footnote>
  <w:footnote w:id="3">
    <w:p w:rsidR="00A41AC0" w:rsidRDefault="00A41AC0">
      <w:pPr>
        <w:pStyle w:val="af"/>
      </w:pPr>
      <w:r>
        <w:rPr>
          <w:rStyle w:val="af0"/>
        </w:rPr>
        <w:footnoteRef/>
      </w:r>
      <w:r>
        <w:t xml:space="preserve"> Ведомости Верховной Ради Украины, 1994 г.,  N  7,  ст.  34</w:t>
      </w:r>
    </w:p>
  </w:footnote>
  <w:footnote w:id="4">
    <w:p w:rsidR="00A41AC0" w:rsidRDefault="00A41AC0">
      <w:pPr>
        <w:pStyle w:val="af"/>
      </w:pPr>
      <w:r>
        <w:rPr>
          <w:rStyle w:val="af0"/>
        </w:rPr>
        <w:footnoteRef/>
      </w:r>
      <w:r>
        <w:t xml:space="preserve"> Ведомости Верховной Рады (ВВР), 1998, N 27-28, ст.181</w:t>
      </w:r>
    </w:p>
  </w:footnote>
  <w:footnote w:id="5">
    <w:p w:rsidR="00A41AC0" w:rsidRDefault="00A41AC0">
      <w:pPr>
        <w:pStyle w:val="af"/>
      </w:pPr>
      <w:r>
        <w:rPr>
          <w:rStyle w:val="af0"/>
        </w:rPr>
        <w:footnoteRef/>
      </w:r>
      <w:r>
        <w:t xml:space="preserve"> Вiдомостi  Верховной  Рады Украины, 1997 г., N 50, ст. 302</w:t>
      </w:r>
    </w:p>
  </w:footnote>
  <w:footnote w:id="6">
    <w:p w:rsidR="00A41AC0" w:rsidRDefault="00A41AC0">
      <w:pPr>
        <w:pStyle w:val="af"/>
      </w:pPr>
      <w:r>
        <w:rPr>
          <w:rStyle w:val="af0"/>
        </w:rPr>
        <w:footnoteRef/>
      </w:r>
      <w:r>
        <w:t xml:space="preserve"> Ведомости Верховной Рады Украины, 1994 г., N 10, ст. 43; 1996 г., N 5,  ст. 18; 1998 г., N 34,    </w:t>
      </w:r>
    </w:p>
    <w:p w:rsidR="00A41AC0" w:rsidRDefault="00A41AC0">
      <w:pPr>
        <w:pStyle w:val="af"/>
      </w:pPr>
      <w:r>
        <w:t xml:space="preserve">   ст.233; 1999 г., N 41, ст. 373</w:t>
      </w:r>
    </w:p>
  </w:footnote>
  <w:footnote w:id="7">
    <w:p w:rsidR="00A41AC0" w:rsidRDefault="00A41AC0">
      <w:pPr>
        <w:pStyle w:val="af"/>
      </w:pPr>
      <w:r>
        <w:rPr>
          <w:rStyle w:val="af0"/>
        </w:rPr>
        <w:footnoteRef/>
      </w:r>
      <w:r>
        <w:t xml:space="preserve">  Вiдомостi Верховної Ради, 1991, N 38, ст.508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AC0" w:rsidRDefault="00A41AC0">
    <w:pPr>
      <w:pStyle w:val="a5"/>
      <w:ind w:firstLine="0"/>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A602C8"/>
    <w:multiLevelType w:val="singleLevel"/>
    <w:tmpl w:val="E56867A8"/>
    <w:lvl w:ilvl="0">
      <w:start w:val="1"/>
      <w:numFmt w:val="decimal"/>
      <w:lvlText w:val="%1."/>
      <w:legacy w:legacy="1" w:legacySpace="0" w:legacyIndent="360"/>
      <w:lvlJc w:val="left"/>
      <w:pPr>
        <w:ind w:left="360" w:hanging="360"/>
      </w:pPr>
    </w:lvl>
  </w:abstractNum>
  <w:abstractNum w:abstractNumId="2">
    <w:nsid w:val="33F6291D"/>
    <w:multiLevelType w:val="singleLevel"/>
    <w:tmpl w:val="530EC99A"/>
    <w:lvl w:ilvl="0">
      <w:start w:val="1"/>
      <w:numFmt w:val="bullet"/>
      <w:lvlText w:val="-"/>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283"/>
        <w:lvlJc w:val="left"/>
        <w:pPr>
          <w:ind w:left="567" w:hanging="283"/>
        </w:pPr>
        <w:rPr>
          <w:rFonts w:ascii="Monotype Sorts" w:hAnsi="Monotype Sorts" w:cs="Monotype Sorts" w:hint="default"/>
        </w:rPr>
      </w:lvl>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D0E"/>
    <w:rsid w:val="00A34725"/>
    <w:rsid w:val="00A41AC0"/>
    <w:rsid w:val="00A50D0E"/>
    <w:rsid w:val="00EF5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70E479-29A5-466A-AC03-F57C09B8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Îñíîâíîé øðèôò"/>
    <w:uiPriority w:val="99"/>
  </w:style>
  <w:style w:type="paragraph" w:customStyle="1" w:styleId="a4">
    <w:name w:val="Стиль"/>
    <w:uiPriority w:val="99"/>
    <w:pPr>
      <w:widowControl w:val="0"/>
      <w:autoSpaceDE w:val="0"/>
      <w:autoSpaceDN w:val="0"/>
    </w:pPr>
    <w:rPr>
      <w:rFonts w:ascii="Times New Roman" w:hAnsi="Times New Roman"/>
      <w:spacing w:val="-1"/>
      <w:kern w:val="65535"/>
      <w:position w:val="-1"/>
      <w:sz w:val="24"/>
      <w:szCs w:val="24"/>
    </w:rPr>
  </w:style>
  <w:style w:type="paragraph" w:styleId="a5">
    <w:name w:val="header"/>
    <w:basedOn w:val="a4"/>
    <w:link w:val="a6"/>
    <w:uiPriority w:val="99"/>
    <w:pPr>
      <w:tabs>
        <w:tab w:val="center" w:pos="4536"/>
        <w:tab w:val="right" w:pos="9072"/>
      </w:tabs>
      <w:ind w:firstLine="851"/>
    </w:pPr>
    <w:rPr>
      <w:spacing w:val="0"/>
      <w:kern w:val="0"/>
      <w:position w:val="0"/>
      <w:sz w:val="28"/>
      <w:szCs w:val="28"/>
    </w:r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paragraph" w:styleId="a7">
    <w:name w:val="footer"/>
    <w:basedOn w:val="a4"/>
    <w:link w:val="a8"/>
    <w:uiPriority w:val="99"/>
    <w:pPr>
      <w:tabs>
        <w:tab w:val="center" w:pos="4536"/>
        <w:tab w:val="right" w:pos="9072"/>
      </w:tabs>
      <w:ind w:firstLine="851"/>
    </w:pPr>
    <w:rPr>
      <w:spacing w:val="0"/>
      <w:kern w:val="0"/>
      <w:position w:val="0"/>
      <w:sz w:val="28"/>
      <w:szCs w:val="28"/>
    </w:rPr>
  </w:style>
  <w:style w:type="character" w:customStyle="1" w:styleId="a8">
    <w:name w:val="Нижний колонтитул Знак"/>
    <w:link w:val="a7"/>
    <w:uiPriority w:val="99"/>
    <w:semiHidden/>
    <w:rPr>
      <w:rFonts w:ascii="Times New Roman" w:hAnsi="Times New Roman" w:cs="Times New Roman"/>
      <w:sz w:val="20"/>
      <w:szCs w:val="20"/>
    </w:rPr>
  </w:style>
  <w:style w:type="character" w:customStyle="1" w:styleId="a9">
    <w:name w:val="íîìåð ñòðàíèöû"/>
    <w:uiPriority w:val="99"/>
  </w:style>
  <w:style w:type="paragraph" w:customStyle="1" w:styleId="aa">
    <w:name w:val="òåêñò ñíîñêè"/>
    <w:basedOn w:val="a4"/>
    <w:uiPriority w:val="99"/>
    <w:pPr>
      <w:ind w:firstLine="851"/>
    </w:pPr>
    <w:rPr>
      <w:spacing w:val="0"/>
      <w:kern w:val="0"/>
      <w:position w:val="0"/>
      <w:sz w:val="20"/>
      <w:szCs w:val="20"/>
    </w:rPr>
  </w:style>
  <w:style w:type="character" w:customStyle="1" w:styleId="ab">
    <w:name w:val="çíàê ñíîñêè"/>
    <w:uiPriority w:val="99"/>
    <w:rPr>
      <w:vertAlign w:val="superscript"/>
    </w:rPr>
  </w:style>
  <w:style w:type="paragraph" w:styleId="2">
    <w:name w:val="Body Text 2"/>
    <w:basedOn w:val="a4"/>
    <w:link w:val="20"/>
    <w:uiPriority w:val="99"/>
    <w:pPr>
      <w:ind w:firstLine="1134"/>
      <w:jc w:val="both"/>
    </w:pPr>
    <w:rPr>
      <w:spacing w:val="0"/>
      <w:kern w:val="0"/>
      <w:position w:val="0"/>
      <w:sz w:val="26"/>
      <w:szCs w:val="26"/>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c">
    <w:name w:val="Body Text"/>
    <w:basedOn w:val="a4"/>
    <w:link w:val="ad"/>
    <w:uiPriority w:val="99"/>
    <w:pPr>
      <w:spacing w:line="360" w:lineRule="auto"/>
    </w:pPr>
    <w:rPr>
      <w:spacing w:val="0"/>
      <w:kern w:val="0"/>
      <w:position w:val="0"/>
      <w:sz w:val="28"/>
      <w:szCs w:val="28"/>
    </w:rPr>
  </w:style>
  <w:style w:type="character" w:customStyle="1" w:styleId="ad">
    <w:name w:val="Основной текст Знак"/>
    <w:link w:val="ac"/>
    <w:uiPriority w:val="99"/>
    <w:semiHidden/>
    <w:rPr>
      <w:rFonts w:ascii="Times New Roman" w:hAnsi="Times New Roman" w:cs="Times New Roman"/>
      <w:sz w:val="20"/>
      <w:szCs w:val="20"/>
    </w:rPr>
  </w:style>
  <w:style w:type="character" w:styleId="ae">
    <w:name w:val="Hyperlink"/>
    <w:uiPriority w:val="99"/>
    <w:rPr>
      <w:color w:val="0000FF"/>
      <w:u w:val="single"/>
    </w:rPr>
  </w:style>
  <w:style w:type="paragraph" w:customStyle="1" w:styleId="af">
    <w:name w:val="текст сноски"/>
    <w:basedOn w:val="a4"/>
    <w:uiPriority w:val="99"/>
    <w:pPr>
      <w:ind w:firstLine="851"/>
    </w:pPr>
    <w:rPr>
      <w:spacing w:val="0"/>
      <w:kern w:val="0"/>
      <w:position w:val="0"/>
      <w:sz w:val="20"/>
      <w:szCs w:val="20"/>
    </w:rPr>
  </w:style>
  <w:style w:type="character" w:customStyle="1" w:styleId="af0">
    <w:name w:val="знак сноски"/>
    <w:uiPriority w:val="99"/>
    <w:rPr>
      <w:vertAlign w:val="superscript"/>
    </w:rPr>
  </w:style>
  <w:style w:type="character" w:customStyle="1" w:styleId="af1">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arus.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3623</Words>
  <Characters>20654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Под объектом права надо понимать то, на что направлены пра-ва и обязанности субъектов правоотношения, т.е. ”вещи, включая деньги и ценные бумаги, иное имущество, в том числе имущественные права; работы и услуги; информация; результаты интеллектуальной дея</vt:lpstr>
    </vt:vector>
  </TitlesOfParts>
  <Company>нотариат</Company>
  <LinksUpToDate>false</LinksUpToDate>
  <CharactersWithSpaces>24229</CharactersWithSpaces>
  <SharedDoc>false</SharedDoc>
  <HLinks>
    <vt:vector size="6" baseType="variant">
      <vt:variant>
        <vt:i4>917578</vt:i4>
      </vt:variant>
      <vt:variant>
        <vt:i4>0</vt:i4>
      </vt:variant>
      <vt:variant>
        <vt:i4>0</vt:i4>
      </vt:variant>
      <vt:variant>
        <vt:i4>5</vt:i4>
      </vt:variant>
      <vt:variant>
        <vt:lpwstr>http://www.parus.com.ua/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 объектом права надо понимать то, на что направлены пра-ва и обязанности субъектов правоотношения, т.е. ”вещи, включая деньги и ценные бумаги, иное имущество, в том числе имущественные права; работы и услуги; информация; результаты интеллектуальной дея</dc:title>
  <dc:subject/>
  <dc:creator>Евгений Стариченко</dc:creator>
  <cp:keywords/>
  <dc:description/>
  <cp:lastModifiedBy>admin</cp:lastModifiedBy>
  <cp:revision>2</cp:revision>
  <cp:lastPrinted>2001-11-10T12:17:00Z</cp:lastPrinted>
  <dcterms:created xsi:type="dcterms:W3CDTF">2014-04-06T15:58:00Z</dcterms:created>
  <dcterms:modified xsi:type="dcterms:W3CDTF">2014-04-06T15:58:00Z</dcterms:modified>
</cp:coreProperties>
</file>