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FF" w:rsidRPr="00563D61" w:rsidRDefault="00B577FF" w:rsidP="00563D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3D61">
        <w:rPr>
          <w:b/>
          <w:sz w:val="28"/>
          <w:szCs w:val="28"/>
        </w:rPr>
        <w:t>Содержание:</w:t>
      </w:r>
    </w:p>
    <w:p w:rsidR="00B577FF" w:rsidRPr="00563D61" w:rsidRDefault="00B577FF" w:rsidP="00563D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77FF" w:rsidRPr="00563D61" w:rsidRDefault="00B577FF" w:rsidP="00563D61">
      <w:pPr>
        <w:spacing w:line="360" w:lineRule="auto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Введение</w:t>
      </w:r>
    </w:p>
    <w:p w:rsidR="00B577FF" w:rsidRPr="00563D61" w:rsidRDefault="00B577FF" w:rsidP="00563D61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Отличия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</w:p>
    <w:p w:rsidR="00B577FF" w:rsidRPr="00563D61" w:rsidRDefault="00B577FF" w:rsidP="00563D61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Проблемы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</w:p>
    <w:p w:rsidR="00B577FF" w:rsidRPr="00563D61" w:rsidRDefault="00B577FF" w:rsidP="00563D61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Особенности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национальной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</w:t>
      </w:r>
    </w:p>
    <w:p w:rsidR="00B577FF" w:rsidRPr="00563D61" w:rsidRDefault="00B577FF" w:rsidP="00563D61">
      <w:pPr>
        <w:spacing w:line="360" w:lineRule="auto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Заключение</w:t>
      </w:r>
    </w:p>
    <w:p w:rsidR="00B577FF" w:rsidRPr="00563D61" w:rsidRDefault="00B577FF" w:rsidP="00563D61">
      <w:pPr>
        <w:spacing w:line="360" w:lineRule="auto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Список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используемой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литературы</w:t>
      </w:r>
    </w:p>
    <w:p w:rsidR="00B577FF" w:rsidRPr="00563D61" w:rsidRDefault="00B577FF" w:rsidP="00563D61">
      <w:pPr>
        <w:spacing w:line="360" w:lineRule="auto"/>
        <w:jc w:val="both"/>
        <w:rPr>
          <w:sz w:val="28"/>
          <w:szCs w:val="28"/>
        </w:rPr>
      </w:pPr>
    </w:p>
    <w:p w:rsidR="003E3F6F" w:rsidRPr="00563D61" w:rsidRDefault="00563D61" w:rsidP="00563D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7FB1" w:rsidRPr="00563D61">
        <w:rPr>
          <w:b/>
          <w:sz w:val="28"/>
          <w:szCs w:val="28"/>
        </w:rPr>
        <w:t>Введение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</w:p>
    <w:p w:rsidR="00563D61" w:rsidRDefault="00374375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становиться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особенно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актуально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наше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взаимных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Таким</w:t>
      </w:r>
      <w:r w:rsidR="002426F5">
        <w:rPr>
          <w:sz w:val="28"/>
          <w:szCs w:val="28"/>
        </w:rPr>
        <w:t xml:space="preserve"> </w:t>
      </w:r>
      <w:r w:rsidR="00563D61" w:rsidRPr="00563D61">
        <w:rPr>
          <w:sz w:val="28"/>
          <w:szCs w:val="28"/>
        </w:rPr>
        <w:t>образом,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знание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необходимо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фондовым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брокерам,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работникам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финансовых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отделов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предприятий.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использовании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хозяйственной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практике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предприятия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организации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сталкиваются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большим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количеством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вопросов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проблем,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методологии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учёта,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налогообложении.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Вопросы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недоумения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подчас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вызывают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инструкции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положения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издаваемые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государственными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органами,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зачастую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противоречащие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отдельных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принципиальных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вопросах,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появление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"товарных"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бездокументарном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виде,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наложение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ограничений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принципиально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написан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салфетке)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Всё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искажает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сущность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подрывает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доверие.</w:t>
      </w:r>
    </w:p>
    <w:p w:rsidR="00374375" w:rsidRPr="00563D61" w:rsidRDefault="00374375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становиться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особенно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актуально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наше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взаимных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Таким</w:t>
      </w:r>
      <w:r w:rsidR="002426F5">
        <w:rPr>
          <w:sz w:val="28"/>
          <w:szCs w:val="28"/>
        </w:rPr>
        <w:t xml:space="preserve"> </w:t>
      </w:r>
      <w:r w:rsidR="00563D61" w:rsidRPr="00563D61">
        <w:rPr>
          <w:sz w:val="28"/>
          <w:szCs w:val="28"/>
        </w:rPr>
        <w:t>образом,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знание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необходимо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фондовым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брокерам,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работникам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финансовых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отделов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предприятий.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использовании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хозяйственной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практике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предприятия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организации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сталкиваются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большим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количеством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вопросов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проблем,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методологии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учёта,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налогообложении.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Вопросы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недоумения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подчас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вызывают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инструкции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положения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издаваемые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государственными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органами,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зачастую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противоречащие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отдельных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принципиальных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вопросах,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появление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"товарных"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бездокументарном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виде,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наложение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ограничений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принципиально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написан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салфетке)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Всё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искажает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сущность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подрывает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доверие.</w:t>
      </w:r>
      <w:r w:rsidR="002426F5">
        <w:rPr>
          <w:sz w:val="28"/>
          <w:szCs w:val="28"/>
        </w:rPr>
        <w:t xml:space="preserve"> </w:t>
      </w:r>
    </w:p>
    <w:p w:rsidR="00374375" w:rsidRPr="00563D61" w:rsidRDefault="00374375" w:rsidP="00563D61">
      <w:pPr>
        <w:spacing w:line="360" w:lineRule="auto"/>
        <w:ind w:firstLine="709"/>
        <w:jc w:val="both"/>
        <w:rPr>
          <w:sz w:val="28"/>
          <w:szCs w:val="28"/>
        </w:rPr>
      </w:pPr>
    </w:p>
    <w:p w:rsidR="00374375" w:rsidRDefault="00563D61" w:rsidP="00563D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4375" w:rsidRPr="002426F5">
        <w:rPr>
          <w:b/>
          <w:sz w:val="28"/>
          <w:szCs w:val="28"/>
        </w:rPr>
        <w:t>1</w:t>
      </w:r>
      <w:r w:rsidR="00374375" w:rsidRPr="00563D61">
        <w:rPr>
          <w:b/>
          <w:sz w:val="28"/>
          <w:szCs w:val="28"/>
        </w:rPr>
        <w:t>.</w:t>
      </w:r>
      <w:r w:rsidR="002426F5">
        <w:rPr>
          <w:b/>
          <w:sz w:val="28"/>
          <w:szCs w:val="28"/>
        </w:rPr>
        <w:t xml:space="preserve"> </w:t>
      </w:r>
      <w:r w:rsidR="00374375" w:rsidRPr="00563D61">
        <w:rPr>
          <w:b/>
          <w:sz w:val="28"/>
          <w:szCs w:val="28"/>
        </w:rPr>
        <w:t>Отличие</w:t>
      </w:r>
      <w:r w:rsidR="002426F5">
        <w:rPr>
          <w:b/>
          <w:sz w:val="28"/>
          <w:szCs w:val="28"/>
        </w:rPr>
        <w:t xml:space="preserve"> </w:t>
      </w:r>
      <w:r w:rsidR="00374375" w:rsidRPr="00563D61">
        <w:rPr>
          <w:b/>
          <w:sz w:val="28"/>
          <w:szCs w:val="28"/>
        </w:rPr>
        <w:t>индоссамента</w:t>
      </w:r>
      <w:r w:rsidR="002426F5">
        <w:rPr>
          <w:b/>
          <w:sz w:val="28"/>
          <w:szCs w:val="28"/>
        </w:rPr>
        <w:t xml:space="preserve"> </w:t>
      </w:r>
      <w:r w:rsidR="00374375" w:rsidRPr="00563D61">
        <w:rPr>
          <w:b/>
          <w:sz w:val="28"/>
          <w:szCs w:val="28"/>
        </w:rPr>
        <w:t>от</w:t>
      </w:r>
      <w:r w:rsidR="002426F5">
        <w:rPr>
          <w:b/>
          <w:sz w:val="28"/>
          <w:szCs w:val="28"/>
        </w:rPr>
        <w:t xml:space="preserve"> </w:t>
      </w:r>
      <w:r w:rsidR="00374375" w:rsidRPr="00563D61">
        <w:rPr>
          <w:b/>
          <w:sz w:val="28"/>
          <w:szCs w:val="28"/>
        </w:rPr>
        <w:t>цессии</w:t>
      </w:r>
    </w:p>
    <w:p w:rsidR="00563D61" w:rsidRPr="00563D61" w:rsidRDefault="00563D61" w:rsidP="00563D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Первый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формальный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(внешний)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признак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выражающей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отчуждение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принадлежащих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Второй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принимающего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действительности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требуется.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Соответствующим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формальным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признаком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записью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двух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подписей.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выражает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согласие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отчуждение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принадлежащих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Вторая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означает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согласие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принимающего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приобретение,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Отсутствие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хотя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делает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недействительной.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один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числе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отчуждении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состояться,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удостоверения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отчуждателя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7812E0" w:rsidRPr="00563D61">
        <w:rPr>
          <w:sz w:val="28"/>
          <w:szCs w:val="28"/>
        </w:rPr>
        <w:t>(</w:t>
      </w:r>
      <w:r w:rsidRPr="00563D61">
        <w:rPr>
          <w:sz w:val="28"/>
          <w:szCs w:val="28"/>
        </w:rPr>
        <w:t>или</w:t>
      </w:r>
      <w:r w:rsidR="007812E0" w:rsidRPr="00563D61">
        <w:rPr>
          <w:sz w:val="28"/>
          <w:szCs w:val="28"/>
        </w:rPr>
        <w:t>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приобретателя.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квалифицировать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бумагах,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судя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юридической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природе,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индоссаменты,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соответствуют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цессии?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Действителен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подписанный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передающим,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принимающим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лицом?</w:t>
      </w:r>
      <w:r w:rsidR="002426F5">
        <w:rPr>
          <w:sz w:val="28"/>
          <w:szCs w:val="28"/>
        </w:rPr>
        <w:t xml:space="preserve"> </w:t>
      </w:r>
      <w:r w:rsidR="00057531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случаях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руководствоваться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природой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сделке.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следует,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речь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приеме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вытекающих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законодательство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запрещает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способы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помимо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придает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вексельно-правового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значения.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Значит,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легитимируется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специфическим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вексельным,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общегражданским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способом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удостоверяющим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пороками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возражениями,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поражены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период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принадлежности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предшествующему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кредитору.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принимающего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поставлена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надписью,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нельзя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однозначно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установить,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вторая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удостоверение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факта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приемки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чего-то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другого,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применять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положени</w:t>
      </w:r>
      <w:r w:rsidR="00881A70" w:rsidRPr="00563D61">
        <w:rPr>
          <w:sz w:val="28"/>
          <w:szCs w:val="28"/>
        </w:rPr>
        <w:t>я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специального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законодательства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бумагах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соответствующего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типа.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речь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чеке,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всякая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бумагах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каких-либо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поясняющих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сведений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рассматриваться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аваль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(чекодателя).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Гражданское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выработало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специальные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наименования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участников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цессии:</w:t>
      </w:r>
    </w:p>
    <w:p w:rsidR="003E3F6F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уступающее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бумагу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индоссаменту,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называется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индоссант;</w:t>
      </w:r>
    </w:p>
    <w:p w:rsidR="003E3F6F" w:rsidRPr="00563D61" w:rsidRDefault="002426F5" w:rsidP="00563D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принимающее</w:t>
      </w:r>
      <w:r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индоссат;</w:t>
      </w:r>
    </w:p>
    <w:p w:rsidR="003E3F6F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лицо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носитель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корреспондирующей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уступаемым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правам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юридической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обязанности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индоссатор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(двое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последних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индоссаменте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никакого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участия,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строго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говоря,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принимают).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Соответствующие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участники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называются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цедент,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цессионарий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цессионар.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Законодательством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России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выполняться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удостоверяющего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передаваемые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добавочном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(аллонже).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специального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установлено.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выполняться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любой,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запрещенной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законодательством,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письменной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оформлена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добавочном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листе,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виде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отдельного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Факт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доказываться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письмами,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телеграммами,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любыми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письменными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обмен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расценен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заключение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Единственное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законодательное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исключение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представляет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банковскому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сертификату.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практик</w:t>
      </w:r>
      <w:r w:rsidR="00881A70" w:rsidRPr="00563D61">
        <w:rPr>
          <w:sz w:val="28"/>
          <w:szCs w:val="28"/>
        </w:rPr>
        <w:t>е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многие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эмитенты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классических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(документарных)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облигаций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печатают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условия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клише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пи</w:t>
      </w:r>
      <w:r w:rsidR="00881A70" w:rsidRPr="00563D61">
        <w:rPr>
          <w:sz w:val="28"/>
          <w:szCs w:val="28"/>
        </w:rPr>
        <w:t>сали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дореволюционной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России,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(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трансфертов</w:t>
      </w:r>
      <w:r w:rsidR="00881A70" w:rsidRPr="00563D61">
        <w:rPr>
          <w:sz w:val="28"/>
          <w:szCs w:val="28"/>
        </w:rPr>
        <w:t>)</w:t>
      </w:r>
      <w:r w:rsidRPr="00563D61">
        <w:rPr>
          <w:sz w:val="28"/>
          <w:szCs w:val="28"/>
        </w:rPr>
        <w:t>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Поскольку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именной,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образом,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перечисленные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признаки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позволяли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однозначно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индивидуализировать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конкретного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участника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гражданского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оборота.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являясь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односторонней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сделкой,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себе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приказе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вообще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указывать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лица-индоссата.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Следовательно,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ордерным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предъявительским.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Кроме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допускается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пропущенными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(незаполненными)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элементами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содержания).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самостоятельно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заполнить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недостающие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поручить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заполнение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третьему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Подобная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процедура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применяться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поскольку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означало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одностороннее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условий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законодательством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допускается.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Законодательством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предусмотрена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возможность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называемого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запрещающего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</w:t>
      </w:r>
      <w:r w:rsidR="00881A70" w:rsidRPr="00563D61">
        <w:rPr>
          <w:sz w:val="28"/>
          <w:szCs w:val="28"/>
        </w:rPr>
        <w:t>ующее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индоссирование.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Запрещение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воспринимать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невозможность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индоссирования.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по-прежнему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</w:t>
      </w:r>
      <w:r w:rsidR="00881A70" w:rsidRPr="00563D61">
        <w:rPr>
          <w:sz w:val="28"/>
          <w:szCs w:val="28"/>
        </w:rPr>
        <w:t>т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произведено,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несмотря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на</w:t>
      </w:r>
      <w:r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</w:t>
      </w:r>
      <w:r w:rsidR="00881A70" w:rsidRPr="00563D61">
        <w:rPr>
          <w:sz w:val="28"/>
          <w:szCs w:val="28"/>
        </w:rPr>
        <w:t>четом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того,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учинившее</w:t>
      </w:r>
      <w:r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неисполнимость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соответствующего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дальнейшем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индоссирована.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индоссаменты,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совершенные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после</w:t>
      </w:r>
      <w:r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имеют</w:t>
      </w:r>
      <w:r w:rsidR="002426F5">
        <w:rPr>
          <w:sz w:val="28"/>
          <w:szCs w:val="28"/>
        </w:rPr>
        <w:t xml:space="preserve"> </w:t>
      </w:r>
      <w:r w:rsidR="00BE5251" w:rsidRPr="00563D61">
        <w:rPr>
          <w:sz w:val="28"/>
          <w:szCs w:val="28"/>
        </w:rPr>
        <w:t>последствия</w:t>
      </w:r>
      <w:r w:rsidR="002426F5">
        <w:rPr>
          <w:sz w:val="28"/>
          <w:szCs w:val="28"/>
        </w:rPr>
        <w:t xml:space="preserve"> </w:t>
      </w:r>
      <w:r w:rsidR="00BE5251" w:rsidRPr="00563D61">
        <w:rPr>
          <w:sz w:val="28"/>
          <w:szCs w:val="28"/>
        </w:rPr>
        <w:t>обыкновенной</w:t>
      </w:r>
      <w:r w:rsidR="002426F5">
        <w:rPr>
          <w:sz w:val="28"/>
          <w:szCs w:val="28"/>
        </w:rPr>
        <w:t xml:space="preserve"> </w:t>
      </w:r>
      <w:r w:rsidR="00BE5251"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ограничивающая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круг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образом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более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того.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Запрет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(запрет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заключение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договора)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ограничение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общегражданской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правоспособности,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связи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недопустимо.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Зачеркнутый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считается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ненаписанным,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поскольку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зачеркивание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производится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поверх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текста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более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поздним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волеизъявления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подписывается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Зачеркивание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расценивается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односторонняя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направленная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уничтожение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последствий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предполагается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произведенным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управомоченным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например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подписало,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приобрело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(например,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выкупило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регрессному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требованию).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что-то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практически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невозможно.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Зачеркивание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никогда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произведено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выгодно.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Следовательно,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лежит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бремя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всемерной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охраны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надлежащей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заботы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сохранении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незачеркнутым.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Зачеркнутая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сохраняет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силу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части,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испорчена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настолько,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возможность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первоначальное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содержание.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вызывает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сомнение,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устанавливается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судом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заинтересованной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стороны.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Зачеркнутая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повлечь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признание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недействительной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тогда,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между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участниками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достигнуто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соглашение,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отменяющее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(контр-цессия),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причем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более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строгой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форме.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Наконец,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последнее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формальное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отличие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возможность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(инкассового)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обеспечительного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(залогового)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невозможность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аналогичными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назначением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последствиями.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Препоручительный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переносит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кредитора;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определяет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кредитор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поручает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интересах.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иначе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называется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procura-индоссамент,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получающее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индоссаменту,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прокуристом.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Прокурист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уполномочивается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индоссаментом:</w:t>
      </w:r>
    </w:p>
    <w:p w:rsidR="003E3F6F" w:rsidRPr="00563D61" w:rsidRDefault="00BE5251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осуществление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прав,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отношении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которых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был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procura-индоссамент;</w:t>
      </w:r>
    </w:p>
    <w:p w:rsidR="003E3F6F" w:rsidRPr="00563D61" w:rsidRDefault="00BE5251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отказа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реализации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всех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необходимых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процедур,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подготавливающих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возможность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индоссантом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иска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="003E3F6F" w:rsidRPr="00563D61">
        <w:rPr>
          <w:sz w:val="28"/>
          <w:szCs w:val="28"/>
        </w:rPr>
        <w:t>должнику.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успешной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реализации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предоставленных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полномочий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прокурист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исполнение;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противном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возвратить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индоссантом)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Прокурист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возмещение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понесенных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расходов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уплату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вознаграждения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услуги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размере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условиях,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предусмотренных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инкассировании.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Обеспечительный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переносит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создает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кредитора.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Поскольку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акцессорным,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элементом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долг,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обеспечивается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находиться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непосредственно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лица-индоссата,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несмотря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собственником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продолжает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оставаться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устанавливает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режим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заклада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удостоверяющего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требования.</w:t>
      </w:r>
    </w:p>
    <w:p w:rsidR="00BE5251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Наличие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влияет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обычном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осложнится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необходимостью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залогодержателю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необходимостью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контроля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целостностью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обеспечительного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помним,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зачеркнутый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считается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ненаписанным.</w:t>
      </w:r>
      <w:r w:rsidR="002426F5">
        <w:rPr>
          <w:sz w:val="28"/>
          <w:szCs w:val="28"/>
        </w:rPr>
        <w:t xml:space="preserve"> 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Наличие,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например,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двух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(простого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залогового)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свидетельствует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последующие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приобретатели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получали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обремененным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индоссаменту.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Переход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собственности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воплощаемых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кредитора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безоговорочен: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вместе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собственника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(кредитора)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ложится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бремя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становится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обеспечивающим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основному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долгу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путем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принадлежащего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имущества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(ордерной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бумаги).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случаях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последующего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каждый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становится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гарантом.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неисполнении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самостоятельно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погасить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исполнения.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Основанием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принудительного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доказательства,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подтверждающие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факт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неисполнения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основного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Руководствуясь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вынести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заложенного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соответствующего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делающим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кредитором,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удостоверяемые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осуществлять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обычном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порядке.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лицу,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последним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качестве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произведет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зачеркивание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обеспечительно</w:t>
      </w:r>
      <w:r w:rsidR="00881A70" w:rsidRPr="00563D61">
        <w:rPr>
          <w:sz w:val="28"/>
          <w:szCs w:val="28"/>
        </w:rPr>
        <w:t>го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индоссамента,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дабы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(очистить)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обременения.</w:t>
      </w:r>
    </w:p>
    <w:p w:rsidR="003E3F6F" w:rsidRPr="00563D61" w:rsidRDefault="003E3F6F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Цессия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переносит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существующие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устанавливая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новых,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потому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допускается.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Правомочия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инкассанта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</w:t>
      </w:r>
      <w:r w:rsidR="00881A70" w:rsidRPr="00563D61">
        <w:rPr>
          <w:sz w:val="28"/>
          <w:szCs w:val="28"/>
        </w:rPr>
        <w:t>х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ценных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бумаг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имеют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особой</w:t>
      </w:r>
      <w:r w:rsidR="002426F5">
        <w:rPr>
          <w:sz w:val="28"/>
          <w:szCs w:val="28"/>
        </w:rPr>
        <w:t xml:space="preserve"> </w:t>
      </w:r>
      <w:r w:rsidR="00881A70" w:rsidRPr="00563D61">
        <w:rPr>
          <w:sz w:val="28"/>
          <w:szCs w:val="28"/>
        </w:rPr>
        <w:t>(ценнобумажной)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природы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отражаются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бумагах,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возникая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конституируясь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основе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общегражданских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документов.</w:t>
      </w:r>
    </w:p>
    <w:p w:rsidR="009B2CB4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</w:p>
    <w:p w:rsidR="00DE7440" w:rsidRPr="00563D61" w:rsidRDefault="00BE5251" w:rsidP="00563D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3D61">
        <w:rPr>
          <w:b/>
          <w:sz w:val="28"/>
          <w:szCs w:val="28"/>
        </w:rPr>
        <w:t>2.</w:t>
      </w:r>
      <w:r w:rsidR="00DE7440" w:rsidRPr="00563D61">
        <w:rPr>
          <w:b/>
          <w:sz w:val="28"/>
          <w:szCs w:val="28"/>
        </w:rPr>
        <w:t>Проблемы</w:t>
      </w:r>
      <w:r w:rsidR="002426F5">
        <w:rPr>
          <w:b/>
          <w:sz w:val="28"/>
          <w:szCs w:val="28"/>
        </w:rPr>
        <w:t xml:space="preserve"> </w:t>
      </w:r>
      <w:r w:rsidR="00DE7440" w:rsidRPr="00563D61">
        <w:rPr>
          <w:b/>
          <w:sz w:val="28"/>
          <w:szCs w:val="28"/>
        </w:rPr>
        <w:t>передачи</w:t>
      </w:r>
      <w:r w:rsidR="002426F5">
        <w:rPr>
          <w:b/>
          <w:sz w:val="28"/>
          <w:szCs w:val="28"/>
        </w:rPr>
        <w:t xml:space="preserve"> </w:t>
      </w:r>
      <w:r w:rsidR="00DE7440" w:rsidRPr="00563D61">
        <w:rPr>
          <w:b/>
          <w:sz w:val="28"/>
          <w:szCs w:val="28"/>
        </w:rPr>
        <w:t>векселя</w:t>
      </w:r>
    </w:p>
    <w:p w:rsidR="00BE5251" w:rsidRPr="00563D61" w:rsidRDefault="00BE5251" w:rsidP="00563D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Одним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характерных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признаков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другому.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помощью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специальной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именуемой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индоссаментом.</w:t>
      </w:r>
    </w:p>
    <w:p w:rsidR="00AD40A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Говоря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напомнить,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="00AD40A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стороне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добавочном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листе</w:t>
      </w:r>
      <w:r w:rsidR="002426F5">
        <w:rPr>
          <w:sz w:val="28"/>
          <w:szCs w:val="28"/>
        </w:rPr>
        <w:t xml:space="preserve"> </w:t>
      </w:r>
      <w:r w:rsidR="00AD40A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аллонже,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помощью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другому;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="00AD40A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</w:t>
      </w:r>
      <w:r w:rsidR="002426F5">
        <w:rPr>
          <w:sz w:val="28"/>
          <w:szCs w:val="28"/>
        </w:rPr>
        <w:t xml:space="preserve"> </w:t>
      </w:r>
      <w:r w:rsidR="00AD40A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получающее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индоссамента.</w:t>
      </w:r>
      <w:r w:rsidR="002426F5">
        <w:rPr>
          <w:sz w:val="28"/>
          <w:szCs w:val="28"/>
        </w:rPr>
        <w:t xml:space="preserve"> </w:t>
      </w:r>
    </w:p>
    <w:p w:rsidR="00AD40A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поставить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соответствующую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неуказания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считается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наступления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подписывается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руководителем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главным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бухгалтером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юридического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уполномоченными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заверяется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печатью.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индоссируется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физическим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подписывает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физическое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уполномоченное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скрепляется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печатью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наличии).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наименование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делать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этого.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втором</w:t>
      </w:r>
      <w:r w:rsidR="002426F5">
        <w:rPr>
          <w:sz w:val="28"/>
          <w:szCs w:val="28"/>
        </w:rPr>
        <w:t xml:space="preserve"> </w:t>
      </w:r>
      <w:r w:rsidR="00AD40A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бланковым.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Пример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выглядеть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образом: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«Платить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приказу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ООО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«Союз».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ООО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«Меркурий».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вид: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«Платить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приказу.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ООО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«Меркурий».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отсутствует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сделан.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состоять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например: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«ООО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«Меркурий».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выписанный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предъявителя,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например: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«Платить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приказу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предъявителя.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ООО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«Меркурий».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Владельцем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сделан.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Владельцем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бланкового</w:t>
      </w:r>
      <w:r w:rsidR="002426F5">
        <w:rPr>
          <w:sz w:val="28"/>
          <w:szCs w:val="28"/>
        </w:rPr>
        <w:t xml:space="preserve"> </w:t>
      </w:r>
      <w:r w:rsidR="00AD40A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находится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превратить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путем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зачеркивания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наименования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бланковый,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право:</w:t>
      </w:r>
    </w:p>
    <w:p w:rsidR="00AD40A0" w:rsidRPr="00563D61" w:rsidRDefault="00AD40A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заполнить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бланк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своим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именем,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именем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другого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лица,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превратить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бланковый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именной;</w:t>
      </w:r>
    </w:p>
    <w:p w:rsidR="00AD40A0" w:rsidRPr="00563D61" w:rsidRDefault="00AD40A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индоссировать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бланка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имя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какого-либо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другого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лица,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совершить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бланковый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именной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индоссамент;</w:t>
      </w:r>
    </w:p>
    <w:p w:rsidR="00AD40A0" w:rsidRPr="00563D61" w:rsidRDefault="00AD40A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передать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третьему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лицу,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заполняя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бланка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совершая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индоссамента,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передать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иному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лицу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без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передаточной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надписи.</w:t>
      </w: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переносит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вытекающие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оплаты;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опротестования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т.д.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поскольку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отвечает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ничем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обусловленным.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Формулировки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типа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«платить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приказу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условии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поставки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товаров»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недопустимы,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поскольку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всякое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ограничивающее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условие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считаться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ненаписанным.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Разделение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делает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дальнейшее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невозможным,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поэтому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законодательством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недействительность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частичного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индоссамента.</w:t>
      </w:r>
    </w:p>
    <w:p w:rsidR="009B2CB4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любого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векселеобязанного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могут,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очередь,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вексель.</w:t>
      </w:r>
      <w:r w:rsidR="002426F5">
        <w:rPr>
          <w:sz w:val="28"/>
          <w:szCs w:val="28"/>
        </w:rPr>
        <w:t xml:space="preserve"> </w:t>
      </w:r>
    </w:p>
    <w:p w:rsidR="009B2CB4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Различают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виды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индоссаментов:</w:t>
      </w:r>
      <w:r w:rsidR="002426F5">
        <w:rPr>
          <w:sz w:val="28"/>
          <w:szCs w:val="28"/>
        </w:rPr>
        <w:t xml:space="preserve"> </w:t>
      </w:r>
    </w:p>
    <w:p w:rsidR="009B2CB4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передаточный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индоссамент;</w:t>
      </w:r>
      <w:r w:rsidR="002426F5">
        <w:rPr>
          <w:sz w:val="28"/>
          <w:szCs w:val="28"/>
        </w:rPr>
        <w:t xml:space="preserve"> </w:t>
      </w:r>
    </w:p>
    <w:p w:rsidR="009B2CB4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препоручительный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индоссамент;</w:t>
      </w:r>
      <w:r w:rsidR="002426F5">
        <w:rPr>
          <w:sz w:val="28"/>
          <w:szCs w:val="28"/>
        </w:rPr>
        <w:t xml:space="preserve"> </w:t>
      </w:r>
    </w:p>
    <w:p w:rsidR="009B2CB4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обеспечительный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индоссамент.</w:t>
      </w:r>
    </w:p>
    <w:p w:rsidR="009B2CB4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Передаточным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переходит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собственности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собственность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бланковым.</w:t>
      </w:r>
      <w:r w:rsidR="002426F5">
        <w:rPr>
          <w:sz w:val="28"/>
          <w:szCs w:val="28"/>
        </w:rPr>
        <w:t xml:space="preserve"> </w:t>
      </w:r>
    </w:p>
    <w:p w:rsidR="009B2CB4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Препоручительным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держателем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поручению.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Выражается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словами: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«валюта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получению»,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инкассо»,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доверенному»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подобными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надписями.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получившее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индоссаменту,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становится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собственником.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уполномочено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действия: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деньги,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опротестовать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неакцепте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доверителя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индоссировавшего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уполномоченное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полномочия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первоначальной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запрет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дальнейшей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векселя.</w:t>
      </w:r>
      <w:r w:rsidR="002426F5">
        <w:rPr>
          <w:sz w:val="28"/>
          <w:szCs w:val="28"/>
        </w:rPr>
        <w:t xml:space="preserve"> </w:t>
      </w:r>
    </w:p>
    <w:p w:rsidR="00763755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Обеспечительным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залогодержателю.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Обеспеченный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словами: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«валюта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«валюта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обеспечение»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подобными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надписями.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обеспечительного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невыполнения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залогодателем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условий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Существует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мнение,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поместил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оговорку: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ответственности»,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меня»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т.д.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безоборотную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несет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третьими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индоссирован.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утверждение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основано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части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1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статьи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15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закона</w:t>
      </w:r>
      <w:r w:rsidR="002426F5">
        <w:rPr>
          <w:sz w:val="28"/>
          <w:szCs w:val="28"/>
        </w:rPr>
        <w:t xml:space="preserve"> </w:t>
      </w:r>
      <w:r w:rsidR="00763755"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="00763755" w:rsidRPr="00563D61">
        <w:rPr>
          <w:sz w:val="28"/>
          <w:szCs w:val="28"/>
        </w:rPr>
        <w:t>переводном</w:t>
      </w:r>
      <w:r w:rsidR="002426F5">
        <w:rPr>
          <w:sz w:val="28"/>
          <w:szCs w:val="28"/>
        </w:rPr>
        <w:t xml:space="preserve"> </w:t>
      </w:r>
      <w:r w:rsidR="00763755"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="00763755" w:rsidRPr="00563D61">
        <w:rPr>
          <w:sz w:val="28"/>
          <w:szCs w:val="28"/>
        </w:rPr>
        <w:t>простом</w:t>
      </w:r>
      <w:r w:rsidR="002426F5">
        <w:rPr>
          <w:sz w:val="28"/>
          <w:szCs w:val="28"/>
        </w:rPr>
        <w:t xml:space="preserve"> </w:t>
      </w:r>
      <w:r w:rsidR="00763755" w:rsidRPr="00563D61">
        <w:rPr>
          <w:sz w:val="28"/>
          <w:szCs w:val="28"/>
        </w:rPr>
        <w:t>векселе</w:t>
      </w:r>
      <w:r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устанавливает,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отвечает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поскольку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относятся: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запрещающая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последующий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(«не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приказу»);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(«валюта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поручению»,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инкассо»,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«доверяю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получить»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т.д.);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залоговый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(«валюта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залог»,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«валюта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обеспечение»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т.д.).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ответственности»,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меня»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предусмотрены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ранее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1922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года,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действовавшем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СССР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период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нэпа,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могли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применяться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1937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года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принятия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Положения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настоящее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безоборотные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считаться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ненаписанными.</w:t>
      </w:r>
      <w:r w:rsidR="002426F5">
        <w:rPr>
          <w:sz w:val="28"/>
          <w:szCs w:val="28"/>
        </w:rPr>
        <w:t xml:space="preserve"> </w:t>
      </w:r>
    </w:p>
    <w:p w:rsidR="00DE744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получившее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непрерывным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надписям,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правильным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векселедержателем.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добросовестно,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зависят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отношений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взаиморасчетов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между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предшествующими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последних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между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собой.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могут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выдвинуть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правильного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возражения,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основанные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личных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отношениях,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отношениях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сделкам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между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говорит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правильный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преимуществом.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Однако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доказано,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выбыл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владения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предшествующего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помимо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воли,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похищен,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путем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обмана,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насилия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аналогичными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способами,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известно,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недобросовестный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владелец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обязанность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доказывания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недобросовестного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лежит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ссылается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факт.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выдаче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поместить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тексте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приказу»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равнозначное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выражение,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например,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«только».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свидетельствует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запрете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первоприобретателем.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последствиями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общегражданской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уступки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последствия,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предшествующий.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истечении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силу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обыкновенной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несет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Выделим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основные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отличительные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черты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(см.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таблицу).</w:t>
      </w:r>
    </w:p>
    <w:p w:rsidR="00DE7440" w:rsidRPr="00563D61" w:rsidRDefault="00DE7440" w:rsidP="00563D61">
      <w:pPr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DE7440" w:rsidRPr="00563D61" w:rsidRDefault="00DE7440" w:rsidP="00563D61">
      <w:pPr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3D61">
        <w:rPr>
          <w:rStyle w:val="a4"/>
          <w:sz w:val="28"/>
          <w:szCs w:val="28"/>
        </w:rPr>
        <w:t>Таблица</w:t>
      </w:r>
      <w:r w:rsidR="002426F5">
        <w:rPr>
          <w:rStyle w:val="a4"/>
          <w:sz w:val="28"/>
          <w:szCs w:val="28"/>
        </w:rPr>
        <w:t xml:space="preserve"> </w:t>
      </w:r>
      <w:r w:rsidRPr="00563D61">
        <w:rPr>
          <w:rStyle w:val="a4"/>
          <w:sz w:val="28"/>
          <w:szCs w:val="28"/>
        </w:rPr>
        <w:t>отличий</w:t>
      </w:r>
      <w:r w:rsidR="002426F5">
        <w:rPr>
          <w:rStyle w:val="a4"/>
          <w:sz w:val="28"/>
          <w:szCs w:val="28"/>
        </w:rPr>
        <w:t xml:space="preserve"> </w:t>
      </w:r>
      <w:r w:rsidRPr="00563D61">
        <w:rPr>
          <w:rStyle w:val="a4"/>
          <w:sz w:val="28"/>
          <w:szCs w:val="28"/>
        </w:rPr>
        <w:t>индоссамента</w:t>
      </w:r>
      <w:r w:rsidR="002426F5">
        <w:rPr>
          <w:rStyle w:val="a4"/>
          <w:sz w:val="28"/>
          <w:szCs w:val="28"/>
        </w:rPr>
        <w:t xml:space="preserve"> </w:t>
      </w:r>
      <w:r w:rsidRPr="00563D61">
        <w:rPr>
          <w:rStyle w:val="a4"/>
          <w:sz w:val="28"/>
          <w:szCs w:val="28"/>
        </w:rPr>
        <w:t>и</w:t>
      </w:r>
      <w:r w:rsidR="002426F5">
        <w:rPr>
          <w:rStyle w:val="a4"/>
          <w:sz w:val="28"/>
          <w:szCs w:val="28"/>
        </w:rPr>
        <w:t xml:space="preserve"> </w:t>
      </w:r>
      <w:r w:rsidRPr="00563D61">
        <w:rPr>
          <w:rStyle w:val="a4"/>
          <w:sz w:val="28"/>
          <w:szCs w:val="28"/>
        </w:rPr>
        <w:t>цессии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5245"/>
      </w:tblGrid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rStyle w:val="a4"/>
                <w:sz w:val="20"/>
                <w:szCs w:val="20"/>
              </w:rPr>
              <w:t>Индоссамент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rStyle w:val="a4"/>
                <w:sz w:val="20"/>
                <w:szCs w:val="20"/>
              </w:rPr>
              <w:t>Цессия</w:t>
            </w:r>
          </w:p>
        </w:tc>
      </w:tr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При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совершении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индоссамента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индоссант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принимает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себя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ответственность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перед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всяким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последующим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векселедержателем.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При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цессии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уступающий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—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цедент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отвечает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перед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своим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преемником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—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цессионарием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за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действительность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уступаемого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права,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за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его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осуществимость.</w:t>
            </w:r>
          </w:p>
        </w:tc>
      </w:tr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Индоссамент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может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быть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именным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бланковым.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Цессия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бывает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только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именной.</w:t>
            </w:r>
          </w:p>
        </w:tc>
      </w:tr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Индоссамент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совершается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оборотной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стороне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или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аллонже.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Для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цессии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необходимо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совершение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передаточной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надписи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оборотной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стороне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или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аллонже,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также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составление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договора,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регулирующего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взаимоотношения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между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цедентом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цессионарием.</w:t>
            </w:r>
          </w:p>
        </w:tc>
      </w:tr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По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индоссаменту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индоссата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переходят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все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векселю.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Цессия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может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ограничиваться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уступкой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требования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одного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векселеобязанного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лица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(плательщика,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индоссанта).</w:t>
            </w:r>
          </w:p>
        </w:tc>
      </w:tr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Индоссамент,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которому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уступается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часть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вексельной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суммы,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является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недействительным.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Цессия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допускает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передачу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требования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части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вексельной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суммы.</w:t>
            </w:r>
          </w:p>
        </w:tc>
      </w:tr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Индоссат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приобретает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самостоятельное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отношению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к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вексельному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должнику.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Цессионарий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приобретает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не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самостоятельное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отношению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к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вексельному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должнику,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лишь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своего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цедента.</w:t>
            </w:r>
          </w:p>
        </w:tc>
      </w:tr>
      <w:tr w:rsidR="00DE7440" w:rsidRPr="00475F50" w:rsidTr="00475F50">
        <w:tc>
          <w:tcPr>
            <w:tcW w:w="2197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Индоссамент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предполагает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безусловную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передачу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по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векселю.</w:t>
            </w:r>
          </w:p>
        </w:tc>
        <w:tc>
          <w:tcPr>
            <w:tcW w:w="2803" w:type="pct"/>
            <w:shd w:val="clear" w:color="auto" w:fill="auto"/>
          </w:tcPr>
          <w:p w:rsidR="00DE7440" w:rsidRPr="00475F50" w:rsidRDefault="00DE7440" w:rsidP="00475F5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75F50">
              <w:rPr>
                <w:sz w:val="20"/>
                <w:szCs w:val="20"/>
              </w:rPr>
              <w:t>При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цессии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права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могут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быть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переданы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с</w:t>
            </w:r>
            <w:r w:rsidR="002426F5" w:rsidRPr="00475F50">
              <w:rPr>
                <w:sz w:val="20"/>
                <w:szCs w:val="20"/>
              </w:rPr>
              <w:t xml:space="preserve"> </w:t>
            </w:r>
            <w:r w:rsidRPr="00475F50">
              <w:rPr>
                <w:sz w:val="20"/>
                <w:szCs w:val="20"/>
              </w:rPr>
              <w:t>условием.</w:t>
            </w:r>
          </w:p>
        </w:tc>
      </w:tr>
    </w:tbl>
    <w:p w:rsidR="000F3E06" w:rsidRPr="00563D61" w:rsidRDefault="000F3E06" w:rsidP="00563D61">
      <w:pPr>
        <w:spacing w:line="360" w:lineRule="auto"/>
        <w:ind w:firstLine="709"/>
        <w:jc w:val="both"/>
        <w:rPr>
          <w:sz w:val="28"/>
          <w:szCs w:val="28"/>
        </w:rPr>
      </w:pPr>
    </w:p>
    <w:p w:rsidR="00DE7440" w:rsidRDefault="00563D61" w:rsidP="00563D61">
      <w:pPr>
        <w:spacing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br w:type="page"/>
      </w:r>
      <w:r w:rsidR="007812E0" w:rsidRPr="00563D61">
        <w:rPr>
          <w:b/>
          <w:sz w:val="28"/>
          <w:szCs w:val="28"/>
        </w:rPr>
        <w:t>3.</w:t>
      </w:r>
      <w:r w:rsidR="002426F5">
        <w:rPr>
          <w:b/>
          <w:sz w:val="28"/>
          <w:szCs w:val="28"/>
        </w:rPr>
        <w:t xml:space="preserve"> </w:t>
      </w:r>
      <w:r w:rsidR="00DE7440" w:rsidRPr="00563D61">
        <w:rPr>
          <w:rStyle w:val="a4"/>
          <w:sz w:val="28"/>
          <w:szCs w:val="28"/>
        </w:rPr>
        <w:t>Особенности</w:t>
      </w:r>
      <w:r w:rsidR="002426F5">
        <w:rPr>
          <w:rStyle w:val="a4"/>
          <w:sz w:val="28"/>
          <w:szCs w:val="28"/>
        </w:rPr>
        <w:t xml:space="preserve"> </w:t>
      </w:r>
      <w:r w:rsidR="00DE7440" w:rsidRPr="00563D61">
        <w:rPr>
          <w:rStyle w:val="a4"/>
          <w:sz w:val="28"/>
          <w:szCs w:val="28"/>
        </w:rPr>
        <w:t>национальной</w:t>
      </w:r>
      <w:r w:rsidR="002426F5">
        <w:rPr>
          <w:rStyle w:val="a4"/>
          <w:sz w:val="28"/>
          <w:szCs w:val="28"/>
        </w:rPr>
        <w:t xml:space="preserve"> </w:t>
      </w:r>
      <w:r w:rsidR="00DE7440" w:rsidRPr="00563D61">
        <w:rPr>
          <w:rStyle w:val="a4"/>
          <w:sz w:val="28"/>
          <w:szCs w:val="28"/>
        </w:rPr>
        <w:t>оплаты</w:t>
      </w:r>
      <w:r w:rsidR="002426F5">
        <w:rPr>
          <w:rStyle w:val="a4"/>
          <w:sz w:val="28"/>
          <w:szCs w:val="28"/>
        </w:rPr>
        <w:t xml:space="preserve"> </w:t>
      </w:r>
      <w:r w:rsidR="00DE7440" w:rsidRPr="00563D61">
        <w:rPr>
          <w:rStyle w:val="a4"/>
          <w:sz w:val="28"/>
          <w:szCs w:val="28"/>
        </w:rPr>
        <w:t>векселей</w:t>
      </w:r>
    </w:p>
    <w:p w:rsidR="00563D61" w:rsidRPr="00563D61" w:rsidRDefault="002426F5" w:rsidP="00563D61">
      <w:pPr>
        <w:spacing w:line="360" w:lineRule="auto"/>
        <w:ind w:firstLine="70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117FB1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Платеж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произведен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немедленно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составления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оплачен,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один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двух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рабочих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выданный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предъявлению»,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составления,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продлен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сокращен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индоссантами.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выражается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зависимости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вида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простой,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переводной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акцептанту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воспрещен,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назначено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отличное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местонахождения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домициляции,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являющееся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обозначенным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домицилиат,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домицилиату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домициляции.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именуется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домицилированным.</w:t>
      </w:r>
      <w:r w:rsidR="002426F5">
        <w:rPr>
          <w:sz w:val="28"/>
          <w:szCs w:val="28"/>
        </w:rPr>
        <w:t xml:space="preserve"> </w:t>
      </w:r>
    </w:p>
    <w:p w:rsidR="00117FB1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Признаком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домицилированного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лицевой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стороне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слов: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«Домицилирован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в…»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(название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банка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платежа),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«Плательщик…»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(название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банка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платежа),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«Подлежит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в…»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(название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банка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особого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равнозначного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выражения.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сказать,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нормы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УВЗ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составлялись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период,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распространены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расчеты,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требовалось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разрыва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времени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безналичных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денежных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расчетов,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применяемых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нынче.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Поэтому,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ранее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предъявлял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должнику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получал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средства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качестве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оставалось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достаточно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времени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неплатеже.</w:t>
      </w:r>
      <w:r w:rsidR="002426F5">
        <w:rPr>
          <w:sz w:val="28"/>
          <w:szCs w:val="28"/>
        </w:rPr>
        <w:t xml:space="preserve"> </w:t>
      </w:r>
    </w:p>
    <w:p w:rsidR="007812E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Плательщик,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уведомление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банка,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принимает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решений:</w:t>
      </w:r>
      <w:r w:rsidR="002426F5">
        <w:rPr>
          <w:sz w:val="28"/>
          <w:szCs w:val="28"/>
        </w:rPr>
        <w:t xml:space="preserve"> </w:t>
      </w:r>
    </w:p>
    <w:p w:rsidR="007812E0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обеспечить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оплату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срок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через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расчетную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палату;</w:t>
      </w:r>
    </w:p>
    <w:p w:rsidR="007812E0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позднее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наступления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подать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расчетную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палату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письменное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уведомление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отказе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оплатить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вексель;</w:t>
      </w:r>
      <w:r w:rsidR="002426F5">
        <w:rPr>
          <w:sz w:val="28"/>
          <w:szCs w:val="28"/>
        </w:rPr>
        <w:t xml:space="preserve"> </w:t>
      </w:r>
    </w:p>
    <w:p w:rsidR="007812E0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принять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любые,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запрещенные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действующим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законодательством,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меры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относительно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урегулирования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задолженности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векселю.</w:t>
      </w: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расчетная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палата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делает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отметку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обратной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стороне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аллонже,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имеется)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последнего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содержать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слова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в…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(подробное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название,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адрес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учреждения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банка)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расчетную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палату…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(дата,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работников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расчетной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палаты)».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Помимо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отметки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составляется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через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расчетную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палату,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указывается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плательщиком.</w:t>
      </w:r>
    </w:p>
    <w:p w:rsidR="00117FB1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сделал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эффективного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оговорил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валюту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отличную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валюты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выдачи,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осуществляться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правилам,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изложенным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выше.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отказаться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принять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часть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Последний,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очередь,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частичного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потребовать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отметку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расписку.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потребовать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распиской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Нередки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соглашается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отсрочку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изменяются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следовательно,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текст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могут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вноситься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исключительно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(трассантом)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инициативе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путем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зачеркивания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старого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реквизита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(старого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написания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внесения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изменений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проставления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подписи.</w:t>
      </w:r>
      <w:r w:rsidR="002426F5">
        <w:rPr>
          <w:sz w:val="28"/>
          <w:szCs w:val="28"/>
        </w:rPr>
        <w:t xml:space="preserve"> </w:t>
      </w: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согласие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внесение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изменений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текст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(установление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путем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написания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обратной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стороне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изменениями»),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внесения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изменений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поставить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подпись.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предоставления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отсрочки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какого-либо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изменения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согласие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(акцепт)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трассата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ранее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осуществлен.</w:t>
      </w:r>
    </w:p>
    <w:p w:rsidR="00117FB1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сохранить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предыдущих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индоссантов,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согласие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отсрочку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противном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утрачивает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регресса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ним.</w:t>
      </w:r>
    </w:p>
    <w:p w:rsidR="00374375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должник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внести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депозит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компетентному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органу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нотариусу.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Расходы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хранению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возлагаются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мог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других</w:t>
      </w:r>
      <w:r w:rsidR="00763755"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неакцепта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случаях,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препятствующих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нормальному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необходимо,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факты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официально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подтверждены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уполномоченным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государственным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органом,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векселя.</w:t>
      </w:r>
      <w:r w:rsidR="002426F5">
        <w:rPr>
          <w:sz w:val="28"/>
          <w:szCs w:val="28"/>
        </w:rPr>
        <w:t xml:space="preserve"> </w:t>
      </w: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Протест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нотариальное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удостоверение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фактов,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законодательство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связывает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наступление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правовых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последствий.</w:t>
      </w:r>
    </w:p>
    <w:p w:rsidR="007812E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Условно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выделить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группы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фактов,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нарушающих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нормальное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требующих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протеста:</w:t>
      </w:r>
    </w:p>
    <w:p w:rsidR="007812E0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нарушения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относительно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акцепта;</w:t>
      </w:r>
      <w:r w:rsidR="002426F5">
        <w:rPr>
          <w:sz w:val="28"/>
          <w:szCs w:val="28"/>
        </w:rPr>
        <w:t xml:space="preserve"> </w:t>
      </w:r>
    </w:p>
    <w:p w:rsidR="007812E0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нарушения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относительно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платежа;</w:t>
      </w:r>
    </w:p>
    <w:p w:rsidR="007812E0" w:rsidRPr="00563D61" w:rsidRDefault="002426F5" w:rsidP="00563D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2E0" w:rsidRPr="00563D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вексельного</w:t>
      </w:r>
      <w:r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обращения.</w:t>
      </w:r>
      <w:r>
        <w:rPr>
          <w:sz w:val="28"/>
          <w:szCs w:val="28"/>
        </w:rPr>
        <w:t xml:space="preserve"> </w:t>
      </w:r>
    </w:p>
    <w:p w:rsidR="00374375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Нарушениями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считаются: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невыдача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акцепту,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дефект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формы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другие.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неакцепте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воспользовался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акцептовал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потребовал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вторично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однако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вторичном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допустил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какие-либо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нарушения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относительно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ситуации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второго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позднее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12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часов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определенное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время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составления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подлежит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один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двух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рабочих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дней.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предъявлению»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день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предъявления.</w:t>
      </w:r>
      <w:r w:rsidR="002426F5">
        <w:rPr>
          <w:sz w:val="28"/>
          <w:szCs w:val="28"/>
        </w:rPr>
        <w:t xml:space="preserve"> </w:t>
      </w:r>
    </w:p>
    <w:p w:rsidR="00374375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нотариусу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нахождения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домицилированный,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нахождения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третьего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домицилиата.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Нотариус,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очередь,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предъявляет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нотариусом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плательщику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домицилиату.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12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часов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последует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нотариус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совершит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опротестование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векселеобязанных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лиц.</w:t>
      </w:r>
      <w:r w:rsidR="002426F5">
        <w:rPr>
          <w:sz w:val="28"/>
          <w:szCs w:val="28"/>
        </w:rPr>
        <w:t xml:space="preserve"> </w:t>
      </w:r>
    </w:p>
    <w:p w:rsidR="00374375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Протест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сопровождается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проставлением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соответствующей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отметки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составлением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взимается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государственная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пошлина.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Опротестованный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вместе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выдается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векселедержателю.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авалисты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могут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освободить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регрессных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Делается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путем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включения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текст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оговорки: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«оборот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издержек»,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равнозначной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сохраняет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регрессные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векселеобязанным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протеста.</w:t>
      </w:r>
      <w:r w:rsidR="002426F5">
        <w:rPr>
          <w:sz w:val="28"/>
          <w:szCs w:val="28"/>
        </w:rPr>
        <w:t xml:space="preserve"> </w:t>
      </w:r>
    </w:p>
    <w:p w:rsidR="009B2CB4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учитывать,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включена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векселедателем,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силу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подписавших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включена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авалистом,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силу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лишь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отношении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известить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переводной)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неакцепте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неплатеже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четырех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рабочих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«оборот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издержек»</w:t>
      </w:r>
      <w:r w:rsidR="002426F5">
        <w:rPr>
          <w:sz w:val="28"/>
          <w:szCs w:val="28"/>
        </w:rPr>
        <w:t xml:space="preserve"> </w:t>
      </w:r>
      <w:r w:rsidR="007812E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Каждый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течение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двух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рабочих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извещения,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сообщить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предшествующему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векселеобязанному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извещения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наименований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адресов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тех,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послал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предшествующие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извещения,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пославшее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извещение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несет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ответственность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ущерб,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причиненн</w:t>
      </w:r>
      <w:r w:rsidR="009B2CB4" w:rsidRPr="00563D61">
        <w:rPr>
          <w:sz w:val="28"/>
          <w:szCs w:val="28"/>
        </w:rPr>
        <w:t>ый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иным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векселеобязанным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лицам,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больше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векселя.</w:t>
      </w:r>
      <w:r w:rsidR="002426F5">
        <w:rPr>
          <w:sz w:val="28"/>
          <w:szCs w:val="28"/>
        </w:rPr>
        <w:t xml:space="preserve"> </w:t>
      </w: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Пропуск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влечет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утрату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векселеобязанным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исключением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простом.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Однако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помешало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непреодолимое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препятствие</w:t>
      </w:r>
      <w:r w:rsidR="002426F5">
        <w:rPr>
          <w:sz w:val="28"/>
          <w:szCs w:val="28"/>
        </w:rPr>
        <w:t xml:space="preserve"> </w:t>
      </w:r>
      <w:r w:rsidR="007812E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законодательное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распоряжение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какого-либо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государства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непреодолимой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силы,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продлеваются.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задержки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известить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непреодолимой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силы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сделать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аллонже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отметку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извещении,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проставив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подпись.</w:t>
      </w: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удовлетворено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акцептантом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трассантом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отказе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простом</w:t>
      </w:r>
      <w:r w:rsidR="002426F5">
        <w:rPr>
          <w:sz w:val="28"/>
          <w:szCs w:val="28"/>
        </w:rPr>
        <w:t xml:space="preserve"> </w:t>
      </w:r>
      <w:r w:rsidR="007812E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векселедателем,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прекращает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векселеобязанным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погашено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прекращает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оплатившее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обратиться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регресса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векселеучастникам.</w:t>
      </w:r>
    </w:p>
    <w:p w:rsidR="007812E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требовать:</w:t>
      </w:r>
    </w:p>
    <w:p w:rsidR="007812E0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сумму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векселя,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акцептованную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оплаченную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процентами,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они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были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указаны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тексте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векселя;</w:t>
      </w:r>
    </w:p>
    <w:p w:rsidR="009B2CB4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проценты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размере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учетной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ставки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НБ</w:t>
      </w:r>
      <w:r w:rsidR="00763755" w:rsidRPr="00563D61">
        <w:rPr>
          <w:sz w:val="28"/>
          <w:szCs w:val="28"/>
        </w:rPr>
        <w:t>Р</w:t>
      </w:r>
      <w:r w:rsidR="00DE7440"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исчисляемые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наступления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требования;</w:t>
      </w:r>
    </w:p>
    <w:p w:rsidR="007812E0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издержки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протесту,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рассылке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извещений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др.</w:t>
      </w:r>
    </w:p>
    <w:p w:rsidR="007812E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оплатившее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регресса,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требовать:</w:t>
      </w:r>
      <w:r w:rsidRPr="00563D61">
        <w:rPr>
          <w:sz w:val="28"/>
          <w:szCs w:val="28"/>
        </w:rPr>
        <w:br/>
      </w:r>
      <w:r w:rsidR="007812E0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уплаченную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сумму;</w:t>
      </w:r>
      <w:r w:rsidR="002426F5">
        <w:rPr>
          <w:sz w:val="28"/>
          <w:szCs w:val="28"/>
        </w:rPr>
        <w:t xml:space="preserve"> </w:t>
      </w:r>
    </w:p>
    <w:p w:rsidR="007812E0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проценты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размере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учетной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ставки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НБ</w:t>
      </w:r>
      <w:r w:rsidR="00763755" w:rsidRPr="00563D61">
        <w:rPr>
          <w:sz w:val="28"/>
          <w:szCs w:val="28"/>
        </w:rPr>
        <w:t>Р</w:t>
      </w:r>
      <w:r w:rsidR="00DE7440"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начиная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того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дня,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им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произведен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платеж;</w:t>
      </w:r>
      <w:r w:rsidR="002426F5">
        <w:rPr>
          <w:sz w:val="28"/>
          <w:szCs w:val="28"/>
        </w:rPr>
        <w:t xml:space="preserve"> </w:t>
      </w:r>
    </w:p>
    <w:p w:rsidR="007812E0" w:rsidRPr="00563D61" w:rsidRDefault="007812E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понесенные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издержки.</w:t>
      </w:r>
      <w:r w:rsidR="002426F5">
        <w:rPr>
          <w:sz w:val="28"/>
          <w:szCs w:val="28"/>
        </w:rPr>
        <w:t xml:space="preserve"> </w:t>
      </w:r>
    </w:p>
    <w:p w:rsidR="009B2CB4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Согласно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Закону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опротестованный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нотариусом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установленном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исполнительным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документом.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Однако,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чтобы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мог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принудительное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взыскание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задолженности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через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органы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Государственной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исполнительной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службы,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необходимо:</w:t>
      </w:r>
    </w:p>
    <w:p w:rsidR="009B2CB4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исполнительной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нотариуса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отношении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векселеобязанных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лиц;</w:t>
      </w:r>
    </w:p>
    <w:p w:rsidR="009B2CB4" w:rsidRPr="00563D61" w:rsidRDefault="009B2CB4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предъявление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иска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векселеобязанным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лицам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получение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решения</w:t>
      </w:r>
      <w:r w:rsidR="002426F5">
        <w:rPr>
          <w:sz w:val="28"/>
          <w:szCs w:val="28"/>
        </w:rPr>
        <w:t xml:space="preserve"> </w:t>
      </w:r>
      <w:r w:rsidR="00DE7440" w:rsidRPr="00563D61">
        <w:rPr>
          <w:sz w:val="28"/>
          <w:szCs w:val="28"/>
        </w:rPr>
        <w:t>суда.</w:t>
      </w:r>
    </w:p>
    <w:p w:rsid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Какой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путь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выбрать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исполнительную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нотариуса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либо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предъявлять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</w:t>
      </w:r>
      <w:r w:rsidR="002426F5">
        <w:rPr>
          <w:sz w:val="28"/>
          <w:szCs w:val="28"/>
        </w:rPr>
        <w:t xml:space="preserve"> </w:t>
      </w:r>
      <w:r w:rsidR="009B2CB4"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решать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оплатят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регресса.</w:t>
      </w:r>
      <w:r w:rsidR="002426F5">
        <w:rPr>
          <w:sz w:val="28"/>
          <w:szCs w:val="28"/>
        </w:rPr>
        <w:t xml:space="preserve"> </w:t>
      </w:r>
      <w:r w:rsidR="00763755" w:rsidRPr="00563D61">
        <w:rPr>
          <w:sz w:val="28"/>
          <w:szCs w:val="28"/>
        </w:rPr>
        <w:t>У</w:t>
      </w:r>
      <w:r w:rsidRPr="00563D61">
        <w:rPr>
          <w:sz w:val="28"/>
          <w:szCs w:val="28"/>
        </w:rPr>
        <w:t>станавлива</w:t>
      </w:r>
      <w:r w:rsidR="00763755" w:rsidRPr="00563D61">
        <w:rPr>
          <w:sz w:val="28"/>
          <w:szCs w:val="28"/>
        </w:rPr>
        <w:t>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давности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значит,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исполнительных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исков)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векселеобязанным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отличаются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общегражданских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исковой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давности.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вытекающие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акцептанту,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вытекающие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простого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векселедателю,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погашаются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истечении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погашаются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истечении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протеста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наличии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оговорки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«оборот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без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издержек».</w:t>
      </w:r>
    </w:p>
    <w:p w:rsidR="00DE744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переводного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погашаются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истечении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шести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месяцев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когда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оплатил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дня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предъявления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иска.</w:t>
      </w:r>
    </w:p>
    <w:p w:rsidR="00DE7440" w:rsidRPr="00563D61" w:rsidRDefault="00DE7440" w:rsidP="00563D61">
      <w:pPr>
        <w:spacing w:line="360" w:lineRule="auto"/>
        <w:ind w:firstLine="709"/>
        <w:jc w:val="both"/>
        <w:rPr>
          <w:sz w:val="28"/>
          <w:szCs w:val="28"/>
        </w:rPr>
      </w:pPr>
    </w:p>
    <w:p w:rsidR="007B1253" w:rsidRDefault="00563D61" w:rsidP="00563D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1253" w:rsidRPr="00563D61">
        <w:rPr>
          <w:b/>
          <w:sz w:val="28"/>
          <w:szCs w:val="28"/>
        </w:rPr>
        <w:t>Заключение</w:t>
      </w:r>
    </w:p>
    <w:p w:rsidR="00563D61" w:rsidRPr="00563D61" w:rsidRDefault="00563D61" w:rsidP="00563D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Одним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характерных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признаков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другому.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осуществляется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помощью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специальной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именуемой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индоссаментом.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Говоря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обращении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векселей,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напомнить,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что: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надпись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оборотной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стороне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добавочном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аллонже,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помощью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другому;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новому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векселедержателю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получающее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посредством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индоссамента.</w:t>
      </w:r>
      <w:r w:rsidR="002426F5">
        <w:rPr>
          <w:sz w:val="28"/>
          <w:szCs w:val="28"/>
        </w:rPr>
        <w:t xml:space="preserve"> 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поставить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соответствующую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дату.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неуказания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считается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наступления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платежа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векселю.</w:t>
      </w:r>
      <w:r w:rsidR="002426F5">
        <w:rPr>
          <w:sz w:val="28"/>
          <w:szCs w:val="28"/>
        </w:rPr>
        <w:t xml:space="preserve"> 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Различают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следующие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виды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индоссаментов:</w:t>
      </w:r>
      <w:r w:rsidR="002426F5">
        <w:rPr>
          <w:sz w:val="28"/>
          <w:szCs w:val="28"/>
        </w:rPr>
        <w:t xml:space="preserve"> 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передаточный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индоссамент;</w:t>
      </w:r>
      <w:r w:rsidR="002426F5">
        <w:rPr>
          <w:sz w:val="28"/>
          <w:szCs w:val="28"/>
        </w:rPr>
        <w:t xml:space="preserve"> 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индоссамент;</w:t>
      </w:r>
      <w:r w:rsidR="002426F5">
        <w:rPr>
          <w:sz w:val="28"/>
          <w:szCs w:val="28"/>
        </w:rPr>
        <w:t xml:space="preserve"> 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обеспечительный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индоссамент.</w:t>
      </w:r>
    </w:p>
    <w:p w:rsidR="007B1253" w:rsidRPr="00563D61" w:rsidRDefault="002426F5" w:rsidP="00563D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Передаточным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индоссамент,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индоссанта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индоссата.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индоссамент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именным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бланковым.</w:t>
      </w:r>
      <w:r>
        <w:rPr>
          <w:sz w:val="28"/>
          <w:szCs w:val="28"/>
        </w:rPr>
        <w:t xml:space="preserve"> 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Препоручительным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является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держателем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совершения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поручению.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Препоручительный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индоссамент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только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именным.</w:t>
      </w:r>
      <w:r w:rsidR="002426F5">
        <w:rPr>
          <w:sz w:val="28"/>
          <w:szCs w:val="28"/>
        </w:rPr>
        <w:t xml:space="preserve"> </w:t>
      </w:r>
    </w:p>
    <w:p w:rsidR="0006750E" w:rsidRPr="00563D61" w:rsidRDefault="002426F5" w:rsidP="00563D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50E" w:rsidRPr="00563D61">
        <w:rPr>
          <w:sz w:val="28"/>
          <w:szCs w:val="28"/>
        </w:rPr>
        <w:t>Именной</w:t>
      </w:r>
      <w:r>
        <w:rPr>
          <w:sz w:val="28"/>
          <w:szCs w:val="28"/>
        </w:rPr>
        <w:t xml:space="preserve"> </w:t>
      </w:r>
      <w:r w:rsidR="0006750E" w:rsidRPr="00563D61">
        <w:rPr>
          <w:sz w:val="28"/>
          <w:szCs w:val="28"/>
        </w:rPr>
        <w:t>вексель,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переда</w:t>
      </w:r>
      <w:r w:rsidR="0006750E" w:rsidRPr="00563D61">
        <w:rPr>
          <w:sz w:val="28"/>
          <w:szCs w:val="28"/>
        </w:rPr>
        <w:t>нный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последствиями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общегражданской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уступки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1253" w:rsidRPr="00563D61">
        <w:rPr>
          <w:sz w:val="28"/>
          <w:szCs w:val="28"/>
        </w:rPr>
        <w:t>цессии.</w:t>
      </w:r>
    </w:p>
    <w:p w:rsidR="0006750E" w:rsidRPr="00563D61" w:rsidRDefault="0006750E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bCs/>
          <w:sz w:val="28"/>
          <w:szCs w:val="28"/>
        </w:rPr>
        <w:t>Цессия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уступка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прав</w:t>
      </w:r>
      <w:r w:rsidR="002426F5" w:rsidRPr="00D94FDC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иного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имущества</w:t>
      </w:r>
      <w:r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собственности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подтверждаются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некими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документами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</w:t>
      </w:r>
      <w:r w:rsidRPr="00D94FDC">
        <w:rPr>
          <w:sz w:val="28"/>
          <w:szCs w:val="28"/>
        </w:rPr>
        <w:t>титулом</w:t>
      </w:r>
      <w:r w:rsidRPr="00563D61">
        <w:rPr>
          <w:sz w:val="28"/>
          <w:szCs w:val="28"/>
        </w:rPr>
        <w:t>);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международном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уступка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одним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государством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территории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соглашению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между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ними.</w:t>
      </w:r>
      <w:r w:rsidR="002426F5">
        <w:rPr>
          <w:sz w:val="28"/>
          <w:szCs w:val="28"/>
        </w:rPr>
        <w:t xml:space="preserve"> </w:t>
      </w:r>
    </w:p>
    <w:p w:rsidR="0006750E" w:rsidRPr="00563D61" w:rsidRDefault="0006750E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России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принято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называть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уступки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дебиторскую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задолженность,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продажу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долга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третьих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соглашение</w:t>
      </w:r>
      <w:r w:rsidRPr="00563D61">
        <w:rPr>
          <w:sz w:val="28"/>
          <w:szCs w:val="28"/>
        </w:rPr>
        <w:t>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соответствии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которым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</w:t>
      </w:r>
      <w:r w:rsidRPr="00D94FDC">
        <w:rPr>
          <w:sz w:val="28"/>
          <w:szCs w:val="28"/>
        </w:rPr>
        <w:t>кредитор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аналогичное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передаваемому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договору)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другому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(принимающему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такую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задолженность)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третьему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</w:t>
      </w:r>
      <w:r w:rsidRPr="00D94FDC">
        <w:rPr>
          <w:sz w:val="28"/>
          <w:szCs w:val="28"/>
        </w:rPr>
        <w:t>должнику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передаваемому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договору),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уступающий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цедент,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приобретающий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цессионарий.</w:t>
      </w:r>
    </w:p>
    <w:p w:rsidR="0006750E" w:rsidRPr="00563D61" w:rsidRDefault="0006750E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Типична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требований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коллекторским</w:t>
      </w:r>
      <w:r w:rsidR="002426F5" w:rsidRPr="00D94FDC">
        <w:rPr>
          <w:sz w:val="28"/>
          <w:szCs w:val="28"/>
        </w:rPr>
        <w:t xml:space="preserve"> </w:t>
      </w:r>
      <w:r w:rsidR="00B577FF" w:rsidRPr="00D94FDC">
        <w:rPr>
          <w:sz w:val="28"/>
          <w:szCs w:val="28"/>
        </w:rPr>
        <w:t>агентствам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банкам</w:t>
      </w:r>
      <w:r w:rsidRPr="00563D61">
        <w:rPr>
          <w:sz w:val="28"/>
          <w:szCs w:val="28"/>
        </w:rPr>
        <w:t>.</w:t>
      </w:r>
    </w:p>
    <w:p w:rsidR="0006750E" w:rsidRPr="00563D61" w:rsidRDefault="0006750E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доказательстве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действительности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порядке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отличие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индоссамента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необходимо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доказывать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действительность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первоначального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промежуточных.</w:t>
      </w:r>
    </w:p>
    <w:p w:rsidR="0006750E" w:rsidRPr="00563D61" w:rsidRDefault="0006750E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Договор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оформлен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даже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купли-продажи,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однако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любом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случае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легитимности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должен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определён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предмет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какому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срок,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желательно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указать,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каком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объёме.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Вместе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заключением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оригиналы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служащих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обоснованием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задолженности,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числе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предыдущие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договоры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цессии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задолженности,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таковые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были.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невозможна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состоялась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-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привлечь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остаются,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качестве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третьей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стороны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для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предоставления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оригиналов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документов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процесс,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котором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будет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устанавливаться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обоснованность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требований.</w:t>
      </w:r>
    </w:p>
    <w:p w:rsidR="0006750E" w:rsidRPr="002426F5" w:rsidRDefault="0006750E" w:rsidP="00563D6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3D61">
        <w:rPr>
          <w:sz w:val="28"/>
          <w:szCs w:val="28"/>
        </w:rPr>
        <w:t>Цедент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больше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чем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имеет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сам,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этом,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оговаривается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обратное,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передаются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все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связанные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(пени,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штрафы,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неустойка).</w:t>
      </w:r>
      <w:r w:rsidR="002426F5" w:rsidRPr="002426F5">
        <w:rPr>
          <w:sz w:val="28"/>
          <w:szCs w:val="28"/>
          <w:lang w:val="en-US"/>
        </w:rPr>
        <w:t xml:space="preserve"> </w:t>
      </w:r>
    </w:p>
    <w:p w:rsidR="0006750E" w:rsidRDefault="0006750E" w:rsidP="00563D61">
      <w:pPr>
        <w:spacing w:line="360" w:lineRule="auto"/>
        <w:ind w:firstLine="709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Цедент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отвечает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действительность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передаваемых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выполнение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(невозможность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взыскания</w:t>
      </w:r>
      <w:r w:rsidRPr="00563D61">
        <w:rPr>
          <w:sz w:val="28"/>
          <w:szCs w:val="28"/>
        </w:rPr>
        <w:t>).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Согласие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должника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третьему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лицу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обычно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требуется,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уведомление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такой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передаче,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иначе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он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может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ошибочно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исполнить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обязательство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пользу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прежнего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кредитора</w:t>
      </w:r>
      <w:r w:rsidRPr="00563D61">
        <w:rPr>
          <w:sz w:val="28"/>
          <w:szCs w:val="28"/>
        </w:rPr>
        <w:t>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Нельзя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передавать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требования,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связанные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возмещением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причинения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вреда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здоровью,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или</w:t>
      </w:r>
      <w:r w:rsidR="002426F5">
        <w:rPr>
          <w:sz w:val="28"/>
          <w:szCs w:val="28"/>
        </w:rPr>
        <w:t xml:space="preserve"> </w:t>
      </w:r>
      <w:r w:rsidRPr="00D94FDC">
        <w:rPr>
          <w:sz w:val="28"/>
          <w:szCs w:val="28"/>
        </w:rPr>
        <w:t>алименты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—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есть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такие,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где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существенна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личность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того,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перед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кем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существует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задолженность.</w:t>
      </w:r>
    </w:p>
    <w:p w:rsidR="00563D61" w:rsidRDefault="00563D61" w:rsidP="00563D61">
      <w:pPr>
        <w:spacing w:line="360" w:lineRule="auto"/>
        <w:ind w:firstLine="709"/>
        <w:jc w:val="both"/>
        <w:rPr>
          <w:sz w:val="28"/>
          <w:szCs w:val="28"/>
        </w:rPr>
      </w:pPr>
    </w:p>
    <w:p w:rsidR="0006750E" w:rsidRPr="00563D61" w:rsidRDefault="00563D61" w:rsidP="00563D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4920" w:rsidRPr="00563D61">
        <w:rPr>
          <w:b/>
          <w:sz w:val="28"/>
          <w:szCs w:val="28"/>
        </w:rPr>
        <w:t>Список</w:t>
      </w:r>
      <w:r w:rsidR="002426F5">
        <w:rPr>
          <w:b/>
          <w:sz w:val="28"/>
          <w:szCs w:val="28"/>
        </w:rPr>
        <w:t xml:space="preserve"> </w:t>
      </w:r>
      <w:r w:rsidR="00A74920" w:rsidRPr="00563D61">
        <w:rPr>
          <w:b/>
          <w:sz w:val="28"/>
          <w:szCs w:val="28"/>
        </w:rPr>
        <w:t>используемой</w:t>
      </w:r>
      <w:r w:rsidR="002426F5">
        <w:rPr>
          <w:b/>
          <w:sz w:val="28"/>
          <w:szCs w:val="28"/>
        </w:rPr>
        <w:t xml:space="preserve"> </w:t>
      </w:r>
      <w:r w:rsidR="00A74920" w:rsidRPr="00563D61">
        <w:rPr>
          <w:b/>
          <w:sz w:val="28"/>
          <w:szCs w:val="28"/>
        </w:rPr>
        <w:t>литературы:</w:t>
      </w:r>
    </w:p>
    <w:p w:rsidR="007B1253" w:rsidRPr="00563D61" w:rsidRDefault="007B1253" w:rsidP="00563D61">
      <w:pPr>
        <w:spacing w:line="360" w:lineRule="auto"/>
        <w:ind w:firstLine="709"/>
        <w:jc w:val="both"/>
        <w:rPr>
          <w:sz w:val="28"/>
          <w:szCs w:val="28"/>
        </w:rPr>
      </w:pPr>
    </w:p>
    <w:p w:rsidR="00A74920" w:rsidRPr="00563D61" w:rsidRDefault="00A74920" w:rsidP="00563D6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Белов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В.А.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«Вексельное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«ЮрИнфор»,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2004г.,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317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с.;</w:t>
      </w:r>
    </w:p>
    <w:p w:rsidR="00A74920" w:rsidRPr="00563D61" w:rsidRDefault="00A74920" w:rsidP="00563D6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Белов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В.А.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«Курс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Вексельного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права»,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«ЮрИнфор»,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2007г.,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748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с.;</w:t>
      </w:r>
    </w:p>
    <w:p w:rsidR="00A74920" w:rsidRPr="00563D61" w:rsidRDefault="00A74920" w:rsidP="00563D6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Эриашвили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Н.Д.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«Банковское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право»,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«Юнити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Дана»,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2005г.,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365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с.;</w:t>
      </w:r>
    </w:p>
    <w:p w:rsidR="00A74920" w:rsidRPr="00563D61" w:rsidRDefault="00A74920" w:rsidP="00563D6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Каджаев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Н.Р.,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Дубровская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С.В.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«Банковские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о</w:t>
      </w:r>
      <w:r w:rsidR="00415858" w:rsidRPr="00563D61">
        <w:rPr>
          <w:sz w:val="28"/>
          <w:szCs w:val="28"/>
        </w:rPr>
        <w:t>перации</w:t>
      </w:r>
      <w:r w:rsidRPr="00563D61">
        <w:rPr>
          <w:sz w:val="28"/>
          <w:szCs w:val="28"/>
        </w:rPr>
        <w:t>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</w:t>
      </w:r>
      <w:r w:rsidR="00415858" w:rsidRPr="00563D61">
        <w:rPr>
          <w:sz w:val="28"/>
          <w:szCs w:val="28"/>
        </w:rPr>
        <w:t>Академия</w:t>
      </w:r>
      <w:r w:rsidRPr="00563D61">
        <w:rPr>
          <w:sz w:val="28"/>
          <w:szCs w:val="28"/>
        </w:rPr>
        <w:t>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200</w:t>
      </w:r>
      <w:r w:rsidR="00415858" w:rsidRPr="00563D61">
        <w:rPr>
          <w:sz w:val="28"/>
          <w:szCs w:val="28"/>
        </w:rPr>
        <w:t>7</w:t>
      </w:r>
      <w:r w:rsidRPr="00563D61">
        <w:rPr>
          <w:sz w:val="28"/>
          <w:szCs w:val="28"/>
        </w:rPr>
        <w:t>г.,</w:t>
      </w:r>
      <w:r w:rsidR="002426F5">
        <w:rPr>
          <w:sz w:val="28"/>
          <w:szCs w:val="28"/>
        </w:rPr>
        <w:t xml:space="preserve"> </w:t>
      </w:r>
      <w:r w:rsidR="00415858" w:rsidRPr="00563D61">
        <w:rPr>
          <w:sz w:val="28"/>
          <w:szCs w:val="28"/>
        </w:rPr>
        <w:t>400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</w:t>
      </w:r>
      <w:r w:rsidR="00415858" w:rsidRPr="00563D61">
        <w:rPr>
          <w:sz w:val="28"/>
          <w:szCs w:val="28"/>
        </w:rPr>
        <w:t>.;</w:t>
      </w:r>
    </w:p>
    <w:p w:rsidR="00A74920" w:rsidRPr="00563D61" w:rsidRDefault="00415858" w:rsidP="00563D6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3D61">
        <w:rPr>
          <w:sz w:val="28"/>
          <w:szCs w:val="28"/>
        </w:rPr>
        <w:t>Ендовицкий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Д.А.,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Ишмакова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Н.А..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«Учет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ценных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бумаг»,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учебное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пособие,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издательство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«Корпус»,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2005г.,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369</w:t>
      </w:r>
      <w:r w:rsidR="002426F5">
        <w:rPr>
          <w:sz w:val="28"/>
          <w:szCs w:val="28"/>
        </w:rPr>
        <w:t xml:space="preserve"> </w:t>
      </w:r>
      <w:r w:rsidRPr="00563D61">
        <w:rPr>
          <w:sz w:val="28"/>
          <w:szCs w:val="28"/>
        </w:rPr>
        <w:t>с.</w:t>
      </w:r>
      <w:bookmarkStart w:id="0" w:name="_GoBack"/>
      <w:bookmarkEnd w:id="0"/>
    </w:p>
    <w:sectPr w:rsidR="00A74920" w:rsidRPr="00563D61" w:rsidSect="00563D61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50" w:rsidRDefault="00475F50">
      <w:r>
        <w:separator/>
      </w:r>
    </w:p>
  </w:endnote>
  <w:endnote w:type="continuationSeparator" w:id="0">
    <w:p w:rsidR="00475F50" w:rsidRDefault="0047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FF" w:rsidRDefault="00B577FF" w:rsidP="0047745A">
    <w:pPr>
      <w:pStyle w:val="a6"/>
      <w:framePr w:wrap="around" w:vAnchor="text" w:hAnchor="margin" w:xAlign="right" w:y="1"/>
      <w:rPr>
        <w:rStyle w:val="a8"/>
      </w:rPr>
    </w:pPr>
  </w:p>
  <w:p w:rsidR="00B577FF" w:rsidRDefault="00B577FF" w:rsidP="00B577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50" w:rsidRDefault="00475F50">
      <w:r>
        <w:separator/>
      </w:r>
    </w:p>
  </w:footnote>
  <w:footnote w:type="continuationSeparator" w:id="0">
    <w:p w:rsidR="00475F50" w:rsidRDefault="0047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2A36"/>
    <w:multiLevelType w:val="multilevel"/>
    <w:tmpl w:val="4B6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F46E7"/>
    <w:multiLevelType w:val="multilevel"/>
    <w:tmpl w:val="993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D17F8"/>
    <w:multiLevelType w:val="hybridMultilevel"/>
    <w:tmpl w:val="92CE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8D103E"/>
    <w:multiLevelType w:val="hybridMultilevel"/>
    <w:tmpl w:val="1400B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F6F"/>
    <w:rsid w:val="00057531"/>
    <w:rsid w:val="0006750E"/>
    <w:rsid w:val="000F3E06"/>
    <w:rsid w:val="00117FB1"/>
    <w:rsid w:val="002426F5"/>
    <w:rsid w:val="00374375"/>
    <w:rsid w:val="003E3F6F"/>
    <w:rsid w:val="00415858"/>
    <w:rsid w:val="00475F50"/>
    <w:rsid w:val="0047745A"/>
    <w:rsid w:val="00563D61"/>
    <w:rsid w:val="005A21CF"/>
    <w:rsid w:val="0061047B"/>
    <w:rsid w:val="00763755"/>
    <w:rsid w:val="007812E0"/>
    <w:rsid w:val="007B1253"/>
    <w:rsid w:val="00881A70"/>
    <w:rsid w:val="009B2CB4"/>
    <w:rsid w:val="00A74920"/>
    <w:rsid w:val="00AD40A0"/>
    <w:rsid w:val="00B577FF"/>
    <w:rsid w:val="00B72D1B"/>
    <w:rsid w:val="00BB7CE0"/>
    <w:rsid w:val="00BE5251"/>
    <w:rsid w:val="00C76E9A"/>
    <w:rsid w:val="00D94FDC"/>
    <w:rsid w:val="00D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624606-0D20-4D4C-A102-8B014C4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E3F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E3F6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E7440"/>
    <w:rPr>
      <w:rFonts w:cs="Times New Roman"/>
      <w:b/>
      <w:bCs/>
    </w:rPr>
  </w:style>
  <w:style w:type="character" w:styleId="a5">
    <w:name w:val="Hyperlink"/>
    <w:uiPriority w:val="99"/>
    <w:rsid w:val="0006750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577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577FF"/>
    <w:rPr>
      <w:rFonts w:cs="Times New Roman"/>
    </w:rPr>
  </w:style>
  <w:style w:type="table" w:styleId="a9">
    <w:name w:val="Table Grid"/>
    <w:basedOn w:val="a1"/>
    <w:uiPriority w:val="59"/>
    <w:rsid w:val="00563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4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426F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966E-B42B-4402-8C27-2DD6C37F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Формальные различия</vt:lpstr>
    </vt:vector>
  </TitlesOfParts>
  <Company>Microsoft</Company>
  <LinksUpToDate>false</LinksUpToDate>
  <CharactersWithSpaces>37912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Формальные различия</dc:title>
  <dc:subject/>
  <dc:creator>Zver</dc:creator>
  <cp:keywords/>
  <dc:description/>
  <cp:lastModifiedBy>admin</cp:lastModifiedBy>
  <cp:revision>2</cp:revision>
  <cp:lastPrinted>2009-11-27T21:43:00Z</cp:lastPrinted>
  <dcterms:created xsi:type="dcterms:W3CDTF">2014-03-06T18:59:00Z</dcterms:created>
  <dcterms:modified xsi:type="dcterms:W3CDTF">2014-03-06T18:59:00Z</dcterms:modified>
</cp:coreProperties>
</file>