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A93" w:rsidRPr="009F74E6" w:rsidRDefault="00FC3A93" w:rsidP="00FC3A93">
      <w:pPr>
        <w:spacing w:before="120"/>
        <w:jc w:val="center"/>
        <w:rPr>
          <w:b/>
          <w:bCs/>
          <w:sz w:val="32"/>
          <w:szCs w:val="32"/>
        </w:rPr>
      </w:pPr>
      <w:r w:rsidRPr="009F74E6">
        <w:rPr>
          <w:b/>
          <w:bCs/>
          <w:sz w:val="32"/>
          <w:szCs w:val="32"/>
        </w:rPr>
        <w:t>Повышение эффективности подготовки борцов греко-римского стиля на основе использования технических средств развития специальной гибкости</w:t>
      </w:r>
    </w:p>
    <w:p w:rsidR="00FC3A93" w:rsidRPr="009F74E6" w:rsidRDefault="00FC3A93" w:rsidP="00FC3A93">
      <w:pPr>
        <w:spacing w:before="120"/>
        <w:ind w:firstLine="567"/>
        <w:jc w:val="both"/>
        <w:rPr>
          <w:sz w:val="28"/>
          <w:szCs w:val="28"/>
        </w:rPr>
      </w:pPr>
      <w:r w:rsidRPr="009F74E6">
        <w:rPr>
          <w:sz w:val="28"/>
          <w:szCs w:val="28"/>
        </w:rPr>
        <w:t>Кандидат педагогических наук А.Н. Абульханов, кандидат биологических наук В.А. Мартьянов, Московская государственная академия физической культуры</w:t>
      </w:r>
    </w:p>
    <w:p w:rsidR="00FC3A93" w:rsidRPr="009F74E6" w:rsidRDefault="00FC3A93" w:rsidP="00FC3A93">
      <w:pPr>
        <w:spacing w:before="120"/>
        <w:jc w:val="center"/>
        <w:rPr>
          <w:b/>
          <w:bCs/>
          <w:sz w:val="28"/>
          <w:szCs w:val="28"/>
        </w:rPr>
      </w:pPr>
      <w:r w:rsidRPr="009F74E6">
        <w:rPr>
          <w:b/>
          <w:bCs/>
          <w:sz w:val="28"/>
          <w:szCs w:val="28"/>
        </w:rPr>
        <w:t>Введение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Объект исследования: специальная гибкость как компонент подготовленности квалифицированных спортсменов-борцов.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Предмет исследования: средства и методы специализированного развития гибкости туловища у борцов греко-римского стиля.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Проблема. Как показал анализ, у большинства борцов переход из разряда юношей в разряд юниоров и взрослых проходит болезненно и затянут во времени. В данном возрасте особенно выражен разрыв между физической и технико-тактической подготовленностью. С учетом благоприятных возрастных особенностей один из путей разрешения данного противоречия видится в разработке и широком использовании в тренировочном процессе технических средств и тренажеров с обратной связью для сопряженного совершенствования физической и технико-тактической подготовленности [5, 6].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В данном исследовании предполагалось, что основным "исполнителем" опрокидывания соперника в греко-римской борьбе, где правилами запрещены захваты ниже пояса и зацепы ногами, является туловище борца. Цель работы заключалась в определении эффективности развития специфической гибкости туловища борцов на основе использования разработанного комплекса технических средств.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Методика и организация исследования. Исследование было проведено в три этапа. На первом решалась задача выявления специфических признаков гибкости и определения их значимости в процессе формирования мастерства борцов. На втором были разработаны технические средства и методика их использования. На третьем в педагогическом эксперименте с участием двух групп по 12 борцов 16-17-летнего возраста средней квалификации (I разряд и кмс) определялась эффективность методики. В общей сложности в исследовании приняли участие около 250 борцов разного возраста и квалификации.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На основе данных, полученных на первом этапе исследования, была разработана комплексная методика специализированного развития гибкости туловища борцов, в которую вошли методика развития активной гибкости с использованием дополнительной афферентации, вызываемой электрическим раздражением (ДАВ) [1], работа на тренажере для развития специальной силовой гибкости туловища [2] и методика развития силовой гибкости туловища на тренажере с ДАВ.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Результаты и их обсуждение. Анализ результатов полигониометрического обследования четырех групп борцов - юношей 2-го разряда (n=45), юниоров I разряда и кмс (n=48), взрослых I разряда и кмс (n=44) и высокой квалификации (n=46) выявил некоторые закономерности в динамике гибкости и подвижности в суставах и звеньях опорно-двигательного аппарата (плечевые и тазобедренные суставы, позвоночный столб). Так, пассивная гибкость в разгибаниях туловища, активная подвижность в сгибаниях и разгибаниях в плечевых, сгибаниях в тазобедренных суставах от этапа к этапу многолетней подготовки статистически достоверно снижаются (p &lt; 0,05). Положительная динамика гибкости была выявлена только в одном исследуемом показателе - активном разгибании туловища (прогибе), значение которого у мастеров спорта (70,7±1,50) статистически достоверно превышает значения других обследованных групп (юноши - 43,3±3,30; юниоры - 50,1±3,80; взрослые - 57,2±2,70). Причем с ростом квалификации происходит сближение параметров активного и пассивного прогиба, что характеризует его как основное специфическое "рабочее" движение [3] борцов греко-римского стиля.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Специфичность показателя гибкости подтвердилась в сравнении подготовленности двух групп борцов: перворазрядников и кмс (17 чел.) и мастеров спорта (7 чел.) Обследование проводилось по 17 показателям, характеризующим гибкость туловища, включая выполнение прогибов с фоновыми отягощениями 5 и 10 кг из исходного положения лежа на животе руки с грузом за голову, физическую (скорость выполнения пяти бросков прогибом, угол сохранения устойчивости тела при выполнении прогибов в стойке, коэффициент специальной выносливости, становая сила) и технико-тактическую подготовленность по итогам выступлений в соревнованиях прошедшего сезона, в которых были заняты с 1-го по 4-е места. Рассчитывались следующие показатели соревновательной деятельности: надежность атаки, надежность защиты, показатель технико-тактической подготовленности, показатель качества и средняя оценка приема. Проводился интеркорреляционный анализ исследуемых показателей (табл. 1).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Таблица. 1. Характеристика матриц интеркорреляций параметров гибкости с показателями физической (О и СФП) и соревновательной деятельности (СД) борцов разной квалификации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757"/>
        <w:gridCol w:w="2051"/>
        <w:gridCol w:w="870"/>
        <w:gridCol w:w="1455"/>
        <w:gridCol w:w="1120"/>
        <w:gridCol w:w="870"/>
        <w:gridCol w:w="1455"/>
        <w:gridCol w:w="1123"/>
      </w:tblGrid>
      <w:tr w:rsidR="00FC3A93" w:rsidRPr="00220FDB" w:rsidTr="00366DAA">
        <w:trPr>
          <w:tblCellSpacing w:w="0" w:type="dxa"/>
        </w:trPr>
        <w:tc>
          <w:tcPr>
            <w:tcW w:w="404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N п/п </w:t>
            </w:r>
          </w:p>
        </w:tc>
        <w:tc>
          <w:tcPr>
            <w:tcW w:w="1071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Наименование тестов на гибкость</w:t>
            </w:r>
          </w:p>
        </w:tc>
        <w:tc>
          <w:tcPr>
            <w:tcW w:w="352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Количество достоверно значимых связей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10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176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I разряд и кмс (n=17)</w:t>
            </w:r>
          </w:p>
        </w:tc>
        <w:tc>
          <w:tcPr>
            <w:tcW w:w="176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мастера спорта (n=7)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10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с тестами на О и СФП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с показателями СД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всего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с тестами на О и СФП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с показателями СД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всего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10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Прогиб активный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</w:t>
            </w:r>
          </w:p>
        </w:tc>
        <w:tc>
          <w:tcPr>
            <w:tcW w:w="10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Прогиб пассивный 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10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Прогиб с весом 5 кг 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</w:t>
            </w:r>
          </w:p>
        </w:tc>
        <w:tc>
          <w:tcPr>
            <w:tcW w:w="10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Прогиб с весом 10 кг 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7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</w:t>
            </w:r>
          </w:p>
        </w:tc>
        <w:tc>
          <w:tcPr>
            <w:tcW w:w="10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Наклон вперед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40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>
              <w:t xml:space="preserve"> </w:t>
            </w:r>
          </w:p>
        </w:tc>
        <w:tc>
          <w:tcPr>
            <w:tcW w:w="10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Всего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6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9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10</w:t>
            </w:r>
          </w:p>
        </w:tc>
        <w:tc>
          <w:tcPr>
            <w:tcW w:w="7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7</w:t>
            </w:r>
          </w:p>
        </w:tc>
        <w:tc>
          <w:tcPr>
            <w:tcW w:w="5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17</w:t>
            </w:r>
          </w:p>
        </w:tc>
      </w:tr>
    </w:tbl>
    <w:p w:rsidR="00FC3A93" w:rsidRPr="00220FDB" w:rsidRDefault="00FC3A93" w:rsidP="00FC3A93">
      <w:pPr>
        <w:spacing w:before="120"/>
        <w:ind w:firstLine="567"/>
        <w:jc w:val="both"/>
      </w:pPr>
      <w:r w:rsidRPr="00220FDB">
        <w:t>Анализ показал, что в обеих группах обследованных борцов в количестве, тесноте и характере связей имеются общие тенденции.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Тренируемый на тренажере параметр был формализован коэффициентом силовой гибкости (КСГ) туловища, который рассчитывался по формуле: КСГ = Рф/РбЧa ф/ a д; где Рф - фактический вес на тренажере; Рб - вес борца; a ф - фактический угол прогиба; a д - должный угол прогиба. За модельное было принято значение КСГ = 1,0.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Анализ результатов второго этапа педагогического эксперимента показал, что тренировки на тренажере оказались весьма эффективными. Выявлен статистически достоверный прирост большинства контролируемых показателей физической и технико-тактической подготовленности. У борцов контрольной группы достоверных изменений в исследуемых показателях за столь короткий период тренировок (2 недели) не наблюдалось. У борцов экспериментальной группы среднее значение КСГ достоверно увеличилось с 0,426±0,07 до 0,717±0,05. Контрольные соревнования между группами, в которых каждый испытуемый проводил не менее трех схваток, выявили превосходство экспериментальной группы (табл. 2).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Таблица 2. Характеристика контрольных соревнований между контрольной (КГ) и экспериментальной (ЭГ) группами до и после использования тренажера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095"/>
        <w:gridCol w:w="1519"/>
        <w:gridCol w:w="1519"/>
        <w:gridCol w:w="1779"/>
        <w:gridCol w:w="1789"/>
      </w:tblGrid>
      <w:tr w:rsidR="00FC3A93" w:rsidRPr="00220FDB" w:rsidTr="00366DAA">
        <w:trPr>
          <w:tblCellSpacing w:w="0" w:type="dxa"/>
        </w:trPr>
        <w:tc>
          <w:tcPr>
            <w:tcW w:w="1595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Характер побед </w:t>
            </w:r>
          </w:p>
        </w:tc>
        <w:tc>
          <w:tcPr>
            <w:tcW w:w="15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Исходные соревнования </w:t>
            </w:r>
          </w:p>
        </w:tc>
        <w:tc>
          <w:tcPr>
            <w:tcW w:w="18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Заключительные соревнования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1595" w:type="pct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7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КГ (n=12)</w:t>
            </w:r>
          </w:p>
        </w:tc>
        <w:tc>
          <w:tcPr>
            <w:tcW w:w="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ЭГ (n=12) </w:t>
            </w:r>
          </w:p>
        </w:tc>
        <w:tc>
          <w:tcPr>
            <w:tcW w:w="9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КГ (n=12)</w:t>
            </w:r>
          </w:p>
        </w:tc>
        <w:tc>
          <w:tcPr>
            <w:tcW w:w="9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ЭГ (n=12)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1595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На туше </w:t>
            </w:r>
          </w:p>
        </w:tc>
        <w:tc>
          <w:tcPr>
            <w:tcW w:w="7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</w:t>
            </w:r>
          </w:p>
        </w:tc>
        <w:tc>
          <w:tcPr>
            <w:tcW w:w="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8</w:t>
            </w:r>
          </w:p>
        </w:tc>
        <w:tc>
          <w:tcPr>
            <w:tcW w:w="9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</w:t>
            </w:r>
          </w:p>
        </w:tc>
        <w:tc>
          <w:tcPr>
            <w:tcW w:w="9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12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1595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По баллам</w:t>
            </w:r>
          </w:p>
        </w:tc>
        <w:tc>
          <w:tcPr>
            <w:tcW w:w="7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13</w:t>
            </w:r>
          </w:p>
        </w:tc>
        <w:tc>
          <w:tcPr>
            <w:tcW w:w="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10</w:t>
            </w:r>
          </w:p>
        </w:tc>
        <w:tc>
          <w:tcPr>
            <w:tcW w:w="9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11</w:t>
            </w:r>
          </w:p>
        </w:tc>
        <w:tc>
          <w:tcPr>
            <w:tcW w:w="9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9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1595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Всего побед</w:t>
            </w:r>
          </w:p>
        </w:tc>
        <w:tc>
          <w:tcPr>
            <w:tcW w:w="7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18</w:t>
            </w:r>
          </w:p>
        </w:tc>
        <w:tc>
          <w:tcPr>
            <w:tcW w:w="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18</w:t>
            </w:r>
          </w:p>
        </w:tc>
        <w:tc>
          <w:tcPr>
            <w:tcW w:w="9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15</w:t>
            </w:r>
          </w:p>
        </w:tc>
        <w:tc>
          <w:tcPr>
            <w:tcW w:w="9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21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1595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Сумма выигранных баллов</w:t>
            </w:r>
          </w:p>
        </w:tc>
        <w:tc>
          <w:tcPr>
            <w:tcW w:w="7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97</w:t>
            </w:r>
          </w:p>
        </w:tc>
        <w:tc>
          <w:tcPr>
            <w:tcW w:w="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99 </w:t>
            </w:r>
          </w:p>
        </w:tc>
        <w:tc>
          <w:tcPr>
            <w:tcW w:w="9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69</w:t>
            </w:r>
          </w:p>
        </w:tc>
        <w:tc>
          <w:tcPr>
            <w:tcW w:w="9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121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1595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>
              <w:t xml:space="preserve"> </w:t>
            </w:r>
          </w:p>
        </w:tc>
        <w:tc>
          <w:tcPr>
            <w:tcW w:w="15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p&gt;0,05</w:t>
            </w:r>
          </w:p>
        </w:tc>
        <w:tc>
          <w:tcPr>
            <w:tcW w:w="18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p&lt;0,05 </w:t>
            </w:r>
          </w:p>
        </w:tc>
      </w:tr>
    </w:tbl>
    <w:p w:rsidR="00FC3A93" w:rsidRPr="00220FDB" w:rsidRDefault="00FC3A93" w:rsidP="00FC3A93">
      <w:pPr>
        <w:spacing w:before="120"/>
        <w:ind w:firstLine="567"/>
        <w:jc w:val="both"/>
      </w:pPr>
      <w:r w:rsidRPr="00220FDB">
        <w:t>Педагогические наблюдения, выполненные во время соревнований, показали, что борцы экспериментальной группы стали чаще навязывать и реализовывать в основном броски прогибом, обоюдные захваты "крест", захваты за туловище и стали лучше защищаться в опасных положениях на мосту. Данные второго этапа эксперимента представлены в табл. 3.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Таблица 3. Эффективность использования тренажера для развития силовой гибкости туловища борцов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84"/>
        <w:gridCol w:w="1672"/>
        <w:gridCol w:w="1447"/>
        <w:gridCol w:w="1352"/>
        <w:gridCol w:w="920"/>
        <w:gridCol w:w="1352"/>
        <w:gridCol w:w="1354"/>
        <w:gridCol w:w="920"/>
      </w:tblGrid>
      <w:tr w:rsidR="00FC3A93" w:rsidRPr="00220FDB" w:rsidTr="00366DAA">
        <w:trPr>
          <w:tblCellSpacing w:w="0" w:type="dxa"/>
        </w:trPr>
        <w:tc>
          <w:tcPr>
            <w:tcW w:w="352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N п/п </w:t>
            </w:r>
          </w:p>
        </w:tc>
        <w:tc>
          <w:tcPr>
            <w:tcW w:w="86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Наименование показателей</w:t>
            </w:r>
          </w:p>
        </w:tc>
        <w:tc>
          <w:tcPr>
            <w:tcW w:w="144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Исходные</w:t>
            </w:r>
          </w:p>
        </w:tc>
        <w:tc>
          <w:tcPr>
            <w:tcW w:w="47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t p = 0,05</w:t>
            </w:r>
          </w:p>
        </w:tc>
        <w:tc>
          <w:tcPr>
            <w:tcW w:w="13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Конечные </w:t>
            </w:r>
          </w:p>
        </w:tc>
        <w:tc>
          <w:tcPr>
            <w:tcW w:w="47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t p = 0,05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862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КГ (</w:t>
            </w:r>
            <w:r w:rsidR="008376ED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6" type="#_x0000_t75" style="width:10.5pt;height:13.5pt">
                  <v:imagedata r:id="rId4" o:title=""/>
                </v:shape>
              </w:pict>
            </w:r>
            <w:r w:rsidRPr="00220FDB">
              <w:t>±</w:t>
            </w:r>
            <w:r w:rsidR="008376ED">
              <w:pict>
                <v:shape id="_x0000_i1039" type="#_x0000_t75" style="width:10.5pt;height:9.75pt">
                  <v:imagedata r:id="rId5" o:title=""/>
                </v:shape>
              </w:pict>
            </w:r>
            <w:r w:rsidRPr="00220FDB">
              <w:t>; n=12)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ЭГ (</w:t>
            </w:r>
            <w:r w:rsidR="008376ED">
              <w:pict>
                <v:shape id="_x0000_i1042" type="#_x0000_t75" style="width:10.5pt;height:13.5pt">
                  <v:imagedata r:id="rId4" o:title=""/>
                </v:shape>
              </w:pict>
            </w:r>
            <w:r w:rsidRPr="00220FDB">
              <w:t>±</w:t>
            </w:r>
            <w:r w:rsidR="008376ED">
              <w:pict>
                <v:shape id="_x0000_i1045" type="#_x0000_t75" style="width:10.5pt;height:9.75pt">
                  <v:imagedata r:id="rId5" o:title=""/>
                </v:shape>
              </w:pict>
            </w:r>
            <w:r w:rsidRPr="00220FDB">
              <w:t>; n=12)</w:t>
            </w:r>
          </w:p>
        </w:tc>
        <w:tc>
          <w:tcPr>
            <w:tcW w:w="474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КГ (</w:t>
            </w:r>
            <w:r w:rsidR="008376ED">
              <w:pict>
                <v:shape id="_x0000_i1048" type="#_x0000_t75" style="width:10.5pt;height:13.5pt">
                  <v:imagedata r:id="rId4" o:title=""/>
                </v:shape>
              </w:pict>
            </w:r>
            <w:r w:rsidRPr="00220FDB">
              <w:t>±</w:t>
            </w:r>
            <w:r w:rsidR="008376ED">
              <w:pict>
                <v:shape id="_x0000_i1051" type="#_x0000_t75" style="width:10.5pt;height:9.75pt">
                  <v:imagedata r:id="rId5" o:title=""/>
                </v:shape>
              </w:pict>
            </w:r>
            <w:r w:rsidRPr="00220FDB">
              <w:t>; n=12)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ЭГ (</w:t>
            </w:r>
            <w:r w:rsidR="008376ED">
              <w:pict>
                <v:shape id="_x0000_i1054" type="#_x0000_t75" style="width:10.5pt;height:13.5pt">
                  <v:imagedata r:id="rId4" o:title=""/>
                </v:shape>
              </w:pict>
            </w:r>
            <w:r w:rsidRPr="00220FDB">
              <w:t>±</w:t>
            </w:r>
            <w:r w:rsidR="008376ED">
              <w:pict>
                <v:shape id="_x0000_i1057" type="#_x0000_t75" style="width:10.5pt;height:9.75pt">
                  <v:imagedata r:id="rId5" o:title=""/>
                </v:shape>
              </w:pict>
            </w:r>
            <w:r w:rsidRPr="00220FDB">
              <w:t>; n=12)</w:t>
            </w:r>
          </w:p>
        </w:tc>
        <w:tc>
          <w:tcPr>
            <w:tcW w:w="474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Прогиб активный, град. 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52,7±4,39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72,7±2,09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14,25 &lt;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53,7±2,90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75,6±2,02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21,40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Прогиб пассивный, град.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89,7±5,63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99,1±2,20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5,34 &lt;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90,7±5,33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99,1±3,03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4,75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Прогиб с 5 кг, град. 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44,7±3,85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49,1±5,45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2,29 &lt;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42,2±3,79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63,7±3,84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11,88 &lt;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Прогиб с 10 кг, град.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38,5±4,27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43,7±5,4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2&lt;65 &lt;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38,7±3,34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57,0±4,22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11,80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Наклон, см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14,8±2,82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14,4±3,48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0,29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15,37±2,9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14,0±3,28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1,08 &gt;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6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Время выполнения 5 бросков прогибом, с 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11,8±0,90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11,5±0,94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0,84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11,75±0,9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11,2±0,91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1,43 &gt;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7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Угол сохранения равновесия, град.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91,3±7,29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96,3±4,31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2,04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92,2±4,93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98,7±2,38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4,16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8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Длина броска прогибом, см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20,22±10,83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201,4±12,1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0,18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201,7±10,1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197,4±9,31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1,07 &gt;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9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Специальная выносливость, усл. ед. 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0,475±0,05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0,494±0,11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0,09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0,472±0,05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0,621±0,10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4,46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10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Становая сила (относит.) 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2,04±0,10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2,08±0,15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0,86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2,06±0,11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2,61±0,25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6,98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11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НА, усл. ед.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0,523±0,10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0,51±0,9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0,23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0,463±0,06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0,631±0,08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5,82 &lt;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12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НЗ, усл. ед.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0,306±0,05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0,350±0,07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1,73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0,280±0,04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0,632±0,07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15,12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13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ПТТП, усл. ед.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0,352±0,05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0,380±0,12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0,91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0,303±0,04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0,644±0,07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14,65 &lt;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14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ПК, усл. ед.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0,353±0,06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0,360±0,11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0,22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0,278±0,03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0,600±0,06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16,63 &lt;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15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СОП, баллы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1,93±0,27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2,01±0,31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0,71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1,94±0,19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2,24±0,30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2,02 &gt; 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16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РСП "крест", колич. раз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4,83±1,11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5,67±0,89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2,03 &gt;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1,92±0,79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8,17±0,72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20,25 &lt;</w:t>
            </w:r>
          </w:p>
        </w:tc>
      </w:tr>
      <w:tr w:rsidR="00FC3A93" w:rsidRPr="00220FDB" w:rsidTr="00366DAA">
        <w:trPr>
          <w:tblCellSpacing w:w="0" w:type="dxa"/>
        </w:trPr>
        <w:tc>
          <w:tcPr>
            <w:tcW w:w="35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17</w:t>
            </w:r>
          </w:p>
        </w:tc>
        <w:tc>
          <w:tcPr>
            <w:tcW w:w="8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РСП "мост", колич. раз</w:t>
            </w:r>
          </w:p>
        </w:tc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4,33±0,49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5,25±0,45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>3,66 &lt;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4,33±0,49 </w:t>
            </w:r>
          </w:p>
        </w:tc>
        <w:tc>
          <w:tcPr>
            <w:tcW w:w="6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6,17±0,72 </w:t>
            </w:r>
          </w:p>
        </w:tc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C3A93" w:rsidRPr="00220FDB" w:rsidRDefault="00FC3A93" w:rsidP="00366DAA">
            <w:pPr>
              <w:jc w:val="both"/>
            </w:pPr>
            <w:r w:rsidRPr="00220FDB">
              <w:t xml:space="preserve">7,29 &lt; </w:t>
            </w:r>
          </w:p>
        </w:tc>
      </w:tr>
    </w:tbl>
    <w:p w:rsidR="00FC3A93" w:rsidRPr="00220FDB" w:rsidRDefault="00FC3A93" w:rsidP="00FC3A93">
      <w:pPr>
        <w:spacing w:before="120"/>
        <w:ind w:firstLine="567"/>
        <w:jc w:val="both"/>
      </w:pPr>
      <w:r w:rsidRPr="00220FDB">
        <w:t>Примечание. Различия достоверны при t=2,06, НА - надежность атаки, НЗ - надежность защиты, ПТТП - показатель технико-тактической подготовленности, ПК - показатель качества, СОП - средняя оценка приема, РСП - реализация стандартного положения из десяти попыток.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При выполнении теста "реализация стандартного положения (РСП) "мост"" фиксировалось количество уходов из опасного положения, а в тесте РСП "крест" фиксировалось количество приемов, проведенных из обоюдного захвата. В обоих тестах испытуемые по свистку выполняли по 10 попыток.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На третьем этапе эксперимента, в котором спортсмены - борцы экспериментальной группы продолжили тренировки на тренажере, но выполняли упражнения на фоне ДАВ, значение КСГ достоверно увеличилось в преодолевающем режиме работы до 0,858±0,05, а в уступающем, более сложном, с 0,393±0,06 до 0,635±0,05. Позиции борцов экспериментальной группы еще более укрепились. В итоговых соревнованиях ими было одержано 22 победы в 36 схватках и выиграно в общей сложности 146 технических баллов при 51 проигранном. В реализации стандартных положений "крест" и "мост" борцы экспериментальной группы явно превосходили борцов контрольной группы и их значения соответственно составили 9,83±0,4 и 8,17±0,8 из 10.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Как показал педагогический эксперимент, наибольшие сдвиги в показателях физической и технико-тактической подготовленности борцов экспериментальной группы произошли после второго этапа, т.е. после включения в тренировочный процесс занятий на тренажере.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В целом исследование показало, что значительные резервы специальной физической и технико-тактической подготовленности борцов греко-римского стиля кроются в специализированном развитии гибкости туловища спортсменов на основе использования технических средств. Традиционные средства развития гибкости для квалифицированных борцов малоэффективны.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Таким образом, для эффективного выполнения технико-тактических действий в греко-римской борьбе требуется специализированное развитие гибкости туловища борцов на основе использования технических средств. Его необходимо проводить до освоения (с упреждением) сложных приемов, в частности бросков прогибом.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Как показал эксперимент, разработанный комплекс позволяет осуществлять готовность основного "исполнителя" опрокидывания соперника к эффективной работе за 1, максимум 1,5 месяца.</w:t>
      </w:r>
    </w:p>
    <w:p w:rsidR="00FC3A93" w:rsidRPr="00220FDB" w:rsidRDefault="008376ED" w:rsidP="00FC3A93">
      <w:pPr>
        <w:spacing w:before="120"/>
        <w:ind w:firstLine="567"/>
        <w:jc w:val="both"/>
      </w:pPr>
      <w:r>
        <w:pict>
          <v:shape id="_x0000_i1060" type="#_x0000_t75" style="width:282.75pt;height:198.75pt">
            <v:imagedata r:id="rId6" o:title=""/>
          </v:shape>
        </w:pic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Рис. 1. Методика развития активной гибкости с использованием дополнительной афферентации: 1 - маятниковый гониометр, 2 - электростимулятор, 3 - накожные пластинчатые электроды 2х12 см</w:t>
      </w:r>
    </w:p>
    <w:p w:rsidR="00FC3A93" w:rsidRPr="009F74E6" w:rsidRDefault="00FC3A93" w:rsidP="00FC3A93">
      <w:pPr>
        <w:spacing w:before="120"/>
        <w:jc w:val="center"/>
        <w:rPr>
          <w:b/>
          <w:bCs/>
          <w:sz w:val="28"/>
          <w:szCs w:val="28"/>
        </w:rPr>
      </w:pPr>
      <w:r w:rsidRPr="009F74E6">
        <w:rPr>
          <w:b/>
          <w:bCs/>
          <w:sz w:val="28"/>
          <w:szCs w:val="28"/>
        </w:rPr>
        <w:t>Практические рекомендации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Предлагаем следующий алгоритм использования разработанных средств: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- развитие активной гибкости туловища в прогибах до оптимальных пределов (75-800) с использованием методики ДАВ. Для этого необходимо пределать цикл из 6 тренировок гибкости с ДАВ. Тренировки надо проводить через день, после подготовительной части занятий, при дозировке - 10 упражнений с интервалом 1 минута;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- развитие силовой гибкости на тренажере. Также 6 тренировок через день после подготовительной части занятий. Поочередно выполняются по 3 подхода в преодолевающем и в уступающем режимах работы при весе отягощения 75% от максимума, который определяется перед каждой тренировкой. После подхода с уступающим режимом выполняется серия из 6-8 бросков прогибом. В каждом подходе - 8-12 повторений с удержанием прогиба на 2-3 с;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- развитие силовой гибкости на тренажере с ДАВ. Регламент тренировки такой же, как и при обычной тренировке на тренажере. Электрические стимулы подаются в том же режиме, как при тренировке активной гибкости с ДАВ. Данная методика может быть рекомендована для борцов высокой квалификации как средство оперативной подготовки.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Целесообразно использовать методику в подготовительном периоде годичного цикла, так как эффект последействия при условии регулярных занятий борьбой сохраняется до 6 месяцев.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1. С увеличением фонового отягощения в прогибах увеличиваются количество и теснота достоверно значимых связей.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2. Количество достоверно значимых связей с пассивной гибкостью у спортсменов обеих групп минимально или они отсутствуют вовсе.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3. С увеличением фонового отягощения у спортсменов обеих групп увеличивается количество значимых связей с показателями соревновательной деятельности.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Таким образом, данный этап исследования позволил выявить специфику гибкости у борцов греко-римского стиля, выразившуюся в способности выполнять специфические движения туловищем с большой амплитудой и с одновременным преодолением внешних сил. Такого рода гибкость определена нами как силовая гибкость борца.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Выявленные факты дали возможность определить критерии, положенные в основу разработки комплекса технических средств специализированного развития гибкости. Такими критерями явились оптимальная активная гибкость в прогибах, необходимая для эффективного выполнения технических действий и равная 75-800 [4], и вес преодолеваемого отягощения - собственный вес борца. В педагогическом эксперименте, проходившем в три этапа, определилась эффективность использования комплекса. В начале и в конце каждого из этапов проводились "срезы" физической подготовленности и контрольные соревнования.</w:t>
      </w:r>
    </w:p>
    <w:p w:rsidR="00FC3A93" w:rsidRPr="00220FDB" w:rsidRDefault="008376ED" w:rsidP="00FC3A93">
      <w:pPr>
        <w:spacing w:before="120"/>
        <w:ind w:firstLine="567"/>
        <w:jc w:val="both"/>
      </w:pPr>
      <w:r>
        <w:pict>
          <v:shape id="_x0000_i1063" type="#_x0000_t75" style="width:282.75pt;height:248.25pt">
            <v:imagedata r:id="rId7" o:title=""/>
          </v:shape>
        </w:pic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Рис. 2. Тренажер для развития силовой гибкости туловища: 1 - платформа, 2 - направляющие; 3 - рама жесткости, 4 - грузы, 5 - шарикоподшипниковые блоки, 6 - опорная площадка, 7 - ремень крепления (страховки) спортсмена, 8 - пояс с карабинами, 9 - гониометр, 10 - пружинные амортизаторы, 11 - фиксатор грузов, 12 - трос диаметром 5 мм, 13 - лямки регулирования положения пояса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Примечание. Пунктирной линией показан вариант крепления троса при тренировке в уступающем режиме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На первом этапе педагогического эксперимента основная задача состояла в развитии активной гибкости туловища в прогибах до оптимальных значений. Борцы контрольной группы использовали в тренировочном процессе традиционные средства развития гибкости, а борцы экспериментальной - методику развития активной гибкости с ДАВ. Общий вид методики представлен на рис. 1.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Электрические стимулы прямоугольной формы задавались от электростимулятора ЭСЛ-2 с частотой 100 Гц, длительностью импульса - 1 мс; длительность раздражения - время выполнения упражнения с удержанием прогиба в течение 3 с. Амплитуда сигнала подбиралась индивидуально - до слабой фибрилляции мышц под электродами - и была в пределах 15-25 В. Маятниковый безынерционный гониометр устанавливался над седьмым шейным позвонком.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>Анализ результатов первого этапа эксперимента показал, что развитие "чисто" активной гибкости туловища до оптимальных пределов с использованием ДАВ не влечет за собой статистически достоверных положительных сдвигов как в физической, так и в технико-тактической подготовленности борцов экспериментальной группы. Тем не менее основная задача данного этапа была решена, так как были созданы предпосылки для "наполнения" достигнутой оптимальной амплитуды прогибов "силовым содержанием", что и явилось рабочей задачей второго этапа педагогического эксперимента. Для этого в тренировки борцов экспериментальной группы были включены занятия на тренажере, схема которого представлена на рис. 2.</w:t>
      </w:r>
    </w:p>
    <w:p w:rsidR="00FC3A93" w:rsidRPr="009F74E6" w:rsidRDefault="00FC3A93" w:rsidP="00FC3A93">
      <w:pPr>
        <w:spacing w:before="120"/>
        <w:jc w:val="center"/>
        <w:rPr>
          <w:b/>
          <w:bCs/>
          <w:sz w:val="28"/>
          <w:szCs w:val="28"/>
        </w:rPr>
      </w:pPr>
      <w:r w:rsidRPr="009F74E6">
        <w:rPr>
          <w:b/>
          <w:bCs/>
          <w:sz w:val="28"/>
          <w:szCs w:val="28"/>
        </w:rPr>
        <w:t>Список литературы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 xml:space="preserve">1. </w:t>
      </w:r>
      <w:r w:rsidRPr="005A1F7E">
        <w:t>Абульханов А.Н.</w:t>
      </w:r>
      <w:r w:rsidRPr="00220FDB">
        <w:t xml:space="preserve">, </w:t>
      </w:r>
      <w:r w:rsidRPr="005A1F7E">
        <w:t>Мартьянов В.А.</w:t>
      </w:r>
      <w:r w:rsidRPr="00220FDB">
        <w:t xml:space="preserve"> </w:t>
      </w:r>
      <w:r w:rsidRPr="005A1F7E">
        <w:t>Методика развития гибкости у борцов с использованием дополнительной афферентации</w:t>
      </w:r>
      <w:r w:rsidRPr="00220FDB">
        <w:t xml:space="preserve"> //В сб. "</w:t>
      </w:r>
      <w:r w:rsidRPr="005A1F7E">
        <w:t>Научно-методическое обеспечение системы подготовки высококвалифицированных спортсменов</w:t>
      </w:r>
      <w:r w:rsidRPr="00220FDB">
        <w:t>". М., 1990, с. 292-293.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 xml:space="preserve">2. </w:t>
      </w:r>
      <w:r w:rsidRPr="005A1F7E">
        <w:t>Абульханов А.Н.</w:t>
      </w:r>
      <w:r w:rsidRPr="00220FDB">
        <w:t xml:space="preserve"> </w:t>
      </w:r>
      <w:r w:rsidRPr="005A1F7E">
        <w:t>Тренажер для развития специальной гибкости у борцов классического стиля</w:t>
      </w:r>
      <w:r w:rsidRPr="00220FDB">
        <w:t xml:space="preserve"> //Удостовер. на рац. предложение № 1611/21 от 28.05.91.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 xml:space="preserve">3. </w:t>
      </w:r>
      <w:r w:rsidRPr="005A1F7E">
        <w:t>Зациорский В.М.</w:t>
      </w:r>
      <w:r w:rsidRPr="00220FDB">
        <w:t xml:space="preserve"> </w:t>
      </w:r>
      <w:r w:rsidRPr="005A1F7E">
        <w:t>Двигательные навыки и качества спортсменов</w:t>
      </w:r>
      <w:r w:rsidRPr="00220FDB">
        <w:t>: Автореф. докт. дисс. М., 1969.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 xml:space="preserve">4. </w:t>
      </w:r>
      <w:r w:rsidRPr="005A1F7E">
        <w:t>Кочурко Е.И.</w:t>
      </w:r>
      <w:r w:rsidRPr="00220FDB">
        <w:t xml:space="preserve"> </w:t>
      </w:r>
      <w:r w:rsidRPr="005A1F7E">
        <w:t>Экспериментальное исследование взаимосвязи между подвижностью в суставах и техникой спортивной борьбы</w:t>
      </w:r>
      <w:r w:rsidRPr="00220FDB">
        <w:t>: Автореф. канд. дисс. Киев, 1974.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 xml:space="preserve">5. </w:t>
      </w:r>
      <w:r w:rsidRPr="005A1F7E">
        <w:t>Платонов В.Н.</w:t>
      </w:r>
      <w:r w:rsidRPr="00220FDB">
        <w:t xml:space="preserve"> </w:t>
      </w:r>
      <w:r w:rsidRPr="005A1F7E">
        <w:t>Подготовка квалифицированных спортсменов</w:t>
      </w:r>
      <w:r w:rsidRPr="00220FDB">
        <w:t>. - М.: ФиС, 1986.</w:t>
      </w:r>
    </w:p>
    <w:p w:rsidR="00FC3A93" w:rsidRPr="00220FDB" w:rsidRDefault="00FC3A93" w:rsidP="00FC3A93">
      <w:pPr>
        <w:spacing w:before="120"/>
        <w:ind w:firstLine="567"/>
        <w:jc w:val="both"/>
      </w:pPr>
      <w:r w:rsidRPr="00220FDB">
        <w:t xml:space="preserve">6. </w:t>
      </w:r>
      <w:r w:rsidRPr="005A1F7E">
        <w:t>Юшкевич Т.П.</w:t>
      </w:r>
      <w:r w:rsidRPr="00220FDB">
        <w:t xml:space="preserve">, </w:t>
      </w:r>
      <w:r w:rsidRPr="005A1F7E">
        <w:t>Васюк В.Е.</w:t>
      </w:r>
      <w:r w:rsidRPr="00220FDB">
        <w:t xml:space="preserve">, </w:t>
      </w:r>
      <w:r w:rsidRPr="005A1F7E">
        <w:t>Буланов В.А.</w:t>
      </w:r>
      <w:r w:rsidRPr="00220FDB">
        <w:t xml:space="preserve"> </w:t>
      </w:r>
      <w:r w:rsidRPr="005A1F7E">
        <w:t>Тренажеры в спорте</w:t>
      </w:r>
      <w:r w:rsidRPr="00220FDB">
        <w:t>. - М.: ФиС, 1989.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3A93"/>
    <w:rsid w:val="00002B5A"/>
    <w:rsid w:val="0010437E"/>
    <w:rsid w:val="00220FDB"/>
    <w:rsid w:val="0025627E"/>
    <w:rsid w:val="00366DAA"/>
    <w:rsid w:val="005A1F7E"/>
    <w:rsid w:val="00616072"/>
    <w:rsid w:val="006A5004"/>
    <w:rsid w:val="00710178"/>
    <w:rsid w:val="008376ED"/>
    <w:rsid w:val="008B35EE"/>
    <w:rsid w:val="00905CC1"/>
    <w:rsid w:val="009F74E6"/>
    <w:rsid w:val="00B42C45"/>
    <w:rsid w:val="00B47B6A"/>
    <w:rsid w:val="00F11BE9"/>
    <w:rsid w:val="00FC3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  <w15:docId w15:val="{999E5EBD-0AB3-44D4-9515-A9C83D5AA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3A9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FC3A9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gif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2452</Words>
  <Characters>13980</Characters>
  <Application>Microsoft Office Word</Application>
  <DocSecurity>0</DocSecurity>
  <Lines>116</Lines>
  <Paragraphs>32</Paragraphs>
  <ScaleCrop>false</ScaleCrop>
  <Company>Home</Company>
  <LinksUpToDate>false</LinksUpToDate>
  <CharactersWithSpaces>16400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Повышение эффективности подготовки борцов греко-римского стиля на основе использования технических средств развития специальной гибкости</dc:title>
  <dc:subject/>
  <dc:creator>User</dc:creator>
  <cp:keywords/>
  <dc:description/>
  <cp:lastModifiedBy>admin</cp:lastModifiedBy>
  <cp:revision>2</cp:revision>
  <dcterms:created xsi:type="dcterms:W3CDTF">2014-02-18T02:14:00Z</dcterms:created>
  <dcterms:modified xsi:type="dcterms:W3CDTF">2014-02-18T02:14:00Z</dcterms:modified>
</cp:coreProperties>
</file>