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B3D" w:rsidRPr="00020EE8" w:rsidRDefault="00B83B3D" w:rsidP="00B83B3D">
      <w:pPr>
        <w:autoSpaceDE w:val="0"/>
        <w:autoSpaceDN w:val="0"/>
        <w:adjustRightInd w:val="0"/>
        <w:spacing w:line="360" w:lineRule="auto"/>
        <w:jc w:val="center"/>
        <w:rPr>
          <w:b/>
          <w:bCs/>
          <w:caps/>
          <w:kern w:val="28"/>
          <w:sz w:val="28"/>
          <w:szCs w:val="22"/>
        </w:rPr>
      </w:pPr>
      <w:r w:rsidRPr="00020EE8">
        <w:rPr>
          <w:b/>
          <w:bCs/>
          <w:caps/>
          <w:kern w:val="28"/>
          <w:sz w:val="28"/>
          <w:szCs w:val="22"/>
        </w:rPr>
        <w:t>Практика проведения процедуры санации</w:t>
      </w:r>
    </w:p>
    <w:p w:rsidR="00B83B3D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Процедура банкротства является крайней мерой решения проблемы экономической несостоятельности и применяется в том случае, если досудебные меры по предупреждению банкротства не дали ожидаемых результатов или вообще отсутствует экономический смысл их применения. Не нужно забывать, что "хорошая репутация дорогого стоит" и потеря своего имиджа как надежного партнера может обернуться непредсказуемыми последствиями.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Понятно, что банкротство с ликвидацией ставит крест на предприятии, его имени и имидже. И если есть хоть малейший шанс сохранить репутацию, "реанимировать" предприятие, его нельзя упускать. Таким шансом на спасение для должника - экономически несостоятельного субъекта хозяйствования - может оказаться санация.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  <w:r w:rsidRPr="00B97385">
        <w:rPr>
          <w:rFonts w:cs="Arial"/>
          <w:bCs/>
          <w:caps/>
          <w:kern w:val="28"/>
          <w:sz w:val="28"/>
          <w:szCs w:val="18"/>
        </w:rPr>
        <w:t>Санация по закону...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Санация применяется в целях оздоровления предприятия, обеспечения его стабильной и эффективной деятельности, а также восстановления платежеспособности должника. Данная процедура позволяет не только "реанимировать" предприятие, но и направлена на оздоровление экономики и бизнеса в целом.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Напомним, что дела об экономической несостоятельности (банкротстве) рассматриваются хозяйственными судами Республики Беларусь в соответствии с Хозяйственным процессуальным кодексом Республики Беларусь (далее - ХПК), а также иными законодательными актами. К основным из них относятся:</w:t>
      </w:r>
    </w:p>
    <w:p w:rsidR="00B83B3D" w:rsidRPr="00B97385" w:rsidRDefault="00B83B3D" w:rsidP="00B83B3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B97385">
        <w:rPr>
          <w:rFonts w:cs="Tahoma"/>
          <w:kern w:val="28"/>
          <w:sz w:val="28"/>
          <w:szCs w:val="18"/>
        </w:rPr>
        <w:t>Закон РБ от 18.07.2000 № 423-3 "Об экономической несостоятельности (банкротстве)" (далее - Закон);</w:t>
      </w:r>
    </w:p>
    <w:p w:rsidR="00B83B3D" w:rsidRPr="00B97385" w:rsidRDefault="00B83B3D" w:rsidP="00B83B3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B97385">
        <w:rPr>
          <w:rFonts w:cs="Tahoma"/>
          <w:kern w:val="28"/>
          <w:sz w:val="28"/>
          <w:szCs w:val="18"/>
        </w:rPr>
        <w:t>Указ Президента РБ от 12.11.2003 № 508 "О некоторых вопросах экономической несостоятельности (банкротства)" (далее - Указ).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В соответствии с законодательством под банкротством следует понимать неплатежеспособность, которая имеет или приобретает устойчивый характер и признается решением хозяйственного суда о банкротстве с ликвидацией должника - юридического лица#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В свою очередь, экономическая несостоятельность - это неплатежеспособность, которая имеет или приобретает устойчивый характер и признанная решением хозяйственного суда - с санацией должника.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Закон о банкротстве предусматривает следующие процедуры банкротства:</w:t>
      </w:r>
    </w:p>
    <w:p w:rsidR="00B83B3D" w:rsidRPr="00B97385" w:rsidRDefault="00B83B3D" w:rsidP="00B83B3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B97385">
        <w:rPr>
          <w:rFonts w:cs="Tahoma"/>
          <w:kern w:val="28"/>
          <w:sz w:val="28"/>
          <w:szCs w:val="18"/>
        </w:rPr>
        <w:t>защитный период - процедура банкротства, применяемая к должнику в целях проверки наличия оснований для возбуждения конкурсного производства и обеспечения сохранности имущества должника;</w:t>
      </w:r>
    </w:p>
    <w:p w:rsidR="00B83B3D" w:rsidRPr="00B97385" w:rsidRDefault="00B83B3D" w:rsidP="00B83B3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B97385">
        <w:rPr>
          <w:rFonts w:cs="Tahoma"/>
          <w:kern w:val="28"/>
          <w:sz w:val="28"/>
          <w:szCs w:val="18"/>
        </w:rPr>
        <w:t>конкурсное производство - процедура банкротства, осуществляемая в целях максимально возможного удовлетворения требований кредиторов в установленной очередности, защиты прав и законных интересов должника, а также кредиторов и иных лиц в процессе санации, а при невозможности проведения санации или отсутствии оснований для ее проведения - в процессе ликвидации должника - юридического лица или прекращения деятельности должника - индивидуального предпринимателя и освобождения его от долгов;</w:t>
      </w:r>
    </w:p>
    <w:p w:rsidR="00B83B3D" w:rsidRPr="00B97385" w:rsidRDefault="00B83B3D" w:rsidP="00B83B3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B97385">
        <w:rPr>
          <w:rFonts w:cs="Tahoma"/>
          <w:kern w:val="28"/>
          <w:sz w:val="28"/>
          <w:szCs w:val="18"/>
        </w:rPr>
        <w:t>мировое соглашение, процедура в виде соглашения между должником и конкурсными кредиторами об уплате долгов, в котором предусматривается освобождение должника от долгов, или уменьшение долгов, или рассрочка их уплаты, а также срок уплаты долгов и т.п.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Основания возбуждения дела о банкротстве. Производство по делу о банкротстве возбуждается хозяйственным судом на основании заявления должника, кредитора, прокурора, органа государственного управления по делам о банкротстве и иных государственных органов.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Основанием для подачи такого заявления кредитором являются (в совокупности):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Arial"/>
          <w:bCs/>
          <w:kern w:val="28"/>
          <w:sz w:val="28"/>
          <w:szCs w:val="18"/>
        </w:rPr>
        <w:t>1.</w:t>
      </w:r>
      <w:r w:rsidRPr="00B97385">
        <w:rPr>
          <w:rFonts w:cs="Tahoma"/>
          <w:kern w:val="28"/>
          <w:sz w:val="28"/>
          <w:szCs w:val="18"/>
        </w:rPr>
        <w:t xml:space="preserve"> Наличие у кредитора достоверных, документально подтвержденных сведений о неплатежеспособности должника, имеющей или приобретающей устойчивый характер.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Arial"/>
          <w:bCs/>
          <w:kern w:val="28"/>
          <w:sz w:val="28"/>
          <w:szCs w:val="18"/>
        </w:rPr>
        <w:t>2.</w:t>
      </w:r>
      <w:r w:rsidRPr="00B97385">
        <w:rPr>
          <w:rFonts w:cs="Tahoma"/>
          <w:kern w:val="28"/>
          <w:sz w:val="28"/>
          <w:szCs w:val="18"/>
        </w:rPr>
        <w:t xml:space="preserve"> Применение к должнику принудительного исполнения, не произведенного в течение трех месяцев, либо выявление в процессе принудительного исполнения факта отсутствия у должника имущества, достаточного для удовлетворения предъявленных к нему требований.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Arial"/>
          <w:bCs/>
          <w:kern w:val="28"/>
          <w:sz w:val="28"/>
          <w:szCs w:val="18"/>
        </w:rPr>
        <w:t>3.</w:t>
      </w:r>
      <w:r w:rsidRPr="00B97385">
        <w:rPr>
          <w:rFonts w:cs="Tahoma"/>
          <w:kern w:val="28"/>
          <w:sz w:val="28"/>
          <w:szCs w:val="18"/>
        </w:rPr>
        <w:t xml:space="preserve"> Наличие задолженности перед кредитором, подавшим заявление кредитора. В размере 100 базовых величин и более, а в случае, если должник является градообразующей или приравненной к ней организацией, государственной организацией, организацией с долей государственной собственности в уставном фонде, а также юридическим лицом или индивидуальным предпринимателем, имеющим государственные и международные заказы, - в размере 2 500 базовых величин и более.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Санация вводится хозяйственным судом при наличии оснований решением собрания кредиторов либо по собственной инициативе. Обязанность проверки этого основания возлагается на управляющего. Проблема здесь заключается в том, что на законодательном уровне отсутствуют четкие рекомендации и инструкции, на основании которых управляющий проводит оценку возможности и необходимости введения санации.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В настоящий момент управляющими в основном используется механизм оценки имущества должника и определения его достаточности для удовлетворения всех требований кредиторов и погашения затрат по проведению санации на дату принятия решения.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Фактически решение суда о проведении санации является действенной защитой должника от требований кредиторов на период преобразований.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Основным документом при проведении процедуры является план санации, утвержденный собранием кредиторов и хозяйственным судом.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Какие же преимущества имеет предприятие, находясь в этой процедуре, в соответствии с законодательством?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"замораживается" вся кредиторская задолженность до даты вынесения судом определения об открытии конкурсного производства;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приостанавливается начисление процентов, неустойки (штрафы, пени) и иных экономических санкций по всем видам задолженности должника;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отменяются ранее принятые меры по обеспечению требований кредиторов, снимаются все ранее наложенные аресты на имущество должника и иные ограничения по распоряжению имуществом должника, за исключением случаев, установленных хозяйственным судом;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вводится приостановление удовлетворения требований по платежным обязательствам должника до вынесения определения о прекращении производства по делу о банкротстве должника;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наложение нового ареста на имущество должника и иных ограничений по распоряжению имуществом должника осуществляется в случае необходимости только хозяйственным судом, рассматривающим дело о банкротстве этого должника и др.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Отметим, что изначально срок санации в соответствии с законодательством не должен превышать 18 месяцев. Впоследствии исполнения процедуры срок санации может быть продлен.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  <w:r w:rsidRPr="00B97385">
        <w:rPr>
          <w:rFonts w:cs="Arial"/>
          <w:bCs/>
          <w:caps/>
          <w:kern w:val="28"/>
          <w:sz w:val="28"/>
          <w:szCs w:val="18"/>
        </w:rPr>
        <w:t>Спасение "утопающих" - дело рук управляющего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Экономическая несостоятельность (банкротство) - это всегда болезненный и конфликтный процесс. Можно сказать, что ключевой фигурой этого процесса является временный (антикризисный) управляющий. От его квалификации, знаний, умения быстро принимать правильное решение в условиях неопределенности во многом зависят судьбы предприятий и эффективность института банкротства в целом.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По своей сути задачи и функции управляющего образуют целый комплекс обязанностей, основные из которых:</w:t>
      </w:r>
    </w:p>
    <w:p w:rsidR="00B83B3D" w:rsidRPr="00B97385" w:rsidRDefault="00B83B3D" w:rsidP="00B83B3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B97385">
        <w:rPr>
          <w:rFonts w:cs="Tahoma"/>
          <w:kern w:val="28"/>
          <w:sz w:val="28"/>
          <w:szCs w:val="18"/>
        </w:rPr>
        <w:t>принятие мер по обеспечению сохранности имущества должника, его защите;</w:t>
      </w:r>
    </w:p>
    <w:p w:rsidR="00B83B3D" w:rsidRPr="00B97385" w:rsidRDefault="00B83B3D" w:rsidP="00B83B3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B97385">
        <w:rPr>
          <w:rFonts w:cs="Tahoma"/>
          <w:kern w:val="28"/>
          <w:sz w:val="28"/>
          <w:szCs w:val="18"/>
        </w:rPr>
        <w:t>установление кредиторов должника и организация защиты их требований;</w:t>
      </w:r>
    </w:p>
    <w:p w:rsidR="00B83B3D" w:rsidRPr="00B97385" w:rsidRDefault="00B83B3D" w:rsidP="00B83B3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B97385">
        <w:rPr>
          <w:rFonts w:cs="Tahoma"/>
          <w:kern w:val="28"/>
          <w:sz w:val="28"/>
          <w:szCs w:val="18"/>
        </w:rPr>
        <w:t>проведение анализа финансового состояния и платежеспособности должника;</w:t>
      </w:r>
    </w:p>
    <w:p w:rsidR="00B83B3D" w:rsidRPr="00B97385" w:rsidRDefault="00B83B3D" w:rsidP="00B83B3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B97385">
        <w:rPr>
          <w:rFonts w:cs="Tahoma"/>
          <w:kern w:val="28"/>
          <w:sz w:val="28"/>
          <w:szCs w:val="18"/>
        </w:rPr>
        <w:t>поиск, выявление и возврат имущества должника;</w:t>
      </w:r>
    </w:p>
    <w:p w:rsidR="00B83B3D" w:rsidRPr="00B97385" w:rsidRDefault="00B83B3D" w:rsidP="00B83B3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B97385">
        <w:rPr>
          <w:rFonts w:cs="Tahoma"/>
          <w:kern w:val="28"/>
          <w:sz w:val="28"/>
          <w:szCs w:val="18"/>
        </w:rPr>
        <w:t>организация хозяйственной деятельности, заключение мирового соглашения;</w:t>
      </w:r>
    </w:p>
    <w:p w:rsidR="00B83B3D" w:rsidRPr="00B97385" w:rsidRDefault="00B83B3D" w:rsidP="00B83B3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B97385">
        <w:rPr>
          <w:rFonts w:cs="Tahoma"/>
          <w:kern w:val="28"/>
          <w:sz w:val="28"/>
          <w:szCs w:val="18"/>
        </w:rPr>
        <w:t>определение наличия признаков ложного и преднамеренного банкротства;</w:t>
      </w:r>
    </w:p>
    <w:p w:rsidR="00B83B3D" w:rsidRPr="00B97385" w:rsidRDefault="00B83B3D" w:rsidP="00B83B3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B97385">
        <w:rPr>
          <w:rFonts w:cs="Tahoma"/>
          <w:kern w:val="28"/>
          <w:sz w:val="28"/>
          <w:szCs w:val="18"/>
        </w:rPr>
        <w:t>составление плана санации и (или) плана ликвидации должника, осуществление проведения этих процедур;</w:t>
      </w:r>
    </w:p>
    <w:p w:rsidR="00B83B3D" w:rsidRPr="00B97385" w:rsidRDefault="00B83B3D" w:rsidP="00B83B3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B97385">
        <w:rPr>
          <w:rFonts w:cs="Tahoma"/>
          <w:kern w:val="28"/>
          <w:sz w:val="28"/>
          <w:szCs w:val="18"/>
        </w:rPr>
        <w:t>организация продажи имущества должника.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По законодательству Республики Беларуси назначить управляющего, отстранить его от исполнения этих обязанностей, осуществлять контроль за его деятельностью имеет право только хозяйственный суд.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Собственникам, руководителю и всему коллективу предприятия необходимо знать, что с момента открытия конкурсного производства право управления имуществом должника переходит к управляющему, при этом руководитель предприятия отстраняется от должности, приостанавливаются полномочия всех органов управления.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Текущая работа управляющего отражается в его ежемесячных отчетах. Кроме того, Законом предусмотрены случаи, когда управляющий вправе осуществлять определенные действия только с разрешения хозяйственного суда.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  <w:r w:rsidRPr="00B97385">
        <w:rPr>
          <w:rFonts w:cs="Arial"/>
          <w:bCs/>
          <w:caps/>
          <w:kern w:val="28"/>
          <w:sz w:val="28"/>
          <w:szCs w:val="18"/>
        </w:rPr>
        <w:t>Эффективность проведения санации зависит от своевременности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Опыт проведения анализа хозяйственной деятельности неплатежеспособных предприятий показывает: поздно принятое решение о начале процедуры банкротства приводит к тому, что проведение санации оказывается крайне затруднительным. Нередко невозможность осуществления данной процедуры сопряжена с рядом других факторов. Например, таких как умышленный саботаж работы антикризисного управляющего самими руководителями экономически несостоятельных предприятий. Это происходит в том случае, когда прежнее руководство знает, что в процессе деятельности им допускались противоправные действия. Такие руководители понимают: приход управляющего может вскрыть нежелательные факты. Поэтому оказывают всевозможное сопротивление, не предоставляют управляющему необходимую информацию, уничтожая документы.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Рассмотрим ситуацию по проведению процедуры санации в нашей республике* (табл. 1).</w:t>
      </w:r>
    </w:p>
    <w:p w:rsidR="000C4F6A" w:rsidRDefault="000C4F6A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kern w:val="28"/>
          <w:sz w:val="28"/>
          <w:szCs w:val="20"/>
        </w:rPr>
      </w:pP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kern w:val="28"/>
          <w:sz w:val="28"/>
          <w:szCs w:val="20"/>
        </w:rPr>
      </w:pPr>
      <w:r w:rsidRPr="00B97385">
        <w:rPr>
          <w:rFonts w:cs="Arial"/>
          <w:kern w:val="28"/>
          <w:sz w:val="28"/>
          <w:szCs w:val="20"/>
        </w:rPr>
        <w:t>ТАБЛИЦА 1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kern w:val="28"/>
          <w:sz w:val="28"/>
          <w:szCs w:val="20"/>
        </w:rPr>
      </w:pPr>
      <w:r w:rsidRPr="00B97385">
        <w:rPr>
          <w:rFonts w:cs="Arial"/>
          <w:bCs/>
          <w:kern w:val="28"/>
          <w:sz w:val="28"/>
          <w:szCs w:val="20"/>
        </w:rPr>
        <w:t xml:space="preserve">Количество предприятий Республики Беларусь, находящихся в процедуре санации на 1 января </w:t>
      </w:r>
      <w:smartTag w:uri="urn:schemas-microsoft-com:office:smarttags" w:element="metricconverter">
        <w:smartTagPr>
          <w:attr w:name="ProductID" w:val="2007 г"/>
        </w:smartTagPr>
        <w:r w:rsidRPr="00B97385">
          <w:rPr>
            <w:rFonts w:cs="Arial"/>
            <w:bCs/>
            <w:kern w:val="28"/>
            <w:sz w:val="28"/>
            <w:szCs w:val="20"/>
          </w:rPr>
          <w:t>2007 г</w:t>
        </w:r>
      </w:smartTag>
      <w:r w:rsidRPr="00B97385">
        <w:rPr>
          <w:rFonts w:cs="Arial"/>
          <w:bCs/>
          <w:kern w:val="28"/>
          <w:sz w:val="28"/>
          <w:szCs w:val="20"/>
        </w:rPr>
        <w:t>.</w:t>
      </w: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744"/>
        <w:gridCol w:w="874"/>
        <w:gridCol w:w="874"/>
        <w:gridCol w:w="874"/>
        <w:gridCol w:w="874"/>
        <w:gridCol w:w="874"/>
        <w:gridCol w:w="874"/>
        <w:gridCol w:w="874"/>
        <w:gridCol w:w="866"/>
      </w:tblGrid>
      <w:tr w:rsidR="00B83B3D" w:rsidRPr="000C4F6A" w:rsidTr="000C4F6A">
        <w:trPr>
          <w:tblCellSpacing w:w="-8" w:type="dxa"/>
          <w:jc w:val="center"/>
        </w:trPr>
        <w:tc>
          <w:tcPr>
            <w:tcW w:w="1400" w:type="pct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</w:p>
        </w:tc>
        <w:tc>
          <w:tcPr>
            <w:tcW w:w="450" w:type="pct"/>
          </w:tcPr>
          <w:p w:rsidR="00B83B3D" w:rsidRPr="000C4F6A" w:rsidRDefault="00B83B3D" w:rsidP="000C4F6A">
            <w:pPr>
              <w:shd w:val="clear" w:color="auto" w:fill="E6E6FF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kern w:val="28"/>
                <w:sz w:val="20"/>
                <w:szCs w:val="20"/>
              </w:rPr>
            </w:pPr>
            <w:r w:rsidRPr="000C4F6A">
              <w:rPr>
                <w:rFonts w:cs="Arial"/>
                <w:kern w:val="28"/>
                <w:sz w:val="20"/>
                <w:szCs w:val="20"/>
              </w:rPr>
              <w:t>Всего</w:t>
            </w:r>
          </w:p>
        </w:tc>
        <w:tc>
          <w:tcPr>
            <w:tcW w:w="450" w:type="pct"/>
          </w:tcPr>
          <w:p w:rsidR="00B83B3D" w:rsidRPr="000C4F6A" w:rsidRDefault="00B83B3D" w:rsidP="000C4F6A">
            <w:pPr>
              <w:shd w:val="clear" w:color="auto" w:fill="E6E6FF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kern w:val="28"/>
                <w:sz w:val="20"/>
                <w:szCs w:val="20"/>
              </w:rPr>
            </w:pPr>
            <w:r w:rsidRPr="000C4F6A">
              <w:rPr>
                <w:rFonts w:cs="Arial"/>
                <w:kern w:val="28"/>
                <w:sz w:val="20"/>
                <w:szCs w:val="20"/>
              </w:rPr>
              <w:t>Брестская область</w:t>
            </w:r>
          </w:p>
        </w:tc>
        <w:tc>
          <w:tcPr>
            <w:tcW w:w="450" w:type="pct"/>
          </w:tcPr>
          <w:p w:rsidR="00B83B3D" w:rsidRPr="000C4F6A" w:rsidRDefault="00B83B3D" w:rsidP="000C4F6A">
            <w:pPr>
              <w:shd w:val="clear" w:color="auto" w:fill="E6E6FF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kern w:val="28"/>
                <w:sz w:val="20"/>
                <w:szCs w:val="20"/>
              </w:rPr>
            </w:pPr>
            <w:r w:rsidRPr="000C4F6A">
              <w:rPr>
                <w:rFonts w:cs="Arial"/>
                <w:kern w:val="28"/>
                <w:sz w:val="20"/>
                <w:szCs w:val="20"/>
              </w:rPr>
              <w:t>Витебская область</w:t>
            </w:r>
          </w:p>
        </w:tc>
        <w:tc>
          <w:tcPr>
            <w:tcW w:w="450" w:type="pct"/>
          </w:tcPr>
          <w:p w:rsidR="00B83B3D" w:rsidRPr="000C4F6A" w:rsidRDefault="00B83B3D" w:rsidP="000C4F6A">
            <w:pPr>
              <w:shd w:val="clear" w:color="auto" w:fill="E6E6FF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kern w:val="28"/>
                <w:sz w:val="20"/>
                <w:szCs w:val="20"/>
              </w:rPr>
            </w:pPr>
            <w:r w:rsidRPr="000C4F6A">
              <w:rPr>
                <w:rFonts w:cs="Arial"/>
                <w:kern w:val="28"/>
                <w:sz w:val="20"/>
                <w:szCs w:val="20"/>
              </w:rPr>
              <w:t>Гомельская область</w:t>
            </w:r>
          </w:p>
        </w:tc>
        <w:tc>
          <w:tcPr>
            <w:tcW w:w="450" w:type="pct"/>
          </w:tcPr>
          <w:p w:rsidR="00B83B3D" w:rsidRPr="000C4F6A" w:rsidRDefault="00B83B3D" w:rsidP="000C4F6A">
            <w:pPr>
              <w:shd w:val="clear" w:color="auto" w:fill="E6E6FF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kern w:val="28"/>
                <w:sz w:val="20"/>
                <w:szCs w:val="20"/>
              </w:rPr>
            </w:pPr>
            <w:r w:rsidRPr="000C4F6A">
              <w:rPr>
                <w:rFonts w:cs="Arial"/>
                <w:kern w:val="28"/>
                <w:sz w:val="20"/>
                <w:szCs w:val="20"/>
              </w:rPr>
              <w:t>Гродненская область</w:t>
            </w:r>
          </w:p>
        </w:tc>
        <w:tc>
          <w:tcPr>
            <w:tcW w:w="450" w:type="pct"/>
          </w:tcPr>
          <w:p w:rsidR="00B83B3D" w:rsidRPr="000C4F6A" w:rsidRDefault="00B83B3D" w:rsidP="000C4F6A">
            <w:pPr>
              <w:shd w:val="clear" w:color="auto" w:fill="E6E6FF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kern w:val="28"/>
                <w:sz w:val="20"/>
                <w:szCs w:val="20"/>
              </w:rPr>
            </w:pPr>
            <w:r w:rsidRPr="000C4F6A">
              <w:rPr>
                <w:rFonts w:cs="Arial"/>
                <w:kern w:val="28"/>
                <w:sz w:val="20"/>
                <w:szCs w:val="20"/>
              </w:rPr>
              <w:t>Минск</w:t>
            </w:r>
          </w:p>
        </w:tc>
        <w:tc>
          <w:tcPr>
            <w:tcW w:w="450" w:type="pct"/>
          </w:tcPr>
          <w:p w:rsidR="00B83B3D" w:rsidRPr="000C4F6A" w:rsidRDefault="00B83B3D" w:rsidP="000C4F6A">
            <w:pPr>
              <w:shd w:val="clear" w:color="auto" w:fill="E6E6FF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kern w:val="28"/>
                <w:sz w:val="20"/>
                <w:szCs w:val="20"/>
              </w:rPr>
            </w:pPr>
            <w:r w:rsidRPr="000C4F6A">
              <w:rPr>
                <w:rFonts w:cs="Arial"/>
                <w:kern w:val="28"/>
                <w:sz w:val="20"/>
                <w:szCs w:val="20"/>
              </w:rPr>
              <w:t>Минская область</w:t>
            </w:r>
          </w:p>
        </w:tc>
        <w:tc>
          <w:tcPr>
            <w:tcW w:w="450" w:type="pct"/>
          </w:tcPr>
          <w:p w:rsidR="00B83B3D" w:rsidRPr="000C4F6A" w:rsidRDefault="00B83B3D" w:rsidP="000C4F6A">
            <w:pPr>
              <w:shd w:val="clear" w:color="auto" w:fill="E6E6FF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kern w:val="28"/>
                <w:sz w:val="20"/>
                <w:szCs w:val="20"/>
              </w:rPr>
            </w:pPr>
            <w:r w:rsidRPr="000C4F6A">
              <w:rPr>
                <w:rFonts w:cs="Arial"/>
                <w:kern w:val="28"/>
                <w:sz w:val="20"/>
                <w:szCs w:val="20"/>
              </w:rPr>
              <w:t>Могилевская</w:t>
            </w:r>
          </w:p>
          <w:p w:rsidR="00B83B3D" w:rsidRPr="000C4F6A" w:rsidRDefault="00B83B3D" w:rsidP="000C4F6A">
            <w:pPr>
              <w:shd w:val="clear" w:color="auto" w:fill="E6E6FF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kern w:val="28"/>
                <w:sz w:val="20"/>
                <w:szCs w:val="20"/>
              </w:rPr>
            </w:pPr>
            <w:r w:rsidRPr="000C4F6A">
              <w:rPr>
                <w:rFonts w:cs="Arial"/>
                <w:kern w:val="28"/>
                <w:sz w:val="20"/>
                <w:szCs w:val="20"/>
              </w:rPr>
              <w:t>область</w:t>
            </w:r>
          </w:p>
        </w:tc>
      </w:tr>
      <w:tr w:rsidR="00B83B3D" w:rsidRPr="000C4F6A" w:rsidTr="000C4F6A">
        <w:trPr>
          <w:tblCellSpacing w:w="-8" w:type="dxa"/>
          <w:jc w:val="center"/>
        </w:trPr>
        <w:tc>
          <w:tcPr>
            <w:tcW w:w="1400" w:type="pct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Предприятия, находящиеся</w:t>
            </w:r>
          </w:p>
          <w:p w:rsidR="00B83B3D" w:rsidRPr="000C4F6A" w:rsidRDefault="00B83B3D" w:rsidP="000C4F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в процедуре санации</w:t>
            </w:r>
          </w:p>
        </w:tc>
        <w:tc>
          <w:tcPr>
            <w:tcW w:w="450" w:type="pct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26</w:t>
            </w:r>
          </w:p>
        </w:tc>
        <w:tc>
          <w:tcPr>
            <w:tcW w:w="450" w:type="pct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4</w:t>
            </w:r>
          </w:p>
        </w:tc>
        <w:tc>
          <w:tcPr>
            <w:tcW w:w="450" w:type="pct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1</w:t>
            </w:r>
          </w:p>
        </w:tc>
        <w:tc>
          <w:tcPr>
            <w:tcW w:w="450" w:type="pct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11</w:t>
            </w:r>
          </w:p>
        </w:tc>
        <w:tc>
          <w:tcPr>
            <w:tcW w:w="450" w:type="pct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0</w:t>
            </w:r>
          </w:p>
        </w:tc>
        <w:tc>
          <w:tcPr>
            <w:tcW w:w="450" w:type="pct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2</w:t>
            </w:r>
          </w:p>
        </w:tc>
        <w:tc>
          <w:tcPr>
            <w:tcW w:w="450" w:type="pct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1</w:t>
            </w:r>
          </w:p>
        </w:tc>
        <w:tc>
          <w:tcPr>
            <w:tcW w:w="450" w:type="pct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7</w:t>
            </w:r>
          </w:p>
        </w:tc>
      </w:tr>
      <w:tr w:rsidR="00B83B3D" w:rsidRPr="000C4F6A" w:rsidTr="000C4F6A">
        <w:trPr>
          <w:tblCellSpacing w:w="-8" w:type="dxa"/>
          <w:jc w:val="center"/>
        </w:trPr>
        <w:tc>
          <w:tcPr>
            <w:tcW w:w="1400" w:type="pct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в том числе с долей государства в уставном фонде</w:t>
            </w:r>
          </w:p>
        </w:tc>
        <w:tc>
          <w:tcPr>
            <w:tcW w:w="450" w:type="pct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18</w:t>
            </w:r>
          </w:p>
        </w:tc>
        <w:tc>
          <w:tcPr>
            <w:tcW w:w="450" w:type="pct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4</w:t>
            </w:r>
          </w:p>
        </w:tc>
        <w:tc>
          <w:tcPr>
            <w:tcW w:w="450" w:type="pct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0</w:t>
            </w:r>
          </w:p>
        </w:tc>
        <w:tc>
          <w:tcPr>
            <w:tcW w:w="450" w:type="pct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10</w:t>
            </w:r>
          </w:p>
        </w:tc>
        <w:tc>
          <w:tcPr>
            <w:tcW w:w="450" w:type="pct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0</w:t>
            </w:r>
          </w:p>
        </w:tc>
        <w:tc>
          <w:tcPr>
            <w:tcW w:w="450" w:type="pct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1</w:t>
            </w:r>
          </w:p>
        </w:tc>
        <w:tc>
          <w:tcPr>
            <w:tcW w:w="450" w:type="pct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0</w:t>
            </w:r>
          </w:p>
        </w:tc>
        <w:tc>
          <w:tcPr>
            <w:tcW w:w="450" w:type="pct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3</w:t>
            </w:r>
          </w:p>
        </w:tc>
      </w:tr>
    </w:tbl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Наиболее проблемными являются предприятия деревообрабатывающей отрасли: ОАО "Речицадрев", ОАО "Мозырьдрев", КУП "Калинковичский мебельный комбинат", ОАО "Могилевдрев", ОАО "Лесдревпром", ИЧУП "Евронатурпаркет".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Посмотрим, как изменилась ситуация на этих предприятиях за период проведения процедуры санации? Для анализа возьмем предприятия, относящиеся к одной отрасли и имеющие особое значение для государства.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Как видно из таблицы 2, ни одно из предприятий не достигает установленных нормативов, но все они имеют положительную динамику роста основных коэффициентов платежеспособности. Чем продолжительнее срок нахождения предприятия в санации, тем рост его коэффициентов значительнее. Наиболее положительные результаты имеют КУП "Калинковичский мебельный комбинат" и ОАО "Могилевдрев".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kern w:val="28"/>
          <w:sz w:val="28"/>
          <w:szCs w:val="20"/>
        </w:rPr>
      </w:pPr>
      <w:r w:rsidRPr="00B97385">
        <w:rPr>
          <w:rFonts w:cs="Arial"/>
          <w:kern w:val="28"/>
          <w:sz w:val="28"/>
          <w:szCs w:val="20"/>
        </w:rPr>
        <w:t>ТАБЛИЦА 2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kern w:val="28"/>
          <w:sz w:val="28"/>
          <w:szCs w:val="20"/>
        </w:rPr>
      </w:pPr>
      <w:r w:rsidRPr="00B97385">
        <w:rPr>
          <w:rFonts w:cs="Arial"/>
          <w:bCs/>
          <w:kern w:val="28"/>
          <w:sz w:val="28"/>
          <w:szCs w:val="20"/>
        </w:rPr>
        <w:t>Анализ динамики коэффициентов текущей ликвидности (К1) и обеспеченности предприятий, находящихся в процедуре санации</w:t>
      </w: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73"/>
        <w:gridCol w:w="1967"/>
        <w:gridCol w:w="777"/>
        <w:gridCol w:w="777"/>
        <w:gridCol w:w="778"/>
        <w:gridCol w:w="778"/>
        <w:gridCol w:w="778"/>
        <w:gridCol w:w="778"/>
        <w:gridCol w:w="778"/>
        <w:gridCol w:w="778"/>
        <w:gridCol w:w="1266"/>
      </w:tblGrid>
      <w:tr w:rsidR="00B83B3D" w:rsidRPr="000C4F6A" w:rsidTr="00B83B3D">
        <w:trPr>
          <w:tblCellSpacing w:w="-8" w:type="dxa"/>
          <w:jc w:val="center"/>
        </w:trPr>
        <w:tc>
          <w:tcPr>
            <w:tcW w:w="1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Arial"/>
                <w:kern w:val="28"/>
                <w:sz w:val="20"/>
                <w:szCs w:val="20"/>
                <w:vertAlign w:val="superscript"/>
              </w:rPr>
            </w:pPr>
            <w:r w:rsidRPr="000C4F6A">
              <w:rPr>
                <w:rFonts w:cs="Arial"/>
                <w:kern w:val="28"/>
                <w:sz w:val="20"/>
                <w:szCs w:val="20"/>
                <w:vertAlign w:val="superscript"/>
              </w:rPr>
              <w:t>№ п/п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Arial"/>
                <w:kern w:val="28"/>
                <w:sz w:val="20"/>
                <w:szCs w:val="20"/>
                <w:vertAlign w:val="superscript"/>
              </w:rPr>
            </w:pPr>
            <w:r w:rsidRPr="000C4F6A">
              <w:rPr>
                <w:rFonts w:cs="Arial"/>
                <w:kern w:val="28"/>
                <w:sz w:val="20"/>
                <w:szCs w:val="20"/>
                <w:vertAlign w:val="superscript"/>
              </w:rPr>
              <w:t>Наименование предприятий</w:t>
            </w:r>
          </w:p>
        </w:tc>
        <w:tc>
          <w:tcPr>
            <w:tcW w:w="4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Arial"/>
                <w:kern w:val="28"/>
                <w:sz w:val="20"/>
                <w:szCs w:val="20"/>
                <w:vertAlign w:val="superscript"/>
              </w:rPr>
            </w:pPr>
            <w:r w:rsidRPr="000C4F6A">
              <w:rPr>
                <w:rFonts w:cs="Arial"/>
                <w:kern w:val="28"/>
                <w:sz w:val="20"/>
                <w:szCs w:val="20"/>
                <w:vertAlign w:val="superscript"/>
              </w:rPr>
              <w:t>На дату</w:t>
            </w:r>
          </w:p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Arial"/>
                <w:kern w:val="28"/>
                <w:sz w:val="20"/>
                <w:szCs w:val="20"/>
                <w:vertAlign w:val="superscript"/>
              </w:rPr>
            </w:pPr>
            <w:r w:rsidRPr="000C4F6A">
              <w:rPr>
                <w:rFonts w:cs="Arial"/>
                <w:kern w:val="28"/>
                <w:sz w:val="20"/>
                <w:szCs w:val="20"/>
                <w:vertAlign w:val="superscript"/>
              </w:rPr>
              <w:t>введения процедуры санации</w:t>
            </w:r>
          </w:p>
        </w:tc>
        <w:tc>
          <w:tcPr>
            <w:tcW w:w="4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Arial"/>
                <w:kern w:val="28"/>
                <w:sz w:val="20"/>
                <w:szCs w:val="20"/>
                <w:vertAlign w:val="superscript"/>
              </w:rPr>
            </w:pPr>
            <w:r w:rsidRPr="000C4F6A">
              <w:rPr>
                <w:rFonts w:cs="Arial"/>
                <w:kern w:val="28"/>
                <w:sz w:val="20"/>
                <w:szCs w:val="20"/>
                <w:vertAlign w:val="superscript"/>
              </w:rPr>
              <w:t xml:space="preserve">На конец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0C4F6A">
                <w:rPr>
                  <w:rFonts w:cs="Arial"/>
                  <w:kern w:val="28"/>
                  <w:sz w:val="20"/>
                  <w:szCs w:val="20"/>
                  <w:vertAlign w:val="superscript"/>
                </w:rPr>
                <w:t>2006 г</w:t>
              </w:r>
            </w:smartTag>
            <w:r w:rsidRPr="000C4F6A">
              <w:rPr>
                <w:rFonts w:cs="Arial"/>
                <w:kern w:val="28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W w:w="4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Arial"/>
                <w:kern w:val="28"/>
                <w:sz w:val="20"/>
                <w:szCs w:val="20"/>
                <w:vertAlign w:val="superscript"/>
              </w:rPr>
            </w:pPr>
            <w:r w:rsidRPr="000C4F6A">
              <w:rPr>
                <w:rFonts w:cs="Arial"/>
                <w:kern w:val="28"/>
                <w:sz w:val="20"/>
                <w:szCs w:val="20"/>
                <w:vertAlign w:val="superscript"/>
              </w:rPr>
              <w:t>Абсолютное изменение</w:t>
            </w:r>
          </w:p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Arial"/>
                <w:kern w:val="28"/>
                <w:sz w:val="20"/>
                <w:szCs w:val="20"/>
                <w:vertAlign w:val="superscript"/>
              </w:rPr>
            </w:pPr>
            <w:r w:rsidRPr="000C4F6A">
              <w:rPr>
                <w:rFonts w:cs="Arial"/>
                <w:kern w:val="28"/>
                <w:sz w:val="20"/>
                <w:szCs w:val="20"/>
                <w:vertAlign w:val="superscript"/>
              </w:rPr>
              <w:t>рост "+",</w:t>
            </w:r>
          </w:p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Arial"/>
                <w:kern w:val="28"/>
                <w:sz w:val="20"/>
                <w:szCs w:val="20"/>
                <w:vertAlign w:val="superscript"/>
              </w:rPr>
            </w:pPr>
            <w:r w:rsidRPr="000C4F6A">
              <w:rPr>
                <w:rFonts w:cs="Arial"/>
                <w:kern w:val="28"/>
                <w:sz w:val="20"/>
                <w:szCs w:val="20"/>
                <w:vertAlign w:val="superscript"/>
              </w:rPr>
              <w:t>падение "-"</w:t>
            </w:r>
          </w:p>
        </w:tc>
        <w:tc>
          <w:tcPr>
            <w:tcW w:w="4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Arial"/>
                <w:kern w:val="28"/>
                <w:sz w:val="20"/>
                <w:szCs w:val="20"/>
                <w:vertAlign w:val="superscript"/>
              </w:rPr>
            </w:pPr>
            <w:r w:rsidRPr="000C4F6A">
              <w:rPr>
                <w:rFonts w:cs="Arial"/>
                <w:kern w:val="28"/>
                <w:sz w:val="20"/>
                <w:szCs w:val="20"/>
                <w:vertAlign w:val="superscript"/>
              </w:rPr>
              <w:t>Норматив</w:t>
            </w:r>
          </w:p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Arial"/>
                <w:kern w:val="28"/>
                <w:sz w:val="20"/>
                <w:szCs w:val="20"/>
                <w:vertAlign w:val="superscript"/>
              </w:rPr>
            </w:pPr>
            <w:r w:rsidRPr="000C4F6A">
              <w:rPr>
                <w:rFonts w:cs="Arial"/>
                <w:kern w:val="28"/>
                <w:sz w:val="20"/>
                <w:szCs w:val="20"/>
                <w:vertAlign w:val="superscript"/>
              </w:rPr>
              <w:t>(не менее)</w:t>
            </w:r>
          </w:p>
        </w:tc>
        <w:tc>
          <w:tcPr>
            <w:tcW w:w="6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Arial"/>
                <w:kern w:val="28"/>
                <w:sz w:val="20"/>
                <w:szCs w:val="20"/>
                <w:vertAlign w:val="superscript"/>
              </w:rPr>
            </w:pPr>
            <w:r w:rsidRPr="000C4F6A">
              <w:rPr>
                <w:rFonts w:cs="Arial"/>
                <w:kern w:val="28"/>
                <w:sz w:val="20"/>
                <w:szCs w:val="20"/>
                <w:vertAlign w:val="superscript"/>
              </w:rPr>
              <w:t>Период</w:t>
            </w:r>
          </w:p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Arial"/>
                <w:kern w:val="28"/>
                <w:sz w:val="20"/>
                <w:szCs w:val="20"/>
                <w:vertAlign w:val="superscript"/>
              </w:rPr>
            </w:pPr>
            <w:r w:rsidRPr="000C4F6A">
              <w:rPr>
                <w:rFonts w:cs="Arial"/>
                <w:kern w:val="28"/>
                <w:sz w:val="20"/>
                <w:szCs w:val="20"/>
                <w:vertAlign w:val="superscript"/>
              </w:rPr>
              <w:t>нахождения в процедуре, лет</w:t>
            </w:r>
          </w:p>
        </w:tc>
      </w:tr>
      <w:tr w:rsidR="00B83B3D" w:rsidRPr="000C4F6A" w:rsidTr="00B83B3D">
        <w:trPr>
          <w:tblCellSpacing w:w="-8" w:type="dxa"/>
          <w:jc w:val="center"/>
        </w:trPr>
        <w:tc>
          <w:tcPr>
            <w:tcW w:w="1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EEFF"/>
          </w:tcPr>
          <w:p w:rsidR="00B83B3D" w:rsidRPr="000C4F6A" w:rsidRDefault="00B83B3D" w:rsidP="000C4F6A">
            <w:pPr>
              <w:shd w:val="clear" w:color="auto" w:fill="FFEEFF"/>
              <w:autoSpaceDE w:val="0"/>
              <w:autoSpaceDN w:val="0"/>
              <w:adjustRightInd w:val="0"/>
              <w:rPr>
                <w:rFonts w:cs="Arial"/>
                <w:bCs/>
                <w:kern w:val="28"/>
                <w:sz w:val="20"/>
                <w:szCs w:val="20"/>
              </w:rPr>
            </w:pPr>
            <w:r w:rsidRPr="000C4F6A">
              <w:rPr>
                <w:rFonts w:cs="Arial"/>
                <w:bCs/>
                <w:kern w:val="28"/>
                <w:sz w:val="20"/>
                <w:szCs w:val="20"/>
              </w:rPr>
              <w:t>К1</w:t>
            </w: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EEFF"/>
          </w:tcPr>
          <w:p w:rsidR="00B83B3D" w:rsidRPr="000C4F6A" w:rsidRDefault="00B83B3D" w:rsidP="000C4F6A">
            <w:pPr>
              <w:shd w:val="clear" w:color="auto" w:fill="FFEEFF"/>
              <w:autoSpaceDE w:val="0"/>
              <w:autoSpaceDN w:val="0"/>
              <w:adjustRightInd w:val="0"/>
              <w:rPr>
                <w:rFonts w:cs="Arial"/>
                <w:bCs/>
                <w:kern w:val="28"/>
                <w:sz w:val="20"/>
                <w:szCs w:val="20"/>
              </w:rPr>
            </w:pPr>
            <w:r w:rsidRPr="000C4F6A">
              <w:rPr>
                <w:rFonts w:cs="Arial"/>
                <w:bCs/>
                <w:kern w:val="28"/>
                <w:sz w:val="20"/>
                <w:szCs w:val="20"/>
              </w:rPr>
              <w:t>К2</w:t>
            </w: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EEFF"/>
          </w:tcPr>
          <w:p w:rsidR="00B83B3D" w:rsidRPr="000C4F6A" w:rsidRDefault="00B83B3D" w:rsidP="000C4F6A">
            <w:pPr>
              <w:shd w:val="clear" w:color="auto" w:fill="FFEEFF"/>
              <w:autoSpaceDE w:val="0"/>
              <w:autoSpaceDN w:val="0"/>
              <w:adjustRightInd w:val="0"/>
              <w:rPr>
                <w:rFonts w:cs="Arial"/>
                <w:bCs/>
                <w:kern w:val="28"/>
                <w:sz w:val="20"/>
                <w:szCs w:val="20"/>
              </w:rPr>
            </w:pPr>
            <w:r w:rsidRPr="000C4F6A">
              <w:rPr>
                <w:rFonts w:cs="Arial"/>
                <w:bCs/>
                <w:kern w:val="28"/>
                <w:sz w:val="20"/>
                <w:szCs w:val="20"/>
              </w:rPr>
              <w:t>К1</w:t>
            </w: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EEFF"/>
          </w:tcPr>
          <w:p w:rsidR="00B83B3D" w:rsidRPr="000C4F6A" w:rsidRDefault="00B83B3D" w:rsidP="000C4F6A">
            <w:pPr>
              <w:shd w:val="clear" w:color="auto" w:fill="FFEEFF"/>
              <w:autoSpaceDE w:val="0"/>
              <w:autoSpaceDN w:val="0"/>
              <w:adjustRightInd w:val="0"/>
              <w:rPr>
                <w:rFonts w:cs="Arial"/>
                <w:bCs/>
                <w:kern w:val="28"/>
                <w:sz w:val="20"/>
                <w:szCs w:val="20"/>
              </w:rPr>
            </w:pPr>
            <w:r w:rsidRPr="000C4F6A">
              <w:rPr>
                <w:rFonts w:cs="Arial"/>
                <w:bCs/>
                <w:kern w:val="28"/>
                <w:sz w:val="20"/>
                <w:szCs w:val="20"/>
              </w:rPr>
              <w:t>К2</w:t>
            </w: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EEFF"/>
          </w:tcPr>
          <w:p w:rsidR="00B83B3D" w:rsidRPr="000C4F6A" w:rsidRDefault="00B83B3D" w:rsidP="000C4F6A">
            <w:pPr>
              <w:shd w:val="clear" w:color="auto" w:fill="FFEEFF"/>
              <w:autoSpaceDE w:val="0"/>
              <w:autoSpaceDN w:val="0"/>
              <w:adjustRightInd w:val="0"/>
              <w:rPr>
                <w:rFonts w:cs="Arial"/>
                <w:bCs/>
                <w:kern w:val="28"/>
                <w:sz w:val="20"/>
                <w:szCs w:val="20"/>
              </w:rPr>
            </w:pPr>
            <w:r w:rsidRPr="000C4F6A">
              <w:rPr>
                <w:rFonts w:cs="Arial"/>
                <w:bCs/>
                <w:kern w:val="28"/>
                <w:sz w:val="20"/>
                <w:szCs w:val="20"/>
              </w:rPr>
              <w:t>К1</w:t>
            </w: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EEFF"/>
          </w:tcPr>
          <w:p w:rsidR="00B83B3D" w:rsidRPr="000C4F6A" w:rsidRDefault="00B83B3D" w:rsidP="000C4F6A">
            <w:pPr>
              <w:shd w:val="clear" w:color="auto" w:fill="FFEEFF"/>
              <w:autoSpaceDE w:val="0"/>
              <w:autoSpaceDN w:val="0"/>
              <w:adjustRightInd w:val="0"/>
              <w:rPr>
                <w:rFonts w:cs="Arial"/>
                <w:bCs/>
                <w:kern w:val="28"/>
                <w:sz w:val="20"/>
                <w:szCs w:val="20"/>
              </w:rPr>
            </w:pPr>
            <w:r w:rsidRPr="000C4F6A">
              <w:rPr>
                <w:rFonts w:cs="Arial"/>
                <w:bCs/>
                <w:kern w:val="28"/>
                <w:sz w:val="20"/>
                <w:szCs w:val="20"/>
              </w:rPr>
              <w:t>К2</w:t>
            </w: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EEFF"/>
          </w:tcPr>
          <w:p w:rsidR="00B83B3D" w:rsidRPr="000C4F6A" w:rsidRDefault="00B83B3D" w:rsidP="000C4F6A">
            <w:pPr>
              <w:shd w:val="clear" w:color="auto" w:fill="FFEEFF"/>
              <w:autoSpaceDE w:val="0"/>
              <w:autoSpaceDN w:val="0"/>
              <w:adjustRightInd w:val="0"/>
              <w:rPr>
                <w:rFonts w:cs="Arial"/>
                <w:bCs/>
                <w:kern w:val="28"/>
                <w:sz w:val="20"/>
                <w:szCs w:val="20"/>
              </w:rPr>
            </w:pPr>
            <w:r w:rsidRPr="000C4F6A">
              <w:rPr>
                <w:rFonts w:cs="Arial"/>
                <w:bCs/>
                <w:kern w:val="28"/>
                <w:sz w:val="20"/>
                <w:szCs w:val="20"/>
              </w:rPr>
              <w:t>К1</w:t>
            </w: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EEFF"/>
          </w:tcPr>
          <w:p w:rsidR="00B83B3D" w:rsidRPr="000C4F6A" w:rsidRDefault="00B83B3D" w:rsidP="000C4F6A">
            <w:pPr>
              <w:shd w:val="clear" w:color="auto" w:fill="FFEEFF"/>
              <w:autoSpaceDE w:val="0"/>
              <w:autoSpaceDN w:val="0"/>
              <w:adjustRightInd w:val="0"/>
              <w:rPr>
                <w:rFonts w:cs="Arial"/>
                <w:bCs/>
                <w:kern w:val="28"/>
                <w:sz w:val="20"/>
                <w:szCs w:val="20"/>
              </w:rPr>
            </w:pPr>
            <w:r w:rsidRPr="000C4F6A">
              <w:rPr>
                <w:rFonts w:cs="Arial"/>
                <w:bCs/>
                <w:kern w:val="28"/>
                <w:sz w:val="20"/>
                <w:szCs w:val="20"/>
              </w:rPr>
              <w:t>К2</w:t>
            </w:r>
          </w:p>
        </w:tc>
        <w:tc>
          <w:tcPr>
            <w:tcW w:w="6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</w:p>
        </w:tc>
      </w:tr>
      <w:tr w:rsidR="00B83B3D" w:rsidRPr="000C4F6A" w:rsidTr="00B83B3D">
        <w:trPr>
          <w:tblCellSpacing w:w="-8" w:type="dxa"/>
          <w:jc w:val="center"/>
        </w:trPr>
        <w:tc>
          <w:tcPr>
            <w:tcW w:w="1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ОАО "Могилевдрев"</w:t>
            </w: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0,37</w:t>
            </w: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-1,16</w:t>
            </w: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1,1</w:t>
            </w: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-0,78</w:t>
            </w: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+0,73</w:t>
            </w: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+0,38</w:t>
            </w:r>
          </w:p>
        </w:tc>
        <w:tc>
          <w:tcPr>
            <w:tcW w:w="400" w:type="pct"/>
            <w:vMerge w:val="restar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1,7</w:t>
            </w:r>
          </w:p>
        </w:tc>
        <w:tc>
          <w:tcPr>
            <w:tcW w:w="400" w:type="pct"/>
            <w:vMerge w:val="restar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0,3</w:t>
            </w:r>
          </w:p>
        </w:tc>
        <w:tc>
          <w:tcPr>
            <w:tcW w:w="6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4 года 2 мес.</w:t>
            </w:r>
          </w:p>
        </w:tc>
      </w:tr>
      <w:tr w:rsidR="00B83B3D" w:rsidRPr="000C4F6A" w:rsidTr="00B83B3D">
        <w:trPr>
          <w:tblCellSpacing w:w="-8" w:type="dxa"/>
          <w:jc w:val="center"/>
        </w:trPr>
        <w:tc>
          <w:tcPr>
            <w:tcW w:w="1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ОАО"Речицадрев"</w:t>
            </w: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0,51</w:t>
            </w: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-0,98</w:t>
            </w: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0,59</w:t>
            </w: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-0,69</w:t>
            </w: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+0,08</w:t>
            </w: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+0,29</w:t>
            </w:r>
          </w:p>
        </w:tc>
        <w:tc>
          <w:tcPr>
            <w:tcW w:w="1530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Arial"/>
                <w:bCs/>
                <w:kern w:val="28"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Arial"/>
                <w:bCs/>
                <w:kern w:val="28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4 года 2 мес.</w:t>
            </w:r>
          </w:p>
        </w:tc>
      </w:tr>
      <w:tr w:rsidR="00B83B3D" w:rsidRPr="000C4F6A" w:rsidTr="00B83B3D">
        <w:trPr>
          <w:tblCellSpacing w:w="-8" w:type="dxa"/>
          <w:jc w:val="center"/>
        </w:trPr>
        <w:tc>
          <w:tcPr>
            <w:tcW w:w="1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ОАО "Мозырьдрев"</w:t>
            </w: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0,64</w:t>
            </w: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-0,55</w:t>
            </w: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0,67</w:t>
            </w: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-0,49</w:t>
            </w: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+0,03</w:t>
            </w: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+0,06</w:t>
            </w:r>
          </w:p>
        </w:tc>
        <w:tc>
          <w:tcPr>
            <w:tcW w:w="1530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Arial"/>
                <w:bCs/>
                <w:kern w:val="28"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Arial"/>
                <w:bCs/>
                <w:kern w:val="28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11 мес.</w:t>
            </w:r>
          </w:p>
        </w:tc>
      </w:tr>
      <w:tr w:rsidR="00B83B3D" w:rsidRPr="000C4F6A" w:rsidTr="00B83B3D">
        <w:trPr>
          <w:tblCellSpacing w:w="-8" w:type="dxa"/>
          <w:jc w:val="center"/>
        </w:trPr>
        <w:tc>
          <w:tcPr>
            <w:tcW w:w="1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КУП "Калинковичский мебельный комбинат"</w:t>
            </w: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0,57</w:t>
            </w: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-0,78</w:t>
            </w: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1,08</w:t>
            </w: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0,08</w:t>
            </w: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+0,51</w:t>
            </w: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+0,86</w:t>
            </w:r>
          </w:p>
        </w:tc>
        <w:tc>
          <w:tcPr>
            <w:tcW w:w="1530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Arial"/>
                <w:bCs/>
                <w:kern w:val="28"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Arial"/>
                <w:bCs/>
                <w:kern w:val="28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4 года 6 мес.</w:t>
            </w:r>
          </w:p>
        </w:tc>
      </w:tr>
    </w:tbl>
    <w:p w:rsidR="000C4F6A" w:rsidRDefault="000C4F6A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Проанализируем динамику результатов финансово-хозяйственной деятельности этих предприятий по годам (табл. 3).</w:t>
      </w:r>
    </w:p>
    <w:p w:rsidR="000C4F6A" w:rsidRDefault="000C4F6A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kern w:val="28"/>
          <w:sz w:val="28"/>
          <w:szCs w:val="20"/>
        </w:rPr>
      </w:pP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kern w:val="28"/>
          <w:sz w:val="28"/>
          <w:szCs w:val="20"/>
        </w:rPr>
      </w:pPr>
      <w:r w:rsidRPr="00B97385">
        <w:rPr>
          <w:rFonts w:cs="Arial"/>
          <w:kern w:val="28"/>
          <w:sz w:val="28"/>
          <w:szCs w:val="20"/>
        </w:rPr>
        <w:t>ТАБЛИЦА 3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kern w:val="28"/>
          <w:sz w:val="28"/>
          <w:szCs w:val="20"/>
        </w:rPr>
      </w:pPr>
      <w:r w:rsidRPr="00B97385">
        <w:rPr>
          <w:rFonts w:cs="Arial"/>
          <w:bCs/>
          <w:kern w:val="28"/>
          <w:sz w:val="28"/>
          <w:szCs w:val="20"/>
        </w:rPr>
        <w:t>Анализ динамики финансовых результатов хозяйственной деятельности предприятий за период санации по годам</w:t>
      </w: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72"/>
        <w:gridCol w:w="1961"/>
        <w:gridCol w:w="973"/>
        <w:gridCol w:w="973"/>
        <w:gridCol w:w="973"/>
        <w:gridCol w:w="1072"/>
        <w:gridCol w:w="1072"/>
        <w:gridCol w:w="1072"/>
        <w:gridCol w:w="1360"/>
      </w:tblGrid>
      <w:tr w:rsidR="00B83B3D" w:rsidRPr="000C4F6A" w:rsidTr="00B83B3D">
        <w:trPr>
          <w:tblCellSpacing w:w="-8" w:type="dxa"/>
          <w:jc w:val="center"/>
        </w:trPr>
        <w:tc>
          <w:tcPr>
            <w:tcW w:w="1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B83B3D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Arial"/>
                <w:kern w:val="28"/>
                <w:sz w:val="20"/>
                <w:szCs w:val="20"/>
                <w:vertAlign w:val="superscript"/>
              </w:rPr>
            </w:pPr>
            <w:r w:rsidRPr="000C4F6A">
              <w:rPr>
                <w:rFonts w:cs="Arial"/>
                <w:kern w:val="28"/>
                <w:sz w:val="20"/>
                <w:szCs w:val="20"/>
                <w:vertAlign w:val="superscript"/>
              </w:rPr>
              <w:t>п/п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Arial"/>
                <w:kern w:val="28"/>
                <w:sz w:val="20"/>
                <w:szCs w:val="20"/>
                <w:vertAlign w:val="superscript"/>
              </w:rPr>
            </w:pPr>
            <w:r w:rsidRPr="000C4F6A">
              <w:rPr>
                <w:rFonts w:cs="Arial"/>
                <w:kern w:val="28"/>
                <w:sz w:val="20"/>
                <w:szCs w:val="20"/>
                <w:vertAlign w:val="superscript"/>
              </w:rPr>
              <w:t>Наименование предприятий</w:t>
            </w: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Arial"/>
                <w:kern w:val="28"/>
                <w:sz w:val="20"/>
                <w:szCs w:val="20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0C4F6A">
                <w:rPr>
                  <w:rFonts w:cs="Arial"/>
                  <w:kern w:val="28"/>
                  <w:sz w:val="20"/>
                  <w:szCs w:val="20"/>
                  <w:vertAlign w:val="superscript"/>
                </w:rPr>
                <w:t>2002 г</w:t>
              </w:r>
            </w:smartTag>
            <w:r w:rsidRPr="000C4F6A">
              <w:rPr>
                <w:rFonts w:cs="Arial"/>
                <w:kern w:val="28"/>
                <w:sz w:val="20"/>
                <w:szCs w:val="20"/>
                <w:vertAlign w:val="superscript"/>
              </w:rPr>
              <w:t>.,</w:t>
            </w:r>
          </w:p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Arial"/>
                <w:kern w:val="28"/>
                <w:sz w:val="20"/>
                <w:szCs w:val="20"/>
                <w:vertAlign w:val="superscript"/>
              </w:rPr>
            </w:pPr>
            <w:r w:rsidRPr="000C4F6A">
              <w:rPr>
                <w:rFonts w:cs="Arial"/>
                <w:kern w:val="28"/>
                <w:sz w:val="20"/>
                <w:szCs w:val="20"/>
                <w:vertAlign w:val="superscript"/>
              </w:rPr>
              <w:t>млн руб.</w:t>
            </w: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Arial"/>
                <w:kern w:val="28"/>
                <w:sz w:val="20"/>
                <w:szCs w:val="20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0C4F6A">
                <w:rPr>
                  <w:rFonts w:cs="Arial"/>
                  <w:kern w:val="28"/>
                  <w:sz w:val="20"/>
                  <w:szCs w:val="20"/>
                  <w:vertAlign w:val="superscript"/>
                </w:rPr>
                <w:t>2003 г</w:t>
              </w:r>
            </w:smartTag>
            <w:r w:rsidRPr="000C4F6A">
              <w:rPr>
                <w:rFonts w:cs="Arial"/>
                <w:kern w:val="28"/>
                <w:sz w:val="20"/>
                <w:szCs w:val="20"/>
                <w:vertAlign w:val="superscript"/>
              </w:rPr>
              <w:t>.</w:t>
            </w:r>
          </w:p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Arial"/>
                <w:kern w:val="28"/>
                <w:sz w:val="20"/>
                <w:szCs w:val="20"/>
                <w:vertAlign w:val="superscript"/>
              </w:rPr>
            </w:pPr>
            <w:r w:rsidRPr="000C4F6A">
              <w:rPr>
                <w:rFonts w:cs="Arial"/>
                <w:kern w:val="28"/>
                <w:sz w:val="20"/>
                <w:szCs w:val="20"/>
                <w:vertAlign w:val="superscript"/>
              </w:rPr>
              <w:t>млн руб.</w:t>
            </w: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Arial"/>
                <w:kern w:val="28"/>
                <w:sz w:val="20"/>
                <w:szCs w:val="20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0C4F6A">
                <w:rPr>
                  <w:rFonts w:cs="Arial"/>
                  <w:kern w:val="28"/>
                  <w:sz w:val="20"/>
                  <w:szCs w:val="20"/>
                  <w:vertAlign w:val="superscript"/>
                </w:rPr>
                <w:t>2004 г</w:t>
              </w:r>
            </w:smartTag>
            <w:r w:rsidRPr="000C4F6A">
              <w:rPr>
                <w:rFonts w:cs="Arial"/>
                <w:kern w:val="28"/>
                <w:sz w:val="20"/>
                <w:szCs w:val="20"/>
                <w:vertAlign w:val="superscript"/>
              </w:rPr>
              <w:t>.</w:t>
            </w:r>
          </w:p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Arial"/>
                <w:kern w:val="28"/>
                <w:sz w:val="20"/>
                <w:szCs w:val="20"/>
                <w:vertAlign w:val="superscript"/>
              </w:rPr>
            </w:pPr>
            <w:r w:rsidRPr="000C4F6A">
              <w:rPr>
                <w:rFonts w:cs="Arial"/>
                <w:kern w:val="28"/>
                <w:sz w:val="20"/>
                <w:szCs w:val="20"/>
                <w:vertAlign w:val="superscript"/>
              </w:rPr>
              <w:t>млн руб.</w:t>
            </w:r>
          </w:p>
        </w:tc>
        <w:tc>
          <w:tcPr>
            <w:tcW w:w="5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Arial"/>
                <w:kern w:val="28"/>
                <w:sz w:val="20"/>
                <w:szCs w:val="20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0C4F6A">
                <w:rPr>
                  <w:rFonts w:cs="Arial"/>
                  <w:kern w:val="28"/>
                  <w:sz w:val="20"/>
                  <w:szCs w:val="20"/>
                  <w:vertAlign w:val="superscript"/>
                </w:rPr>
                <w:t>2005 г</w:t>
              </w:r>
            </w:smartTag>
            <w:r w:rsidRPr="000C4F6A">
              <w:rPr>
                <w:rFonts w:cs="Arial"/>
                <w:kern w:val="28"/>
                <w:sz w:val="20"/>
                <w:szCs w:val="20"/>
                <w:vertAlign w:val="superscript"/>
              </w:rPr>
              <w:t>.</w:t>
            </w:r>
          </w:p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Arial"/>
                <w:kern w:val="28"/>
                <w:sz w:val="20"/>
                <w:szCs w:val="20"/>
                <w:vertAlign w:val="superscript"/>
              </w:rPr>
            </w:pPr>
            <w:r w:rsidRPr="000C4F6A">
              <w:rPr>
                <w:rFonts w:cs="Arial"/>
                <w:kern w:val="28"/>
                <w:sz w:val="20"/>
                <w:szCs w:val="20"/>
                <w:vertAlign w:val="superscript"/>
              </w:rPr>
              <w:t>млн. руб.</w:t>
            </w:r>
          </w:p>
        </w:tc>
        <w:tc>
          <w:tcPr>
            <w:tcW w:w="5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Arial"/>
                <w:kern w:val="28"/>
                <w:sz w:val="20"/>
                <w:szCs w:val="20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0C4F6A">
                <w:rPr>
                  <w:rFonts w:cs="Arial"/>
                  <w:kern w:val="28"/>
                  <w:sz w:val="20"/>
                  <w:szCs w:val="20"/>
                  <w:vertAlign w:val="superscript"/>
                </w:rPr>
                <w:t>2006 г</w:t>
              </w:r>
            </w:smartTag>
            <w:r w:rsidRPr="000C4F6A">
              <w:rPr>
                <w:rFonts w:cs="Arial"/>
                <w:kern w:val="28"/>
                <w:sz w:val="20"/>
                <w:szCs w:val="20"/>
                <w:vertAlign w:val="superscript"/>
              </w:rPr>
              <w:t>.</w:t>
            </w:r>
          </w:p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Arial"/>
                <w:kern w:val="28"/>
                <w:sz w:val="20"/>
                <w:szCs w:val="20"/>
                <w:vertAlign w:val="superscript"/>
              </w:rPr>
            </w:pPr>
            <w:r w:rsidRPr="000C4F6A">
              <w:rPr>
                <w:rFonts w:cs="Arial"/>
                <w:kern w:val="28"/>
                <w:sz w:val="20"/>
                <w:szCs w:val="20"/>
                <w:vertAlign w:val="superscript"/>
              </w:rPr>
              <w:t>млн. руб.</w:t>
            </w:r>
          </w:p>
        </w:tc>
        <w:tc>
          <w:tcPr>
            <w:tcW w:w="5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Arial"/>
                <w:kern w:val="28"/>
                <w:sz w:val="20"/>
                <w:szCs w:val="20"/>
                <w:vertAlign w:val="superscript"/>
              </w:rPr>
            </w:pPr>
            <w:r w:rsidRPr="000C4F6A">
              <w:rPr>
                <w:rFonts w:cs="Arial"/>
                <w:kern w:val="28"/>
                <w:sz w:val="20"/>
                <w:szCs w:val="20"/>
                <w:vertAlign w:val="superscript"/>
              </w:rPr>
              <w:t>Рост,</w:t>
            </w:r>
          </w:p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Arial"/>
                <w:kern w:val="28"/>
                <w:sz w:val="20"/>
                <w:szCs w:val="20"/>
                <w:vertAlign w:val="superscript"/>
              </w:rPr>
            </w:pPr>
            <w:r w:rsidRPr="000C4F6A">
              <w:rPr>
                <w:rFonts w:cs="Arial"/>
                <w:kern w:val="28"/>
                <w:sz w:val="20"/>
                <w:szCs w:val="20"/>
                <w:vertAlign w:val="superscript"/>
              </w:rPr>
              <w:t>млн руб.</w:t>
            </w:r>
          </w:p>
        </w:tc>
        <w:tc>
          <w:tcPr>
            <w:tcW w:w="7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Arial"/>
                <w:kern w:val="28"/>
                <w:sz w:val="20"/>
                <w:szCs w:val="20"/>
                <w:vertAlign w:val="superscript"/>
              </w:rPr>
            </w:pPr>
            <w:r w:rsidRPr="000C4F6A">
              <w:rPr>
                <w:rFonts w:cs="Arial"/>
                <w:kern w:val="28"/>
                <w:sz w:val="20"/>
                <w:szCs w:val="20"/>
                <w:vertAlign w:val="superscript"/>
              </w:rPr>
              <w:t>Среднесписочная численность работников, чел.</w:t>
            </w:r>
          </w:p>
        </w:tc>
      </w:tr>
      <w:tr w:rsidR="00B83B3D" w:rsidRPr="000C4F6A" w:rsidTr="00B83B3D">
        <w:trPr>
          <w:tblCellSpacing w:w="-8" w:type="dxa"/>
          <w:jc w:val="center"/>
        </w:trPr>
        <w:tc>
          <w:tcPr>
            <w:tcW w:w="1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B83B3D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ОАО "Могилевдрев"</w:t>
            </w: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143,0</w:t>
            </w: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438,0</w:t>
            </w: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676</w:t>
            </w:r>
          </w:p>
        </w:tc>
        <w:tc>
          <w:tcPr>
            <w:tcW w:w="5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556,6</w:t>
            </w:r>
          </w:p>
        </w:tc>
        <w:tc>
          <w:tcPr>
            <w:tcW w:w="5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917,0</w:t>
            </w:r>
          </w:p>
        </w:tc>
        <w:tc>
          <w:tcPr>
            <w:tcW w:w="5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774,0</w:t>
            </w:r>
          </w:p>
        </w:tc>
        <w:tc>
          <w:tcPr>
            <w:tcW w:w="7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1 000</w:t>
            </w:r>
          </w:p>
        </w:tc>
      </w:tr>
      <w:tr w:rsidR="00B83B3D" w:rsidRPr="000C4F6A" w:rsidTr="00B83B3D">
        <w:trPr>
          <w:tblCellSpacing w:w="-8" w:type="dxa"/>
          <w:jc w:val="center"/>
        </w:trPr>
        <w:tc>
          <w:tcPr>
            <w:tcW w:w="1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B83B3D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КУП "Калинковиский мебельный</w:t>
            </w:r>
          </w:p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комбинат"</w:t>
            </w: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-52,3</w:t>
            </w: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-6,6</w:t>
            </w:r>
          </w:p>
        </w:tc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29,1</w:t>
            </w:r>
          </w:p>
        </w:tc>
        <w:tc>
          <w:tcPr>
            <w:tcW w:w="5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180,3</w:t>
            </w:r>
          </w:p>
        </w:tc>
        <w:tc>
          <w:tcPr>
            <w:tcW w:w="5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484,8</w:t>
            </w:r>
          </w:p>
        </w:tc>
        <w:tc>
          <w:tcPr>
            <w:tcW w:w="5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537,1</w:t>
            </w:r>
          </w:p>
        </w:tc>
        <w:tc>
          <w:tcPr>
            <w:tcW w:w="7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3B3D" w:rsidRPr="000C4F6A" w:rsidRDefault="00B83B3D" w:rsidP="000C4F6A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0C4F6A">
              <w:rPr>
                <w:rFonts w:cs="Courier New"/>
                <w:kern w:val="28"/>
                <w:sz w:val="20"/>
                <w:szCs w:val="20"/>
              </w:rPr>
              <w:t>200</w:t>
            </w:r>
          </w:p>
        </w:tc>
      </w:tr>
    </w:tbl>
    <w:p w:rsidR="000C4F6A" w:rsidRDefault="000C4F6A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Как видим, финансовое положение данных предприятий с каждым годом улучшается при сохранении численности работников и вида деятельности.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Более веских результатов из расчета размера прибыли, приходящейся на 1 работающего из всех предприятий деревообрабатывающей отрасли, добился КУП "Калинковичский мебельный комбинат" - 2,7 млн руб. Как это удалось предприятию?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kern w:val="28"/>
          <w:sz w:val="28"/>
          <w:szCs w:val="18"/>
        </w:rPr>
      </w:pPr>
      <w:r w:rsidRPr="00B97385">
        <w:rPr>
          <w:rFonts w:cs="Arial"/>
          <w:bCs/>
          <w:kern w:val="28"/>
          <w:sz w:val="28"/>
          <w:szCs w:val="18"/>
        </w:rPr>
        <w:t>ПРИМЕР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 xml:space="preserve">В связи с </w:t>
      </w:r>
      <w:r w:rsidR="000C4F6A" w:rsidRPr="00B97385">
        <w:rPr>
          <w:rFonts w:cs="Tahoma"/>
          <w:kern w:val="28"/>
          <w:sz w:val="28"/>
          <w:szCs w:val="18"/>
        </w:rPr>
        <w:t>тем,</w:t>
      </w:r>
      <w:r w:rsidRPr="00B97385">
        <w:rPr>
          <w:rFonts w:cs="Tahoma"/>
          <w:kern w:val="28"/>
          <w:sz w:val="28"/>
          <w:szCs w:val="18"/>
        </w:rPr>
        <w:t xml:space="preserve"> что мы имели возможность дважды работать на предприятии "Калинковичский мебельный комбинат" - первый раз за 3 года до начала процедуры банкротства, а второй - в начале процесса санации, - выскажем свое мнение по принятым антикризисным мерам, предпринятым для улучшения ситуации.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Для начала обозначим основные проблемы, которые привели предприятие к кризису неплатежеспособности:</w:t>
      </w:r>
    </w:p>
    <w:p w:rsidR="00B83B3D" w:rsidRPr="00B97385" w:rsidRDefault="00B83B3D" w:rsidP="00B83B3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B97385">
        <w:rPr>
          <w:rFonts w:cs="Tahoma"/>
          <w:kern w:val="28"/>
          <w:sz w:val="28"/>
          <w:szCs w:val="18"/>
        </w:rPr>
        <w:t>использование бывшим руководством служебного положения в целях личного обогащения;</w:t>
      </w:r>
    </w:p>
    <w:p w:rsidR="00B83B3D" w:rsidRPr="00B97385" w:rsidRDefault="00B83B3D" w:rsidP="00B83B3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B97385">
        <w:rPr>
          <w:rFonts w:cs="Tahoma"/>
          <w:kern w:val="28"/>
          <w:sz w:val="28"/>
          <w:szCs w:val="18"/>
        </w:rPr>
        <w:t>неспособность самого руководителя и персонала работать в рыночных условиях;</w:t>
      </w:r>
    </w:p>
    <w:p w:rsidR="00B83B3D" w:rsidRPr="00B97385" w:rsidRDefault="00B83B3D" w:rsidP="00B83B3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B97385">
        <w:rPr>
          <w:rFonts w:cs="Tahoma"/>
          <w:kern w:val="28"/>
          <w:sz w:val="28"/>
          <w:szCs w:val="18"/>
        </w:rPr>
        <w:t>очень низкий уровень квалификации основных специалистов;</w:t>
      </w:r>
    </w:p>
    <w:p w:rsidR="00B83B3D" w:rsidRPr="00B97385" w:rsidRDefault="00B83B3D" w:rsidP="00B83B3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B97385">
        <w:rPr>
          <w:rFonts w:cs="Tahoma"/>
          <w:kern w:val="28"/>
          <w:sz w:val="28"/>
          <w:szCs w:val="18"/>
        </w:rPr>
        <w:t>изношенное оборудование и устаревшие технологии производства;</w:t>
      </w:r>
    </w:p>
    <w:p w:rsidR="00B83B3D" w:rsidRPr="00B97385" w:rsidRDefault="00B83B3D" w:rsidP="00B83B3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B97385">
        <w:rPr>
          <w:rFonts w:cs="Tahoma"/>
          <w:kern w:val="28"/>
          <w:sz w:val="28"/>
          <w:szCs w:val="18"/>
        </w:rPr>
        <w:t>отсутствие автоматизации всех бизнес-процессов;</w:t>
      </w:r>
    </w:p>
    <w:p w:rsidR="00B83B3D" w:rsidRPr="00B97385" w:rsidRDefault="00B83B3D" w:rsidP="00B83B3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B97385">
        <w:rPr>
          <w:rFonts w:cs="Tahoma"/>
          <w:kern w:val="28"/>
          <w:sz w:val="28"/>
          <w:szCs w:val="18"/>
        </w:rPr>
        <w:t>ограниченный ассортимент и низкое качество выпускаемой продукции;</w:t>
      </w:r>
    </w:p>
    <w:p w:rsidR="00B83B3D" w:rsidRPr="00B97385" w:rsidRDefault="00B83B3D" w:rsidP="00B83B3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B97385">
        <w:rPr>
          <w:rFonts w:cs="Tahoma"/>
          <w:kern w:val="28"/>
          <w:sz w:val="28"/>
          <w:szCs w:val="18"/>
        </w:rPr>
        <w:t>потеря доверия у поставщиков и покупателей;</w:t>
      </w:r>
    </w:p>
    <w:p w:rsidR="00B83B3D" w:rsidRPr="00B97385" w:rsidRDefault="00B83B3D" w:rsidP="00B83B3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B97385">
        <w:rPr>
          <w:rFonts w:cs="Tahoma"/>
          <w:kern w:val="28"/>
          <w:sz w:val="28"/>
          <w:szCs w:val="18"/>
        </w:rPr>
        <w:t>отсутствие всякой стратегии дальнейшего развития и т.д.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На момент прихода антикризисного управляющего предприятие еще кое-как осуществляло свою хозяйственную деятельность, но заработная плата сотрудников была очень низкой, да и та выплачивалась несвоевременно. И хотя весь коллектив был озлоблен, никто ничего не хотел менять.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На данном этапе управляющему предстояло решить одну из важнейших задач - разрядить психологически конфликтную ситуацию, усугубленную глубоким финансовым кризисом.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На наш взгляд, управляющий справился с этой задачей. Он назначил на должность исполнительного директора человека, уже несколько лет работавшего на этом предприятии главным инженером и имевшего авторитет у своего коллектива.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Поскольку управляющий вел несколько дел, находящихся в процедуре банкротства, одновременно, то постоянно находиться на мебельном комбинате не имел возможности. Поэтому все оперативное руководство предприятием осуществлял исполнительный директор.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Многие проблемы удалось решить благодаря удачно подобранной команде, ее профессионализму и желанию изменить ситуацию. Сделать это в таком маленьком городке, как Калинковичи, очень непросто. Но для того чтобы все получилось именно так, пришлось идти тернистым путем. А начинался он с изучения потребностей потенциальных покупателей и рынков сбыта.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Исполнительный директор вместе с главными специалистами с целью определения своей ниши в мебельном производстве занимались творческим поиском, проехав тысячи километров, посетив сотни мебельных магазинов. Это дало свой результат. Изменилась номенклатура и ассортимент выпускаемой продукции, основой которых всегда был спрос покупателей. Соответственно, снижались остатки склада готовой продукции, увеличивалась оборачиваемость вложенных средств. Особое внимание уделялось соответствию "цена - качество" производимой продукции. Постепенно удалось вернуть доверие поставщиков и потребителей. На расчетный счет стали поступать "живые деньги". При этом считалась каждая копейка, тщательно анализировалось, куда необходимо направить денежные средства в первую очередь.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Так как на период санации государством предоставляются определенные льготы по уплате налогов и неналоговых платежей, предприятие смогло увеличить собственные оборотные средства. Появилась возможность закупки современных видов сырья и материалов, выросли объемы выпуска продукции.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Постепенно начали проводить техническое перевооружение производства, совершенствовать технологический процесс. Это позволило обновить и расширить ассортимент выпускаемой продукции, снизить ее себестоимость, повысить производительность труда, выйти на современные требования по качеству и дизайну.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Понадобилось 2 года с начала открытия процедуры санации, чтобы предприятие начало работать прибыльно. Но самое главное - удалось изменить психологию рабочих, которые поняли, что соответствовать требованиям рынка для них тоже выгодно.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Сейчас темп роста производительности труда составляет 154,9%. Улучшились бытовые условия труда, выросла средняя заработная плата.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За период санации объем производства вырос на 170% и составляет в действующих ценах около 400 млн руб. Остатки продукции на складах составляют 50% от среднемесячного объема выпуска.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Необходимо заметить, другого источника финансирования, кроме собственных средств, у предприятия не было.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За период нахождения предприятия в процедуре санации удовлетворены требования кредиторов до открытия конкурсного производства в соответствии с реестром на сумму 140 млн руб. (или 57%). Но уже накопилась задолженность по текущим налогам, которая должна быть погашена до завершения процедуры, и общая кредиторская задолженность составляет около 1,5 млрд руб.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 xml:space="preserve">Срок санации установлен до конца </w:t>
      </w:r>
      <w:smartTag w:uri="urn:schemas-microsoft-com:office:smarttags" w:element="metricconverter">
        <w:smartTagPr>
          <w:attr w:name="ProductID" w:val="2007 г"/>
        </w:smartTagPr>
        <w:r w:rsidRPr="00B97385">
          <w:rPr>
            <w:rFonts w:cs="Tahoma"/>
            <w:kern w:val="28"/>
            <w:sz w:val="28"/>
            <w:szCs w:val="18"/>
          </w:rPr>
          <w:t>2007 г</w:t>
        </w:r>
      </w:smartTag>
      <w:r w:rsidRPr="00B97385">
        <w:rPr>
          <w:rFonts w:cs="Tahoma"/>
          <w:kern w:val="28"/>
          <w:sz w:val="28"/>
          <w:szCs w:val="18"/>
        </w:rPr>
        <w:t>. Сможет ли предприятие справиться со своими обязательствами после закрытия процедуры? И какие основания может найти хозяйственный суд для продления сроков, если предприятие не приравнивается к числу градообразующих?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Хочется надеяться, что КУП "Калинковичский мебельный комбинат" по силам стабилизировать ситуацию.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  <w:r w:rsidRPr="00B97385">
        <w:rPr>
          <w:rFonts w:cs="Arial"/>
          <w:bCs/>
          <w:caps/>
          <w:kern w:val="28"/>
          <w:sz w:val="28"/>
          <w:szCs w:val="18"/>
        </w:rPr>
        <w:t>Возможность продления срока санации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В соответствии с законодательством срок санации градообразующих предприятий или приравненных к ним может быть продлен до 10 лет при условии поручительства органов государственной власти. В этом случае поручитель несет субсидиарную ответственность по обязательствам должника перед кредиторами. В частности, райисполком или облисполком может дать такую гарантию, однако пока отсутствует механизм реализации этой возможности.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В настоящий момент два деревообрабатывающих предприятия ОАО "Речицадрев" и ОАО "Могилевдрев" находятся в такой ситуации, когда срок санации заканчивается, нет оснований для ликвидации этих предприятий, так как работают они прибыльно, да и оставить без работы более 2-х тысяч человек просто невозможно.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В тоже время для получения гарантий необходимо в бюджете предусмотреть выделение денежных средств под эти цели. Гомельский облисполком направил в Минфин проект бюджета на следующий год, в котором была заложена статья расходов под гарантии. Но Министерство финансов эту статью исключило. Высший хозяйственный суд Республики Беларусь, направив по данному вопросу письмо в Совет Министров Республики Беларусь, получил ответ, в котором говорилось, что эти вопросы разрешаются на местах. Получился замкнутый круг.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Из 18 санируемый предприятий, имеющих значение для государства, прибыльно работают только 7 или (39%). Предприятия, вошедшие в процедуру санации, как правило, первые два года имеют убытки и рост кредиторской задолженности, значительную текучесть кадров. Значит, срока, установленного законодательством, без возможности получения кредитов и займов недостаточно для успешного проведения санации.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Экспертами подсчитано, что если среднестатистические санируемые предприятия будут работать с рентабельностью не ниже 15%, то, чтобы успешно завершить санацию и восстановить их платежеспособность, потребуется 6 лет. На этом основании Департаментом по санации и банкротству предложено внесение изменений в Закон РБ "Об экономической несостоятельности (банкротстве)" о введении шестилетнего срока санации предприятия. Будет ли принята такая норма, покажет время.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Делая вывод об эффективности проведения процедуры санации в настоящее время, скорее правильнее будет сказать, что с помощью этой процедуры чаще всего удается сохранить само предприятие и рабочие места, а также приостановить падение в финансовую пропасть.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В современных условиях действенной мерой оздоровления является вариант санации, когда на основе организации-должника создается новое юридическое лицо, имеющее другую организационную структуру и форму собственности. Необходимо освобождаться от ненужных активов и искать свое место на рынке</w:t>
      </w:r>
    </w:p>
    <w:p w:rsidR="00B83B3D" w:rsidRPr="00B97385" w:rsidRDefault="00B83B3D" w:rsidP="00B83B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Эффективной мерой также является продажа неплатежеспособного предприятия имущественным комплексом новому собственнику. Независимо от собственника предприятия останутся белорусскими, будут платить налоги и создавать эффективные рабочие места. Более того, их стабильная работа в режиме саморазвития обеспечит формирование бюджета, реально имеющего социальную направленность.</w:t>
      </w:r>
    </w:p>
    <w:p w:rsidR="00B83B3D" w:rsidRPr="001A4E20" w:rsidRDefault="00B83B3D" w:rsidP="000C4F6A">
      <w:pPr>
        <w:shd w:val="clear" w:color="auto" w:fill="FFFFFF"/>
        <w:tabs>
          <w:tab w:val="left" w:pos="284"/>
          <w:tab w:val="left" w:pos="1134"/>
        </w:tabs>
        <w:spacing w:line="360" w:lineRule="auto"/>
        <w:rPr>
          <w:b/>
          <w:kern w:val="28"/>
          <w:sz w:val="28"/>
          <w:szCs w:val="28"/>
        </w:rPr>
      </w:pPr>
      <w:r>
        <w:br w:type="page"/>
      </w:r>
      <w:r w:rsidRPr="001A4E20">
        <w:rPr>
          <w:b/>
          <w:bCs/>
          <w:kern w:val="28"/>
          <w:sz w:val="28"/>
          <w:szCs w:val="28"/>
        </w:rPr>
        <w:t>СПИСОК ИСПОЛЬЗОВАННЫХ ИСТОЧНИКОВ</w:t>
      </w:r>
    </w:p>
    <w:p w:rsidR="00B83B3D" w:rsidRPr="00C75A4E" w:rsidRDefault="00B83B3D" w:rsidP="000C4F6A">
      <w:pPr>
        <w:tabs>
          <w:tab w:val="left" w:pos="284"/>
          <w:tab w:val="left" w:pos="1134"/>
        </w:tabs>
        <w:spacing w:line="360" w:lineRule="auto"/>
        <w:rPr>
          <w:vanish/>
          <w:kern w:val="28"/>
          <w:sz w:val="28"/>
          <w:szCs w:val="28"/>
        </w:rPr>
      </w:pPr>
    </w:p>
    <w:p w:rsidR="00B83B3D" w:rsidRPr="004E7E6B" w:rsidRDefault="00B83B3D" w:rsidP="000C4F6A">
      <w:pPr>
        <w:pStyle w:val="HTML"/>
        <w:numPr>
          <w:ilvl w:val="0"/>
          <w:numId w:val="2"/>
        </w:numPr>
        <w:tabs>
          <w:tab w:val="left" w:pos="284"/>
          <w:tab w:val="left" w:pos="1134"/>
        </w:tabs>
        <w:spacing w:line="360" w:lineRule="auto"/>
        <w:ind w:left="0" w:firstLine="0"/>
        <w:rPr>
          <w:rFonts w:ascii="Times New Roman" w:hAnsi="Times New Roman"/>
          <w:color w:val="auto"/>
          <w:kern w:val="28"/>
          <w:sz w:val="28"/>
          <w:szCs w:val="28"/>
        </w:rPr>
      </w:pPr>
      <w:r w:rsidRPr="00C75A4E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Конституция Республики Беларусь 1994 года. Принята на республиканском референдуме </w:t>
      </w:r>
      <w:smartTag w:uri="urn:schemas-microsoft-com:office:smarttags" w:element="date">
        <w:smartTagPr>
          <w:attr w:name="ls" w:val="trans"/>
          <w:attr w:name="Month" w:val="11"/>
          <w:attr w:name="Day" w:val="24"/>
          <w:attr w:name="Year" w:val="1996"/>
        </w:smartTagPr>
        <w:r w:rsidRPr="00C75A4E">
          <w:rPr>
            <w:rFonts w:ascii="Times New Roman" w:hAnsi="Times New Roman" w:cs="Times New Roman"/>
            <w:color w:val="auto"/>
            <w:kern w:val="28"/>
            <w:sz w:val="28"/>
            <w:szCs w:val="28"/>
          </w:rPr>
          <w:t>24 ноября 1996 года</w:t>
        </w:r>
      </w:smartTag>
      <w:r w:rsidRPr="00C75A4E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(с изменениями и дополнениями, принятыми на республиканских референдумах </w:t>
      </w:r>
      <w:smartTag w:uri="urn:schemas-microsoft-com:office:smarttags" w:element="date">
        <w:smartTagPr>
          <w:attr w:name="ls" w:val="trans"/>
          <w:attr w:name="Month" w:val="11"/>
          <w:attr w:name="Day" w:val="24"/>
          <w:attr w:name="Year" w:val="1996"/>
        </w:smartTagPr>
        <w:r w:rsidRPr="00C75A4E">
          <w:rPr>
            <w:rFonts w:ascii="Times New Roman" w:hAnsi="Times New Roman" w:cs="Times New Roman"/>
            <w:color w:val="auto"/>
            <w:kern w:val="28"/>
            <w:sz w:val="28"/>
            <w:szCs w:val="28"/>
          </w:rPr>
          <w:t>24 ноября 1996г.</w:t>
        </w:r>
      </w:smartTag>
      <w:r w:rsidRPr="00C75A4E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и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C75A4E">
          <w:rPr>
            <w:rFonts w:ascii="Times New Roman" w:hAnsi="Times New Roman" w:cs="Times New Roman"/>
            <w:color w:val="auto"/>
            <w:kern w:val="28"/>
            <w:sz w:val="28"/>
            <w:szCs w:val="28"/>
          </w:rPr>
          <w:t>17 октября 2004г.</w:t>
        </w:r>
      </w:smartTag>
      <w:r w:rsidRPr="00C75A4E">
        <w:rPr>
          <w:rFonts w:ascii="Times New Roman" w:hAnsi="Times New Roman" w:cs="Times New Roman"/>
          <w:color w:val="auto"/>
          <w:kern w:val="28"/>
          <w:sz w:val="28"/>
          <w:szCs w:val="28"/>
        </w:rPr>
        <w:t>) Минск «Беларусь» 2004г.</w:t>
      </w:r>
    </w:p>
    <w:p w:rsidR="00B83B3D" w:rsidRPr="00A8253F" w:rsidRDefault="00B83B3D" w:rsidP="000C4F6A">
      <w:pPr>
        <w:pStyle w:val="HTML"/>
        <w:numPr>
          <w:ilvl w:val="0"/>
          <w:numId w:val="2"/>
        </w:numPr>
        <w:tabs>
          <w:tab w:val="left" w:pos="284"/>
          <w:tab w:val="left" w:pos="1134"/>
        </w:tabs>
        <w:spacing w:line="360" w:lineRule="auto"/>
        <w:ind w:left="0" w:firstLine="0"/>
        <w:rPr>
          <w:rFonts w:ascii="Times New Roman" w:hAnsi="Times New Roman"/>
          <w:color w:val="auto"/>
          <w:kern w:val="28"/>
          <w:sz w:val="28"/>
          <w:szCs w:val="28"/>
        </w:rPr>
      </w:pPr>
      <w:r w:rsidRPr="00A8253F">
        <w:rPr>
          <w:rFonts w:ascii="Times New Roman" w:hAnsi="Times New Roman"/>
          <w:color w:val="auto"/>
          <w:kern w:val="28"/>
          <w:sz w:val="28"/>
          <w:szCs w:val="28"/>
        </w:rPr>
        <w:t xml:space="preserve">Указ Президента Республики Беларусь от </w:t>
      </w:r>
      <w:smartTag w:uri="urn:schemas-microsoft-com:office:smarttags" w:element="date">
        <w:smartTagPr>
          <w:attr w:name="Year" w:val="2002"/>
          <w:attr w:name="Day" w:val="16"/>
          <w:attr w:name="Month" w:val="1"/>
          <w:attr w:name="ls" w:val="trans"/>
        </w:smartTagPr>
        <w:r w:rsidRPr="00A8253F">
          <w:rPr>
            <w:rFonts w:ascii="Times New Roman" w:hAnsi="Times New Roman"/>
            <w:color w:val="auto"/>
            <w:kern w:val="28"/>
            <w:sz w:val="28"/>
            <w:szCs w:val="28"/>
          </w:rPr>
          <w:t>16 января 2002 года</w:t>
        </w:r>
      </w:smartTag>
      <w:r w:rsidRPr="00A8253F">
        <w:rPr>
          <w:rFonts w:ascii="Times New Roman" w:hAnsi="Times New Roman"/>
          <w:color w:val="auto"/>
          <w:kern w:val="28"/>
          <w:sz w:val="28"/>
          <w:szCs w:val="28"/>
        </w:rPr>
        <w:t xml:space="preserve"> №40 «О дополнительных мерах по регулированию экономических отношений» // Национальный реестр правовых актов Республики Беларусь. – 2002. - №9.</w:t>
      </w:r>
    </w:p>
    <w:p w:rsidR="00B83B3D" w:rsidRPr="002C49C7" w:rsidRDefault="00B83B3D" w:rsidP="000C4F6A">
      <w:pPr>
        <w:pStyle w:val="HTML"/>
        <w:numPr>
          <w:ilvl w:val="0"/>
          <w:numId w:val="2"/>
        </w:numPr>
        <w:tabs>
          <w:tab w:val="left" w:pos="284"/>
          <w:tab w:val="left" w:pos="1134"/>
        </w:tabs>
        <w:spacing w:line="360" w:lineRule="auto"/>
        <w:ind w:left="0" w:firstLine="0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2C49C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Гражданский кодекс Республики Беларусь от </w:t>
      </w:r>
      <w:smartTag w:uri="urn:schemas-microsoft-com:office:smarttags" w:element="date">
        <w:smartTagPr>
          <w:attr w:name="ls" w:val="trans"/>
          <w:attr w:name="Month" w:val="11"/>
          <w:attr w:name="Day" w:val="19"/>
          <w:attr w:name="Year" w:val="1998"/>
        </w:smartTagPr>
        <w:r w:rsidRPr="002C49C7">
          <w:rPr>
            <w:rFonts w:ascii="Times New Roman" w:hAnsi="Times New Roman" w:cs="Times New Roman"/>
            <w:color w:val="auto"/>
            <w:kern w:val="28"/>
            <w:sz w:val="28"/>
            <w:szCs w:val="28"/>
          </w:rPr>
          <w:t xml:space="preserve">19 ноября </w:t>
        </w:r>
        <w:smartTag w:uri="urn:schemas-microsoft-com:office:smarttags" w:element="metricconverter">
          <w:smartTagPr>
            <w:attr w:name="ProductID" w:val="1998 г"/>
          </w:smartTagPr>
          <w:r w:rsidRPr="002C49C7">
            <w:rPr>
              <w:rFonts w:ascii="Times New Roman" w:hAnsi="Times New Roman" w:cs="Times New Roman"/>
              <w:color w:val="auto"/>
              <w:kern w:val="28"/>
              <w:sz w:val="28"/>
              <w:szCs w:val="28"/>
            </w:rPr>
            <w:t>1998 г</w:t>
          </w:r>
        </w:smartTag>
        <w:r w:rsidRPr="002C49C7">
          <w:rPr>
            <w:rFonts w:ascii="Times New Roman" w:hAnsi="Times New Roman" w:cs="Times New Roman"/>
            <w:color w:val="auto"/>
            <w:kern w:val="28"/>
            <w:sz w:val="28"/>
            <w:szCs w:val="28"/>
          </w:rPr>
          <w:t>.</w:t>
        </w:r>
      </w:smartTag>
      <w:r w:rsidRPr="002C49C7">
        <w:rPr>
          <w:rFonts w:ascii="Times New Roman" w:hAnsi="Times New Roman" w:cs="Times New Roman"/>
          <w:color w:val="auto"/>
          <w:kern w:val="28"/>
          <w:sz w:val="28"/>
          <w:szCs w:val="28"/>
        </w:rPr>
        <w:t>: с комментариями к разделам / Комментарий В. Ф. Чигира // Мн.: Амалфея , 1999.</w:t>
      </w:r>
    </w:p>
    <w:p w:rsidR="00B83B3D" w:rsidRPr="002C49C7" w:rsidRDefault="00B83B3D" w:rsidP="000C4F6A">
      <w:pPr>
        <w:pStyle w:val="HTML"/>
        <w:numPr>
          <w:ilvl w:val="0"/>
          <w:numId w:val="2"/>
        </w:numPr>
        <w:tabs>
          <w:tab w:val="left" w:pos="284"/>
          <w:tab w:val="left" w:pos="1134"/>
        </w:tabs>
        <w:spacing w:line="360" w:lineRule="auto"/>
        <w:ind w:left="0" w:firstLine="0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2C49C7">
        <w:rPr>
          <w:rFonts w:ascii="Times New Roman" w:hAnsi="Times New Roman" w:cs="Times New Roman"/>
          <w:color w:val="auto"/>
          <w:kern w:val="28"/>
          <w:sz w:val="28"/>
          <w:szCs w:val="28"/>
        </w:rPr>
        <w:t>Закон Республики Беларусь  от 18.07.2000 № 423-З "Об экономической несостоятельности (банкротстве)". Юридическая база «ЮСИАС» - 2008г.</w:t>
      </w:r>
    </w:p>
    <w:p w:rsidR="00B83B3D" w:rsidRPr="002C49C7" w:rsidRDefault="00B83B3D" w:rsidP="000C4F6A">
      <w:pPr>
        <w:pStyle w:val="HTML"/>
        <w:numPr>
          <w:ilvl w:val="0"/>
          <w:numId w:val="2"/>
        </w:numPr>
        <w:tabs>
          <w:tab w:val="left" w:pos="284"/>
          <w:tab w:val="left" w:pos="1134"/>
        </w:tabs>
        <w:spacing w:line="360" w:lineRule="auto"/>
        <w:ind w:left="0" w:firstLine="0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2C49C7">
        <w:rPr>
          <w:rFonts w:ascii="Times New Roman" w:hAnsi="Times New Roman" w:cs="Times New Roman"/>
          <w:color w:val="auto"/>
          <w:kern w:val="28"/>
          <w:sz w:val="28"/>
          <w:szCs w:val="28"/>
        </w:rPr>
        <w:t>Комментарий к Гражданскому кодексу Республики Беларусь: В 2 книгах. Книга 1. / Отв. ред. В.Ф. Чигир. - Мн.: Амалфея, 1999. - 624с.</w:t>
      </w:r>
    </w:p>
    <w:p w:rsidR="00B83B3D" w:rsidRPr="00F274F2" w:rsidRDefault="00B83B3D" w:rsidP="000C4F6A">
      <w:pPr>
        <w:pStyle w:val="HTML"/>
        <w:numPr>
          <w:ilvl w:val="0"/>
          <w:numId w:val="2"/>
        </w:numPr>
        <w:tabs>
          <w:tab w:val="left" w:pos="284"/>
          <w:tab w:val="left" w:pos="1134"/>
        </w:tabs>
        <w:spacing w:line="360" w:lineRule="auto"/>
        <w:ind w:left="0" w:firstLine="0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2C49C7">
        <w:rPr>
          <w:rFonts w:ascii="Times New Roman" w:hAnsi="Times New Roman" w:cs="Times New Roman"/>
          <w:color w:val="auto"/>
          <w:kern w:val="28"/>
          <w:sz w:val="28"/>
          <w:szCs w:val="28"/>
        </w:rPr>
        <w:t>Правовое регулирование хозяйственной деятельности</w:t>
      </w:r>
      <w:r w:rsidRPr="00F274F2">
        <w:rPr>
          <w:rFonts w:ascii="Times New Roman" w:hAnsi="Times New Roman" w:cs="Times New Roman"/>
          <w:color w:val="auto"/>
          <w:kern w:val="28"/>
          <w:sz w:val="28"/>
          <w:szCs w:val="28"/>
        </w:rPr>
        <w:t>: Учебник / В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.</w:t>
      </w:r>
      <w:r w:rsidRPr="00F274F2">
        <w:rPr>
          <w:rFonts w:ascii="Times New Roman" w:hAnsi="Times New Roman" w:cs="Times New Roman"/>
          <w:color w:val="auto"/>
          <w:kern w:val="28"/>
          <w:sz w:val="28"/>
          <w:szCs w:val="28"/>
        </w:rPr>
        <w:t>В. Авдеев, А.В. Ананько, Н.Л. Бондаренко и др.; Под общей редакцией В.А. Витушко, Р.И. Филипчик. – Мн.: Книжный дом, 2004. – 832с.</w:t>
      </w:r>
    </w:p>
    <w:p w:rsidR="00B83B3D" w:rsidRPr="00F274F2" w:rsidRDefault="00B83B3D" w:rsidP="000C4F6A">
      <w:pPr>
        <w:pStyle w:val="HTML"/>
        <w:numPr>
          <w:ilvl w:val="0"/>
          <w:numId w:val="2"/>
        </w:numPr>
        <w:tabs>
          <w:tab w:val="left" w:pos="284"/>
          <w:tab w:val="left" w:pos="1134"/>
        </w:tabs>
        <w:spacing w:line="360" w:lineRule="auto"/>
        <w:ind w:left="0" w:firstLine="0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274F2">
        <w:rPr>
          <w:rFonts w:ascii="Times New Roman" w:hAnsi="Times New Roman" w:cs="Times New Roman"/>
          <w:color w:val="auto"/>
          <w:kern w:val="28"/>
          <w:sz w:val="28"/>
          <w:szCs w:val="28"/>
        </w:rPr>
        <w:t>Хозяйственное право Республики Беларусь: Практическое пособие / С.С. Вабищевич. – Мн.: Молодежное науч. об-во, 2002. – 398с.</w:t>
      </w:r>
    </w:p>
    <w:p w:rsidR="00B83B3D" w:rsidRPr="00F274F2" w:rsidRDefault="00B83B3D" w:rsidP="000C4F6A">
      <w:pPr>
        <w:pStyle w:val="HTML"/>
        <w:numPr>
          <w:ilvl w:val="0"/>
          <w:numId w:val="2"/>
        </w:numPr>
        <w:tabs>
          <w:tab w:val="left" w:pos="284"/>
          <w:tab w:val="left" w:pos="1134"/>
        </w:tabs>
        <w:spacing w:line="360" w:lineRule="auto"/>
        <w:ind w:left="0" w:firstLine="0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274F2">
        <w:rPr>
          <w:rFonts w:ascii="Times New Roman" w:hAnsi="Times New Roman" w:cs="Times New Roman"/>
          <w:color w:val="auto"/>
          <w:kern w:val="28"/>
          <w:sz w:val="28"/>
          <w:szCs w:val="28"/>
        </w:rPr>
        <w:t>Хозяйственное право Республики Беларусь. Общая часть. Практ. пособие – Мн.: «МНО», 2001. – 318с.</w:t>
      </w:r>
    </w:p>
    <w:p w:rsidR="00B83B3D" w:rsidRPr="00F274F2" w:rsidRDefault="00B83B3D" w:rsidP="000C4F6A">
      <w:pPr>
        <w:tabs>
          <w:tab w:val="left" w:pos="284"/>
          <w:tab w:val="left" w:pos="1134"/>
        </w:tabs>
        <w:autoSpaceDE w:val="0"/>
        <w:autoSpaceDN w:val="0"/>
        <w:adjustRightInd w:val="0"/>
        <w:spacing w:line="360" w:lineRule="auto"/>
        <w:rPr>
          <w:kern w:val="28"/>
          <w:sz w:val="28"/>
          <w:szCs w:val="28"/>
        </w:rPr>
      </w:pPr>
    </w:p>
    <w:p w:rsidR="00B83B3D" w:rsidRPr="00F274F2" w:rsidRDefault="00B83B3D" w:rsidP="000C4F6A">
      <w:pPr>
        <w:tabs>
          <w:tab w:val="left" w:pos="284"/>
          <w:tab w:val="left" w:pos="1134"/>
        </w:tabs>
        <w:autoSpaceDE w:val="0"/>
        <w:autoSpaceDN w:val="0"/>
        <w:adjustRightInd w:val="0"/>
        <w:spacing w:line="360" w:lineRule="auto"/>
        <w:rPr>
          <w:kern w:val="28"/>
          <w:sz w:val="28"/>
          <w:szCs w:val="28"/>
        </w:rPr>
      </w:pPr>
    </w:p>
    <w:p w:rsidR="00B83B3D" w:rsidRPr="00E7726E" w:rsidRDefault="00B83B3D" w:rsidP="000C4F6A">
      <w:pPr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cs="Tahoma"/>
          <w:kern w:val="28"/>
        </w:rPr>
      </w:pPr>
    </w:p>
    <w:p w:rsidR="0072715E" w:rsidRDefault="0072715E" w:rsidP="000C4F6A">
      <w:pPr>
        <w:tabs>
          <w:tab w:val="left" w:pos="284"/>
          <w:tab w:val="left" w:pos="1134"/>
        </w:tabs>
      </w:pPr>
    </w:p>
    <w:p w:rsidR="001720FD" w:rsidRDefault="001720FD" w:rsidP="000C4F6A">
      <w:pPr>
        <w:tabs>
          <w:tab w:val="left" w:pos="284"/>
          <w:tab w:val="left" w:pos="1134"/>
        </w:tabs>
      </w:pPr>
      <w:bookmarkStart w:id="0" w:name="_GoBack"/>
      <w:bookmarkEnd w:id="0"/>
    </w:p>
    <w:sectPr w:rsidR="001720FD" w:rsidSect="0072715E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557" w:rsidRDefault="00C55557">
      <w:r>
        <w:separator/>
      </w:r>
    </w:p>
  </w:endnote>
  <w:endnote w:type="continuationSeparator" w:id="0">
    <w:p w:rsidR="00C55557" w:rsidRDefault="00C5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557" w:rsidRDefault="00C55557">
      <w:r>
        <w:separator/>
      </w:r>
    </w:p>
  </w:footnote>
  <w:footnote w:type="continuationSeparator" w:id="0">
    <w:p w:rsidR="00C55557" w:rsidRDefault="00C55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15E" w:rsidRDefault="0072715E" w:rsidP="00ED13F6">
    <w:pPr>
      <w:pStyle w:val="a3"/>
      <w:framePr w:wrap="around" w:vAnchor="text" w:hAnchor="margin" w:xAlign="right" w:y="1"/>
      <w:rPr>
        <w:rStyle w:val="a5"/>
      </w:rPr>
    </w:pPr>
  </w:p>
  <w:p w:rsidR="0072715E" w:rsidRDefault="0072715E" w:rsidP="0072715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15E" w:rsidRDefault="00403909" w:rsidP="00ED13F6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72715E" w:rsidRDefault="0072715E" w:rsidP="0072715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E27DF"/>
    <w:multiLevelType w:val="hybridMultilevel"/>
    <w:tmpl w:val="8B826950"/>
    <w:lvl w:ilvl="0" w:tplc="B9129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0A08D11"/>
    <w:multiLevelType w:val="multilevel"/>
    <w:tmpl w:val="4B0AF302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15E"/>
    <w:rsid w:val="00020EE8"/>
    <w:rsid w:val="00094A29"/>
    <w:rsid w:val="000C4F6A"/>
    <w:rsid w:val="001720FD"/>
    <w:rsid w:val="001A4E20"/>
    <w:rsid w:val="002C49C7"/>
    <w:rsid w:val="0030203E"/>
    <w:rsid w:val="00403909"/>
    <w:rsid w:val="004E7E6B"/>
    <w:rsid w:val="006D0CBF"/>
    <w:rsid w:val="0072715E"/>
    <w:rsid w:val="007342B5"/>
    <w:rsid w:val="00A8253F"/>
    <w:rsid w:val="00B83B3D"/>
    <w:rsid w:val="00B97385"/>
    <w:rsid w:val="00C55557"/>
    <w:rsid w:val="00C75A4E"/>
    <w:rsid w:val="00E7726E"/>
    <w:rsid w:val="00ED13F6"/>
    <w:rsid w:val="00F2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FBFDE11-D292-4467-B3D0-3CFBFBF7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71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2715E"/>
    <w:rPr>
      <w:rFonts w:cs="Times New Roman"/>
    </w:rPr>
  </w:style>
  <w:style w:type="paragraph" w:styleId="HTML">
    <w:name w:val="HTML Preformatted"/>
    <w:basedOn w:val="a"/>
    <w:link w:val="HTML0"/>
    <w:uiPriority w:val="99"/>
    <w:rsid w:val="00B83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555555"/>
      <w:sz w:val="30"/>
      <w:szCs w:val="3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3110</Words>
  <Characters>17731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ПРАКТИКА ПРОВЕДЕНИЯ ПРОЦЕДУРЫ САНАЦИИ</vt:lpstr>
    </vt:vector>
  </TitlesOfParts>
  <Company>Microsoft</Company>
  <LinksUpToDate>false</LinksUpToDate>
  <CharactersWithSpaces>20800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ПРАКТИКА ПРОВЕДЕНИЯ ПРОЦЕДУРЫ САНАЦИИ</dc:title>
  <dc:subject/>
  <dc:creator>Admin</dc:creator>
  <cp:keywords/>
  <dc:description/>
  <cp:lastModifiedBy>admin</cp:lastModifiedBy>
  <cp:revision>2</cp:revision>
  <dcterms:created xsi:type="dcterms:W3CDTF">2014-03-07T00:40:00Z</dcterms:created>
  <dcterms:modified xsi:type="dcterms:W3CDTF">2014-03-07T00:40:00Z</dcterms:modified>
</cp:coreProperties>
</file>