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56" w:rsidRPr="002B293D" w:rsidRDefault="00932856" w:rsidP="002B293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b/>
          <w:sz w:val="28"/>
          <w:szCs w:val="28"/>
        </w:rPr>
        <w:t>Министерство образования и науки Российской Федерации</w:t>
      </w:r>
    </w:p>
    <w:p w:rsidR="00932856" w:rsidRPr="002B293D" w:rsidRDefault="00932856" w:rsidP="002B293D">
      <w:pPr>
        <w:spacing w:line="360" w:lineRule="auto"/>
        <w:ind w:left="709"/>
        <w:jc w:val="center"/>
        <w:rPr>
          <w:sz w:val="28"/>
          <w:szCs w:val="28"/>
        </w:rPr>
      </w:pPr>
      <w:r w:rsidRPr="002B293D">
        <w:rPr>
          <w:sz w:val="28"/>
          <w:szCs w:val="28"/>
        </w:rPr>
        <w:t>Федеральное агентство по образованию</w:t>
      </w:r>
    </w:p>
    <w:p w:rsidR="00932856" w:rsidRPr="002B293D" w:rsidRDefault="00932856" w:rsidP="002B293D">
      <w:pPr>
        <w:pStyle w:val="a4"/>
        <w:spacing w:after="0" w:line="360" w:lineRule="auto"/>
        <w:ind w:left="709"/>
        <w:jc w:val="center"/>
        <w:rPr>
          <w:sz w:val="28"/>
          <w:szCs w:val="28"/>
        </w:rPr>
      </w:pPr>
      <w:r w:rsidRPr="002B293D">
        <w:rPr>
          <w:sz w:val="28"/>
          <w:szCs w:val="28"/>
        </w:rPr>
        <w:t>Пензенский государственный университет архитектуры и строительства</w:t>
      </w:r>
    </w:p>
    <w:p w:rsidR="00932856" w:rsidRPr="002B293D" w:rsidRDefault="00932856" w:rsidP="002B293D">
      <w:pPr>
        <w:pStyle w:val="a4"/>
        <w:spacing w:after="0" w:line="360" w:lineRule="auto"/>
        <w:ind w:left="709"/>
        <w:jc w:val="center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left="709"/>
        <w:jc w:val="center"/>
        <w:rPr>
          <w:sz w:val="28"/>
          <w:szCs w:val="28"/>
        </w:rPr>
      </w:pPr>
      <w:r w:rsidRPr="002B293D">
        <w:rPr>
          <w:sz w:val="28"/>
          <w:szCs w:val="28"/>
        </w:rPr>
        <w:t xml:space="preserve">Кафедра «Теплогазоснабжения, </w:t>
      </w:r>
      <w:r w:rsidR="00CD09BA" w:rsidRPr="002B293D">
        <w:rPr>
          <w:sz w:val="28"/>
          <w:szCs w:val="28"/>
        </w:rPr>
        <w:t>отопления</w:t>
      </w:r>
      <w:r w:rsidRPr="002B293D">
        <w:rPr>
          <w:sz w:val="28"/>
          <w:szCs w:val="28"/>
        </w:rPr>
        <w:t>, вентиляции и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кондиционирования воздуха»</w:t>
      </w: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2B293D" w:rsidRDefault="002B293D" w:rsidP="002B293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32856" w:rsidRPr="002B293D" w:rsidRDefault="008A1DC5" w:rsidP="002B293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b/>
          <w:sz w:val="28"/>
          <w:szCs w:val="28"/>
        </w:rPr>
        <w:t>Реферат</w:t>
      </w:r>
    </w:p>
    <w:p w:rsidR="00932856" w:rsidRPr="002B293D" w:rsidRDefault="00A14BCF" w:rsidP="002B293D">
      <w:pPr>
        <w:spacing w:line="360" w:lineRule="auto"/>
        <w:ind w:left="709"/>
        <w:jc w:val="center"/>
        <w:rPr>
          <w:sz w:val="28"/>
          <w:szCs w:val="28"/>
        </w:rPr>
      </w:pPr>
      <w:r w:rsidRPr="002B293D">
        <w:rPr>
          <w:sz w:val="28"/>
          <w:szCs w:val="28"/>
        </w:rPr>
        <w:t>по дисциплине</w:t>
      </w:r>
      <w:r w:rsidR="00B371EB" w:rsidRPr="002B293D">
        <w:rPr>
          <w:sz w:val="28"/>
          <w:szCs w:val="28"/>
        </w:rPr>
        <w:t xml:space="preserve"> «Газификация</w:t>
      </w:r>
      <w:r w:rsidR="00932856" w:rsidRPr="002B293D">
        <w:rPr>
          <w:sz w:val="28"/>
          <w:szCs w:val="28"/>
        </w:rPr>
        <w:t>»</w:t>
      </w:r>
    </w:p>
    <w:p w:rsidR="00932856" w:rsidRPr="002B293D" w:rsidRDefault="00932856" w:rsidP="002B293D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sz w:val="28"/>
          <w:szCs w:val="28"/>
        </w:rPr>
        <w:t>на тему: «</w:t>
      </w:r>
      <w:r w:rsidR="008A1DC5" w:rsidRPr="002B293D">
        <w:rPr>
          <w:b/>
          <w:sz w:val="28"/>
          <w:szCs w:val="28"/>
        </w:rPr>
        <w:t>ПРАКТИКА СТРОИТЕЛЬСТВА КРЫШНЫХ КОТЕЛЬНЫХ</w:t>
      </w:r>
      <w:r w:rsidR="002B293D" w:rsidRPr="002B293D">
        <w:rPr>
          <w:b/>
          <w:sz w:val="28"/>
          <w:szCs w:val="28"/>
        </w:rPr>
        <w:t xml:space="preserve"> </w:t>
      </w:r>
      <w:r w:rsidR="008A1DC5" w:rsidRPr="002B293D">
        <w:rPr>
          <w:b/>
          <w:sz w:val="28"/>
          <w:szCs w:val="28"/>
        </w:rPr>
        <w:t>В РОССИЙСКОЙ ФЕДЕРАЦИИ И ЗА РУБЕЖОМ</w:t>
      </w:r>
      <w:r w:rsidRPr="002B293D">
        <w:rPr>
          <w:sz w:val="28"/>
          <w:szCs w:val="28"/>
        </w:rPr>
        <w:t>»</w:t>
      </w: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5670"/>
        <w:jc w:val="both"/>
        <w:rPr>
          <w:i/>
          <w:iCs/>
          <w:sz w:val="28"/>
          <w:szCs w:val="28"/>
        </w:rPr>
      </w:pPr>
      <w:r w:rsidRPr="002B293D">
        <w:rPr>
          <w:sz w:val="28"/>
          <w:szCs w:val="28"/>
        </w:rPr>
        <w:t>Автор работы:</w:t>
      </w:r>
      <w:r w:rsidR="00B371EB" w:rsidRPr="002B293D">
        <w:rPr>
          <w:sz w:val="28"/>
          <w:szCs w:val="28"/>
        </w:rPr>
        <w:t xml:space="preserve"> </w:t>
      </w:r>
      <w:r w:rsidRPr="002B293D">
        <w:rPr>
          <w:i/>
          <w:iCs/>
          <w:sz w:val="28"/>
          <w:szCs w:val="28"/>
        </w:rPr>
        <w:t>Шепелев А.И.</w:t>
      </w:r>
    </w:p>
    <w:p w:rsidR="00932856" w:rsidRPr="002B293D" w:rsidRDefault="00932856" w:rsidP="002B293D">
      <w:pPr>
        <w:spacing w:line="360" w:lineRule="auto"/>
        <w:ind w:firstLine="5670"/>
        <w:jc w:val="both"/>
        <w:rPr>
          <w:sz w:val="28"/>
          <w:szCs w:val="28"/>
          <w:lang w:val="en-US"/>
        </w:rPr>
      </w:pPr>
      <w:r w:rsidRPr="002B293D">
        <w:rPr>
          <w:sz w:val="28"/>
          <w:szCs w:val="28"/>
        </w:rPr>
        <w:t>Группа:</w:t>
      </w:r>
      <w:r w:rsidRPr="002B293D">
        <w:rPr>
          <w:i/>
          <w:iCs/>
          <w:sz w:val="28"/>
          <w:szCs w:val="28"/>
        </w:rPr>
        <w:t xml:space="preserve"> ТГВ-51 </w:t>
      </w:r>
      <w:r w:rsidRPr="002B293D">
        <w:rPr>
          <w:sz w:val="28"/>
          <w:szCs w:val="28"/>
        </w:rPr>
        <w:tab/>
      </w:r>
    </w:p>
    <w:p w:rsidR="00932856" w:rsidRPr="002B293D" w:rsidRDefault="00932856" w:rsidP="002B293D">
      <w:pPr>
        <w:spacing w:line="360" w:lineRule="auto"/>
        <w:ind w:firstLine="5670"/>
        <w:jc w:val="both"/>
        <w:rPr>
          <w:sz w:val="28"/>
          <w:szCs w:val="28"/>
          <w:lang w:val="en-US"/>
        </w:rPr>
      </w:pPr>
      <w:r w:rsidRPr="002B293D">
        <w:rPr>
          <w:sz w:val="28"/>
          <w:szCs w:val="28"/>
        </w:rPr>
        <w:t>Принял:</w:t>
      </w:r>
      <w:r w:rsidR="00B371EB" w:rsidRPr="002B293D">
        <w:rPr>
          <w:i/>
          <w:sz w:val="28"/>
          <w:szCs w:val="28"/>
        </w:rPr>
        <w:tab/>
        <w:t>Прохоров С</w:t>
      </w:r>
      <w:r w:rsidR="00B371EB" w:rsidRPr="002B293D">
        <w:rPr>
          <w:i/>
          <w:sz w:val="28"/>
          <w:szCs w:val="28"/>
          <w:lang w:val="en-US"/>
        </w:rPr>
        <w:t>.</w:t>
      </w:r>
      <w:r w:rsidR="00B371EB" w:rsidRPr="002B293D">
        <w:rPr>
          <w:i/>
          <w:sz w:val="28"/>
          <w:szCs w:val="28"/>
        </w:rPr>
        <w:t xml:space="preserve"> Г</w:t>
      </w:r>
      <w:r w:rsidR="00B371EB" w:rsidRPr="002B293D">
        <w:rPr>
          <w:i/>
          <w:sz w:val="28"/>
          <w:szCs w:val="28"/>
          <w:lang w:val="en-US"/>
        </w:rPr>
        <w:t>.</w:t>
      </w: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932856" w:rsidRPr="002B293D" w:rsidRDefault="00932856" w:rsidP="002B293D">
      <w:pPr>
        <w:spacing w:line="360" w:lineRule="auto"/>
        <w:ind w:firstLine="709"/>
        <w:jc w:val="both"/>
        <w:rPr>
          <w:sz w:val="28"/>
          <w:szCs w:val="28"/>
        </w:rPr>
      </w:pPr>
    </w:p>
    <w:p w:rsidR="002B293D" w:rsidRDefault="002B293D" w:rsidP="002B29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93D" w:rsidRDefault="002B293D" w:rsidP="002B293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2856" w:rsidRPr="002B293D" w:rsidRDefault="00932856" w:rsidP="002B293D">
      <w:pPr>
        <w:spacing w:line="360" w:lineRule="auto"/>
        <w:ind w:firstLine="709"/>
        <w:jc w:val="center"/>
        <w:rPr>
          <w:sz w:val="28"/>
          <w:szCs w:val="28"/>
        </w:rPr>
      </w:pPr>
      <w:r w:rsidRPr="002B293D">
        <w:rPr>
          <w:sz w:val="28"/>
          <w:szCs w:val="28"/>
        </w:rPr>
        <w:t>г</w:t>
      </w:r>
      <w:r w:rsidR="00664C21" w:rsidRPr="002B293D">
        <w:rPr>
          <w:sz w:val="28"/>
          <w:szCs w:val="28"/>
        </w:rPr>
        <w:t>. П</w:t>
      </w:r>
      <w:r w:rsidRPr="002B293D">
        <w:rPr>
          <w:sz w:val="28"/>
          <w:szCs w:val="28"/>
        </w:rPr>
        <w:t>енза 2007г.</w:t>
      </w:r>
    </w:p>
    <w:p w:rsidR="004F6473" w:rsidRPr="002B293D" w:rsidRDefault="002B293D" w:rsidP="002B293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sz w:val="28"/>
          <w:szCs w:val="28"/>
        </w:rPr>
        <w:br w:type="page"/>
      </w:r>
      <w:r w:rsidR="004F6473" w:rsidRPr="002B293D">
        <w:rPr>
          <w:b/>
          <w:sz w:val="28"/>
          <w:szCs w:val="28"/>
        </w:rPr>
        <w:t>ПРАКТИКА СТРОИТЕЛЬСТВА КРЫШНЫХ КОТЕЛЬНЫХ</w:t>
      </w:r>
      <w:r w:rsidRPr="002B293D">
        <w:rPr>
          <w:b/>
          <w:sz w:val="28"/>
          <w:szCs w:val="28"/>
        </w:rPr>
        <w:t xml:space="preserve"> </w:t>
      </w:r>
      <w:r w:rsidR="004F6473" w:rsidRPr="002B293D">
        <w:rPr>
          <w:b/>
          <w:sz w:val="28"/>
          <w:szCs w:val="28"/>
        </w:rPr>
        <w:t>В РОССИЙСКОЙ ФЕДЕРАЦИИ И ЗА РУБЕЖОМ</w:t>
      </w:r>
    </w:p>
    <w:p w:rsidR="002B293D" w:rsidRDefault="002B293D" w:rsidP="002B293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6473" w:rsidRPr="002B293D" w:rsidRDefault="004F6473" w:rsidP="002B293D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 xml:space="preserve">В последнее время в нашей стране все большее развитие получают децентрализованные (автономные) системы теплоснабжении, в том числе и </w:t>
      </w:r>
      <w:r w:rsidRPr="002B293D">
        <w:rPr>
          <w:sz w:val="28"/>
          <w:szCs w:val="28"/>
          <w:lang w:val="en-US"/>
        </w:rPr>
        <w:t>o</w:t>
      </w:r>
      <w:r w:rsidRPr="002B293D">
        <w:rPr>
          <w:sz w:val="28"/>
          <w:szCs w:val="28"/>
        </w:rPr>
        <w:t>т крышных котельных.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Российской Федерации еще не накоплен достаточный опыт проектирования и монтажа этих котельных. При всем многообразии технических решений общим для них является экономическая целесообразность строительства.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 xml:space="preserve">Так, осуществлен ряд крышных котельных </w:t>
      </w:r>
      <w:r w:rsidR="002B293D">
        <w:rPr>
          <w:sz w:val="28"/>
          <w:szCs w:val="28"/>
        </w:rPr>
        <w:t>в</w:t>
      </w:r>
      <w:r w:rsidRPr="002B293D">
        <w:rPr>
          <w:sz w:val="28"/>
          <w:szCs w:val="28"/>
        </w:rPr>
        <w:t xml:space="preserve"> Ростове - на - Дону и во Владимире, в Петрово - Дальнем, Красногорске, Серпухове (вся Московская область), Дом приемов Газпрома, на Ленинградском проспекте (Москва), на 2-й Тверской - Омской ул. (Москва), в Нижнем Новгороде и др.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Заканчивается монтаж в Оружейном переулке на здании Мосгазпроекта (Москва), в Вологде и Санкт-Петербурге и др.; находятся в разработке или уже закончены ряд проектов.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Имеющийся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опыт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проектирования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крышных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котельных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весьма разнообразен и в основном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определяется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квалификацией проектировщиков.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настоящее время в Российской Федерации делаются попытки создания крышных полностью автоматизированных котельных на базе отечественного оборудования на газовом топливе. В Ростове - на - Дону АООТ "</w:t>
      </w:r>
      <w:r w:rsidRPr="002B293D">
        <w:rPr>
          <w:sz w:val="28"/>
          <w:szCs w:val="28"/>
          <w:lang w:val="en-US"/>
        </w:rPr>
        <w:t>O</w:t>
      </w:r>
      <w:r w:rsidRPr="002B293D">
        <w:rPr>
          <w:sz w:val="28"/>
          <w:szCs w:val="28"/>
        </w:rPr>
        <w:t>3</w:t>
      </w:r>
      <w:r w:rsidRPr="002B293D">
        <w:rPr>
          <w:sz w:val="28"/>
          <w:szCs w:val="28"/>
          <w:lang w:val="en-US"/>
        </w:rPr>
        <w:t>OI</w:t>
      </w:r>
      <w:r w:rsidRPr="002B293D">
        <w:rPr>
          <w:sz w:val="28"/>
          <w:szCs w:val="28"/>
        </w:rPr>
        <w:t>Г запроектирована такая котельная типа "03011-К-0.5Г" для отопления и горячего водоснабжения на базе теплогенераторов ТЛ-250 производства НПО Энергетического машиностроения Российское космического агентства (г.Химки, Московской обл.), которая характеризуется следующими показателями:</w:t>
      </w:r>
    </w:p>
    <w:p w:rsidR="002B293D" w:rsidRDefault="002B293D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2B293D" w:rsidSect="002B293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4274"/>
      </w:tblGrid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Номинальная мощность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0,5 МВт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Температуры воды: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- прямой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115</w:t>
            </w:r>
            <w:r w:rsidRPr="00F94D2D">
              <w:rPr>
                <w:sz w:val="20"/>
                <w:szCs w:val="20"/>
                <w:vertAlign w:val="superscript"/>
              </w:rPr>
              <w:t>0</w:t>
            </w:r>
            <w:r w:rsidRPr="00F94D2D">
              <w:rPr>
                <w:sz w:val="20"/>
                <w:szCs w:val="20"/>
              </w:rPr>
              <w:t>С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- обратной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70</w:t>
            </w:r>
            <w:r w:rsidRPr="00F94D2D">
              <w:rPr>
                <w:sz w:val="20"/>
                <w:szCs w:val="20"/>
                <w:vertAlign w:val="superscript"/>
              </w:rPr>
              <w:t>0</w:t>
            </w:r>
            <w:r w:rsidRPr="00F94D2D">
              <w:rPr>
                <w:sz w:val="20"/>
                <w:szCs w:val="20"/>
              </w:rPr>
              <w:t>С</w:t>
            </w:r>
          </w:p>
        </w:tc>
      </w:tr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- на горячее водоснабжение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60</w:t>
            </w:r>
            <w:r w:rsidRPr="00F94D2D">
              <w:rPr>
                <w:sz w:val="20"/>
                <w:szCs w:val="20"/>
                <w:vertAlign w:val="superscript"/>
              </w:rPr>
              <w:t>0</w:t>
            </w:r>
            <w:r w:rsidRPr="00F94D2D">
              <w:rPr>
                <w:sz w:val="20"/>
                <w:szCs w:val="20"/>
              </w:rPr>
              <w:t>С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Рабочее давление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0,6 МПа</w:t>
            </w:r>
          </w:p>
        </w:tc>
      </w:tr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Присоединительное давление газа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5-60 кПа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Расход газа номинальной тепловой мощности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54 нм</w:t>
            </w:r>
            <w:r w:rsidRPr="00F94D2D">
              <w:rPr>
                <w:sz w:val="20"/>
                <w:szCs w:val="20"/>
                <w:vertAlign w:val="superscript"/>
              </w:rPr>
              <w:t>3</w:t>
            </w:r>
            <w:r w:rsidRPr="00F94D2D">
              <w:rPr>
                <w:sz w:val="20"/>
                <w:szCs w:val="20"/>
              </w:rPr>
              <w:t>/час</w:t>
            </w:r>
          </w:p>
        </w:tc>
      </w:tr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Расчетный КПД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92%</w:t>
            </w:r>
          </w:p>
        </w:tc>
      </w:tr>
      <w:tr w:rsidR="004F6473" w:rsidRPr="00F94D2D" w:rsidTr="00F94D2D">
        <w:trPr>
          <w:trHeight w:val="70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Содержание оксида углерода в сухих продуктах сгорания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0,05%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Удельный выброс оксидов азота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200 мг/м</w:t>
            </w:r>
            <w:r w:rsidRPr="00F94D2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F6473" w:rsidRPr="00F94D2D" w:rsidTr="00F94D2D">
        <w:trPr>
          <w:trHeight w:val="339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Габаритные размеры котельной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3000 х6000 х3300 мм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Масса блока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10 тонн</w:t>
            </w:r>
          </w:p>
        </w:tc>
      </w:tr>
      <w:tr w:rsidR="004F6473" w:rsidRPr="00F94D2D" w:rsidTr="00F94D2D">
        <w:trPr>
          <w:trHeight w:val="355"/>
          <w:jc w:val="center"/>
        </w:trPr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Средний срок службы теплового агрегата</w:t>
            </w:r>
          </w:p>
        </w:tc>
        <w:tc>
          <w:tcPr>
            <w:tcW w:w="4274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10 лет</w:t>
            </w:r>
          </w:p>
        </w:tc>
      </w:tr>
    </w:tbl>
    <w:p w:rsidR="002B293D" w:rsidRDefault="002B293D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Котельная оснащена двумя тепловыми агрегатами ТА-250.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Система автоматически обеспечивает требуемую теплопризвоводимость котельной в зависимости от задаваемых потребителей.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Система аварийной защиты обеспечивает автоматическое отключении ее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дозировки комплексоном для предотвращения накипи в контуре тепловых агрегатов.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Малая блочная котельная теплопроизводительностью до 500 кВт с отечественными теплоагрегатами ГУТ-100 (газовый универсальный теплоагрегатор) создана и содружество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 xml:space="preserve">Москвы и Нижнего Новгорода. 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 xml:space="preserve">Суммарная теплопроизводительность котельной изменяется от 200 до 500 кВт. Тепловой схемой предусматривается отпуск води 95 °С - для систем отопления и вентиляции, 60 °С - для системы горячего водоснабжения. Котельная монтируется в одном блок-боксе из легких, 3-х слойных металлических конструкций с размерами 3,2 х </w:t>
      </w:r>
      <w:smartTag w:uri="urn:schemas-microsoft-com:office:smarttags" w:element="metricconverter">
        <w:smartTagPr>
          <w:attr w:name="ProductID" w:val="6,54 м"/>
        </w:smartTagPr>
        <w:r w:rsidRPr="002B293D">
          <w:rPr>
            <w:sz w:val="28"/>
            <w:szCs w:val="28"/>
          </w:rPr>
          <w:t>6,54 м</w:t>
        </w:r>
      </w:smartTag>
      <w:r w:rsidRPr="002B293D">
        <w:rPr>
          <w:sz w:val="28"/>
          <w:szCs w:val="28"/>
        </w:rPr>
        <w:t xml:space="preserve"> и высотою 3м.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связи с тем, что развитию децентрализованного теплоснабжения в бывшем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СССР и Российской Федерации до настоящего времени не уделялось достаточного внимания, отечественное оборудование являлось малопригодным или попросту отсутствует для котельных, поэтому предпочтение отдается зарубежному,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как основному, так и вспомогательному оборудованию. За более чем 20 Лет проектирования и строительства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крышных котельных за рубежом, созданы малогабаритные,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полностью автоматизированные теплогенераторы и газогорелочные устройства, высокоэффективное и малошумное насосное оборудование, качественная запорная и регулирующая арматура, системы программного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регулирования, теплообменная аппаратура и др., отличающиеся высокой надежностью, малошумноностью, малыми габаритами и весом.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настоящее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время российский рынок крышных котельных широко представлен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оборудованием ведущих европейских фирм, таких как "</w:t>
      </w:r>
      <w:r w:rsidRPr="002B293D">
        <w:rPr>
          <w:sz w:val="28"/>
          <w:szCs w:val="28"/>
          <w:lang w:val="en-US"/>
        </w:rPr>
        <w:t>Viessniann</w:t>
      </w:r>
      <w:r w:rsidRPr="002B293D">
        <w:rPr>
          <w:sz w:val="28"/>
          <w:szCs w:val="28"/>
        </w:rPr>
        <w:t>", "</w:t>
      </w:r>
      <w:r w:rsidRPr="002B293D">
        <w:rPr>
          <w:sz w:val="28"/>
          <w:szCs w:val="28"/>
          <w:lang w:val="en-US"/>
        </w:rPr>
        <w:t>Hudcrus</w:t>
      </w:r>
      <w:r w:rsidRPr="002B293D">
        <w:rPr>
          <w:sz w:val="28"/>
          <w:szCs w:val="28"/>
        </w:rPr>
        <w:t>", "</w:t>
      </w:r>
      <w:r w:rsidRPr="002B293D">
        <w:rPr>
          <w:sz w:val="28"/>
          <w:szCs w:val="28"/>
          <w:lang w:val="en-US"/>
        </w:rPr>
        <w:t>Kiello</w:t>
      </w:r>
      <w:r w:rsidRPr="002B293D">
        <w:rPr>
          <w:sz w:val="28"/>
          <w:szCs w:val="28"/>
        </w:rPr>
        <w:t>", "</w:t>
      </w:r>
      <w:r w:rsidRPr="002B293D">
        <w:rPr>
          <w:sz w:val="28"/>
          <w:szCs w:val="28"/>
          <w:lang w:val="en-US"/>
        </w:rPr>
        <w:t>ACV</w:t>
      </w:r>
      <w:r w:rsidRPr="002B293D">
        <w:rPr>
          <w:sz w:val="28"/>
          <w:szCs w:val="28"/>
        </w:rPr>
        <w:t xml:space="preserve">", </w:t>
      </w:r>
      <w:r w:rsidRPr="002B293D">
        <w:rPr>
          <w:sz w:val="28"/>
          <w:szCs w:val="28"/>
          <w:lang w:val="en-US"/>
        </w:rPr>
        <w:t>n</w:t>
      </w:r>
      <w:r w:rsidRPr="002B293D">
        <w:rPr>
          <w:sz w:val="28"/>
          <w:szCs w:val="28"/>
        </w:rPr>
        <w:t xml:space="preserve"> также фирмами США "</w:t>
      </w:r>
      <w:r w:rsidRPr="002B293D">
        <w:rPr>
          <w:sz w:val="28"/>
          <w:szCs w:val="28"/>
          <w:lang w:val="en-US"/>
        </w:rPr>
        <w:t>I</w:t>
      </w:r>
      <w:r w:rsidRPr="002B293D">
        <w:rPr>
          <w:sz w:val="28"/>
          <w:szCs w:val="28"/>
        </w:rPr>
        <w:t>'</w:t>
      </w:r>
      <w:r w:rsidRPr="002B293D">
        <w:rPr>
          <w:sz w:val="28"/>
          <w:szCs w:val="28"/>
          <w:lang w:val="en-US"/>
        </w:rPr>
        <w:t>ulion</w:t>
      </w:r>
      <w:r w:rsidRPr="002B293D">
        <w:rPr>
          <w:sz w:val="28"/>
          <w:szCs w:val="28"/>
        </w:rPr>
        <w:t>", "</w:t>
      </w:r>
      <w:r w:rsidRPr="002B293D">
        <w:rPr>
          <w:sz w:val="28"/>
          <w:szCs w:val="28"/>
          <w:lang w:val="en-US"/>
        </w:rPr>
        <w:t>lelcdjnc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I</w:t>
      </w:r>
      <w:r w:rsidRPr="002B293D">
        <w:rPr>
          <w:sz w:val="28"/>
          <w:szCs w:val="28"/>
        </w:rPr>
        <w:t>-</w:t>
      </w:r>
      <w:r w:rsidRPr="002B293D">
        <w:rPr>
          <w:sz w:val="28"/>
          <w:szCs w:val="28"/>
          <w:lang w:val="en-US"/>
        </w:rPr>
        <w:t>aars</w:t>
      </w:r>
      <w:r w:rsidRPr="002B293D">
        <w:rPr>
          <w:sz w:val="28"/>
          <w:szCs w:val="28"/>
        </w:rPr>
        <w:t>" и "</w:t>
      </w:r>
      <w:r w:rsidRPr="002B293D">
        <w:rPr>
          <w:sz w:val="28"/>
          <w:szCs w:val="28"/>
          <w:lang w:val="en-US"/>
        </w:rPr>
        <w:t>llaniuorlhy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Healing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Ltd</w:t>
      </w:r>
      <w:r w:rsidRPr="002B293D">
        <w:rPr>
          <w:sz w:val="28"/>
          <w:szCs w:val="28"/>
        </w:rPr>
        <w:t>." (Англии) и др.</w:t>
      </w:r>
    </w:p>
    <w:p w:rsidR="004F6473" w:rsidRPr="002B293D" w:rsidRDefault="004F6473" w:rsidP="002B293D">
      <w:pPr>
        <w:shd w:val="clear" w:color="auto" w:fill="FFFFFF"/>
        <w:tabs>
          <w:tab w:val="left" w:pos="3677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Ниже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рассматривается оборудование, применяемое для крышных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котельных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некоторых фирм.</w:t>
      </w:r>
    </w:p>
    <w:p w:rsidR="004F6473" w:rsidRPr="002B293D" w:rsidRDefault="004F6473" w:rsidP="002B293D">
      <w:pPr>
        <w:shd w:val="clear" w:color="auto" w:fill="FFFFFF"/>
        <w:tabs>
          <w:tab w:val="left" w:pos="9462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Германская фирма "</w:t>
      </w:r>
      <w:r w:rsidRPr="002B293D">
        <w:rPr>
          <w:sz w:val="28"/>
          <w:szCs w:val="28"/>
          <w:lang w:val="en-US"/>
        </w:rPr>
        <w:t>Kiello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heizlcchnik</w:t>
      </w:r>
      <w:r w:rsidRPr="002B293D">
        <w:rPr>
          <w:sz w:val="28"/>
          <w:szCs w:val="28"/>
        </w:rPr>
        <w:t>" осуществляет поставку крышных котельных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утепленных 20 футовых контейнерах или на раме (рамах) мощностью 200-1500 кВт; крышные котельные полной заводской готовности поставляет немецкая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 xml:space="preserve">фирма </w:t>
      </w:r>
      <w:r w:rsidRPr="002B293D">
        <w:rPr>
          <w:sz w:val="28"/>
          <w:szCs w:val="28"/>
          <w:lang w:val="en-US"/>
        </w:rPr>
        <w:t>DHAl</w:t>
      </w:r>
      <w:r w:rsidRPr="002B293D">
        <w:rPr>
          <w:sz w:val="28"/>
          <w:szCs w:val="28"/>
        </w:rPr>
        <w:t xml:space="preserve">. с котлами </w:t>
      </w:r>
      <w:r w:rsidRPr="002B293D">
        <w:rPr>
          <w:sz w:val="28"/>
          <w:szCs w:val="28"/>
          <w:lang w:val="en-US"/>
        </w:rPr>
        <w:t>UWK</w:t>
      </w:r>
      <w:r w:rsidRPr="002B293D">
        <w:rPr>
          <w:sz w:val="28"/>
          <w:szCs w:val="28"/>
        </w:rPr>
        <w:t xml:space="preserve"> мощностью</w:t>
      </w:r>
      <w:r w:rsidRPr="002B293D">
        <w:rPr>
          <w:smallCaps/>
          <w:sz w:val="28"/>
          <w:szCs w:val="28"/>
        </w:rPr>
        <w:t xml:space="preserve"> </w:t>
      </w:r>
      <w:r w:rsidRPr="002B293D">
        <w:rPr>
          <w:sz w:val="28"/>
          <w:szCs w:val="28"/>
        </w:rPr>
        <w:t>2</w:t>
      </w:r>
      <w:r w:rsidRPr="002B293D">
        <w:rPr>
          <w:sz w:val="28"/>
          <w:szCs w:val="28"/>
          <w:lang w:val="en-US"/>
        </w:rPr>
        <w:t>OO</w:t>
      </w:r>
      <w:r w:rsidRPr="002B293D">
        <w:rPr>
          <w:sz w:val="28"/>
          <w:szCs w:val="28"/>
        </w:rPr>
        <w:t>-3</w:t>
      </w:r>
      <w:r w:rsidRPr="002B293D">
        <w:rPr>
          <w:sz w:val="28"/>
          <w:szCs w:val="28"/>
          <w:lang w:val="en-US"/>
        </w:rPr>
        <w:t>SO</w:t>
      </w:r>
      <w:r w:rsidRPr="002B293D">
        <w:rPr>
          <w:sz w:val="28"/>
          <w:szCs w:val="28"/>
        </w:rPr>
        <w:t xml:space="preserve"> кВт; французской фирмой "</w:t>
      </w:r>
      <w:r w:rsidRPr="002B293D">
        <w:rPr>
          <w:sz w:val="28"/>
          <w:szCs w:val="28"/>
          <w:lang w:val="en-US"/>
        </w:rPr>
        <w:t>Saunicr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Duval</w:t>
      </w:r>
      <w:r w:rsidRPr="002B293D">
        <w:rPr>
          <w:sz w:val="28"/>
          <w:szCs w:val="28"/>
        </w:rPr>
        <w:t>" разработана и поставляются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модульные котельные для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систем отопления и горячего водоснабжения различных категорий потребителей мощностью от 250 до 1500 кВт. Каждая котельная состоит и монтируется из нескольких отдельных модулей блоков. Фирмой «Фултон» (США) поставляются котельные,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монтируемые в установленных 20-40 футовых (морских) контейнерах мощностью до 1000 Вт. Близкое к этому решение имеют котельные с котлами фирм «А</w:t>
      </w:r>
      <w:r w:rsidRPr="002B293D">
        <w:rPr>
          <w:sz w:val="28"/>
          <w:szCs w:val="28"/>
          <w:lang w:val="en-US"/>
        </w:rPr>
        <w:t>V</w:t>
      </w:r>
      <w:r w:rsidRPr="002B293D">
        <w:rPr>
          <w:sz w:val="28"/>
          <w:szCs w:val="28"/>
        </w:rPr>
        <w:t>С» (Бельгия)</w:t>
      </w:r>
      <w:r w:rsidR="002B293D">
        <w:rPr>
          <w:sz w:val="28"/>
          <w:szCs w:val="28"/>
        </w:rPr>
        <w:t xml:space="preserve">, </w:t>
      </w:r>
      <w:r w:rsidRPr="002B293D">
        <w:rPr>
          <w:sz w:val="28"/>
          <w:szCs w:val="28"/>
          <w:lang w:val="en-US"/>
        </w:rPr>
        <w:t>Viessniann</w:t>
      </w:r>
      <w:r w:rsidRPr="002B293D">
        <w:rPr>
          <w:sz w:val="28"/>
          <w:szCs w:val="28"/>
        </w:rPr>
        <w:t>", "</w:t>
      </w:r>
      <w:r w:rsidRPr="002B293D">
        <w:rPr>
          <w:sz w:val="28"/>
          <w:szCs w:val="28"/>
          <w:lang w:val="en-US"/>
        </w:rPr>
        <w:t>Hudcrus</w:t>
      </w:r>
      <w:r w:rsidRPr="002B293D">
        <w:rPr>
          <w:sz w:val="28"/>
          <w:szCs w:val="28"/>
        </w:rPr>
        <w:t>» (Германия) и т.д.</w:t>
      </w:r>
    </w:p>
    <w:p w:rsidR="004F6473" w:rsidRPr="002B293D" w:rsidRDefault="004F6473" w:rsidP="002B293D">
      <w:pPr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Оригинальное решение предлагает чешская фирма «ПРОТЕРМ». Котельная производительностью от 50 до 500 кВт выполняется в виде набора крышных каскадных котлов «ПРОТЕРМ», которые могут устанавливаться на крыше здания без ограждающих конструкций. Выход из строя отдельных котлов не отражается на работоспособности котельной в целом.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6473" w:rsidRPr="002B293D" w:rsidRDefault="004F6473" w:rsidP="002B293D">
      <w:pPr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b/>
          <w:sz w:val="28"/>
          <w:szCs w:val="28"/>
        </w:rPr>
        <w:t>ПРИСОЕДИНЕНИЕ КОТЕЛЬНОЙ К НАРУЖНЫМ</w:t>
      </w:r>
      <w:r w:rsidR="002B293D" w:rsidRPr="002B293D">
        <w:rPr>
          <w:b/>
          <w:sz w:val="28"/>
          <w:szCs w:val="28"/>
        </w:rPr>
        <w:t xml:space="preserve"> </w:t>
      </w:r>
      <w:r w:rsidRPr="002B293D">
        <w:rPr>
          <w:b/>
          <w:sz w:val="28"/>
          <w:szCs w:val="28"/>
        </w:rPr>
        <w:t>И</w:t>
      </w:r>
      <w:r w:rsidR="002B293D" w:rsidRPr="002B293D">
        <w:rPr>
          <w:b/>
          <w:sz w:val="28"/>
          <w:szCs w:val="28"/>
        </w:rPr>
        <w:t xml:space="preserve"> </w:t>
      </w:r>
      <w:r w:rsidR="002B293D">
        <w:rPr>
          <w:b/>
          <w:sz w:val="28"/>
          <w:szCs w:val="28"/>
        </w:rPr>
        <w:t>ВНУТРЕННИМ ИНЖЕНЕРНЫМ СЕТЯМ</w:t>
      </w:r>
    </w:p>
    <w:p w:rsidR="002B293D" w:rsidRDefault="002B293D" w:rsidP="002B293D">
      <w:pPr>
        <w:shd w:val="clear" w:color="auto" w:fill="FFFFFF"/>
        <w:tabs>
          <w:tab w:val="left" w:pos="3250"/>
          <w:tab w:val="left" w:pos="3950"/>
          <w:tab w:val="left" w:pos="9462"/>
        </w:tabs>
        <w:spacing w:line="360" w:lineRule="auto"/>
        <w:ind w:firstLine="709"/>
        <w:jc w:val="both"/>
        <w:rPr>
          <w:sz w:val="28"/>
          <w:szCs w:val="28"/>
        </w:rPr>
      </w:pPr>
    </w:p>
    <w:p w:rsidR="004F6473" w:rsidRPr="002B293D" w:rsidRDefault="004F6473" w:rsidP="002B293D">
      <w:pPr>
        <w:shd w:val="clear" w:color="auto" w:fill="FFFFFF"/>
        <w:tabs>
          <w:tab w:val="left" w:pos="3250"/>
          <w:tab w:val="left" w:pos="3950"/>
          <w:tab w:val="left" w:pos="946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293D">
        <w:rPr>
          <w:sz w:val="28"/>
          <w:szCs w:val="28"/>
        </w:rPr>
        <w:t>Источниками питания крышной котельной служат газовые, электрические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сети и сети водоснабжения, которые в месте пересечения с кровлей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прокладываются</w:t>
      </w:r>
      <w:r w:rsidR="00E914E1" w:rsidRPr="002B293D">
        <w:rPr>
          <w:b/>
          <w:bCs/>
          <w:sz w:val="28"/>
          <w:szCs w:val="28"/>
        </w:rPr>
        <w:t>:</w:t>
      </w:r>
    </w:p>
    <w:p w:rsidR="004F6473" w:rsidRPr="002B293D" w:rsidRDefault="004F6473" w:rsidP="002B293D">
      <w:pPr>
        <w:shd w:val="clear" w:color="auto" w:fill="FFFFFF"/>
        <w:tabs>
          <w:tab w:val="left" w:pos="3250"/>
          <w:tab w:val="left" w:pos="3950"/>
          <w:tab w:val="left" w:pos="9462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b/>
          <w:bCs/>
          <w:sz w:val="28"/>
          <w:szCs w:val="28"/>
        </w:rPr>
        <w:t xml:space="preserve">- </w:t>
      </w:r>
      <w:r w:rsidRPr="002B293D">
        <w:rPr>
          <w:sz w:val="28"/>
          <w:szCs w:val="28"/>
        </w:rPr>
        <w:t>при новом строительстве, в специально отведенных для этого местах;</w:t>
      </w:r>
      <w:r w:rsidR="002B293D" w:rsidRPr="002B293D">
        <w:rPr>
          <w:sz w:val="28"/>
          <w:szCs w:val="28"/>
        </w:rPr>
        <w:t xml:space="preserve"> </w:t>
      </w:r>
    </w:p>
    <w:p w:rsidR="004F6473" w:rsidRPr="002B293D" w:rsidRDefault="004F6473" w:rsidP="002B293D">
      <w:pPr>
        <w:shd w:val="clear" w:color="auto" w:fill="FFFFFF"/>
        <w:tabs>
          <w:tab w:val="left" w:pos="259"/>
          <w:tab w:val="left" w:pos="4982"/>
          <w:tab w:val="left" w:pos="6605"/>
          <w:tab w:val="left" w:pos="9462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- при реконструкции зданий, индивидуально в зависимости от этажности, типа здания и примененных строительных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конструкций.</w:t>
      </w:r>
    </w:p>
    <w:p w:rsidR="004F6473" w:rsidRPr="002B293D" w:rsidRDefault="004F6473" w:rsidP="002B293D">
      <w:pPr>
        <w:shd w:val="clear" w:color="auto" w:fill="FFFFFF"/>
        <w:tabs>
          <w:tab w:val="left" w:pos="3883"/>
          <w:tab w:val="left" w:pos="4733"/>
          <w:tab w:val="left" w:pos="9462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Это также касается присоединения к котельной сборных стояков систем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отопления и горячего водоснабжения.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B293D">
        <w:rPr>
          <w:b/>
          <w:iCs/>
          <w:sz w:val="28"/>
          <w:szCs w:val="28"/>
        </w:rPr>
        <w:t>Газоснабжение котельной.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При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проектировании газоснабжения крышных котельных следует, руководствуются требованиями СНиП 2.0-1.08-87* " Газоснабжение", СНиП 11-35-76 "Котельные установки", "Правил безопасности в газовом хозяйстве" и "Инструкцией по проектированию крышных котельных".</w:t>
      </w:r>
    </w:p>
    <w:p w:rsidR="004F6473" w:rsidRPr="002B293D" w:rsidRDefault="004F6473" w:rsidP="002B293D">
      <w:pPr>
        <w:shd w:val="clear" w:color="auto" w:fill="FFFFFF"/>
        <w:tabs>
          <w:tab w:val="left" w:pos="3082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Снабжение газом котельных следует осуществлять от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самостоятельного газопровода низкою давлению - до 0,005 МПа (0,05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кгс/см</w:t>
      </w:r>
      <w:r w:rsidRPr="002B293D">
        <w:rPr>
          <w:sz w:val="28"/>
          <w:szCs w:val="28"/>
          <w:vertAlign w:val="superscript"/>
        </w:rPr>
        <w:t>2</w:t>
      </w:r>
      <w:r w:rsidRPr="002B293D">
        <w:rPr>
          <w:sz w:val="28"/>
          <w:szCs w:val="28"/>
        </w:rPr>
        <w:t>). 11одключепис к этому газопроводу других потребителей не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допускается.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Газопровод с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 xml:space="preserve">крышной котельной следует прокладывать по наружной стене здания, при этом ширина простенка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2B293D">
          <w:rPr>
            <w:sz w:val="28"/>
            <w:szCs w:val="28"/>
          </w:rPr>
          <w:t>1,5 м</w:t>
        </w:r>
      </w:smartTag>
      <w:r w:rsidRPr="002B293D">
        <w:rPr>
          <w:sz w:val="28"/>
          <w:szCs w:val="28"/>
        </w:rPr>
        <w:t xml:space="preserve">. На высоте не более </w:t>
      </w:r>
      <w:smartTag w:uri="urn:schemas-microsoft-com:office:smarttags" w:element="metricconverter">
        <w:smartTagPr>
          <w:attr w:name="ProductID" w:val="1,8 м"/>
        </w:smartTagPr>
        <w:r w:rsidRPr="002B293D">
          <w:rPr>
            <w:sz w:val="28"/>
            <w:szCs w:val="28"/>
          </w:rPr>
          <w:t>1,8 м</w:t>
        </w:r>
      </w:smartTag>
      <w:r w:rsidRPr="002B293D">
        <w:rPr>
          <w:sz w:val="28"/>
          <w:szCs w:val="28"/>
        </w:rPr>
        <w:t xml:space="preserve"> на газопроводе устанавливается отключающее устройство с изолирующим фланцем.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Технические условия на газоснабжение крышкой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котельной должны выдаваться газовой эксплуатационной организацией в зависимости от конкретных условий строительства. В случае, когда источником газоснабжения является газопровод среднего давления - при. рабочем давлении газа свыше 0,005 МПа (0,05 кгс/см</w:t>
      </w:r>
      <w:r w:rsidRPr="002B293D">
        <w:rPr>
          <w:sz w:val="28"/>
          <w:szCs w:val="28"/>
          <w:vertAlign w:val="superscript"/>
        </w:rPr>
        <w:t>2</w:t>
      </w:r>
      <w:r w:rsidRPr="002B293D">
        <w:rPr>
          <w:sz w:val="28"/>
          <w:szCs w:val="28"/>
        </w:rPr>
        <w:t>) до 0,3 МПа (3 кгс/см</w:t>
      </w:r>
      <w:r w:rsidRPr="002B293D">
        <w:rPr>
          <w:sz w:val="28"/>
          <w:szCs w:val="28"/>
          <w:vertAlign w:val="superscript"/>
        </w:rPr>
        <w:t>2</w:t>
      </w:r>
      <w:r w:rsidRPr="002B293D">
        <w:rPr>
          <w:sz w:val="28"/>
          <w:szCs w:val="28"/>
        </w:rPr>
        <w:t xml:space="preserve">) .или газопровод высокою давления </w:t>
      </w:r>
      <w:r w:rsidRPr="002B293D">
        <w:rPr>
          <w:sz w:val="28"/>
          <w:szCs w:val="28"/>
          <w:lang w:val="en-US"/>
        </w:rPr>
        <w:t>II</w:t>
      </w:r>
      <w:r w:rsidRPr="002B293D">
        <w:rPr>
          <w:sz w:val="28"/>
          <w:szCs w:val="28"/>
        </w:rPr>
        <w:t xml:space="preserve"> категории - при рабочем давлении газа свыше 0,3 МПа (3 кгс/см</w:t>
      </w:r>
      <w:r w:rsidRPr="002B293D">
        <w:rPr>
          <w:sz w:val="28"/>
          <w:szCs w:val="28"/>
          <w:vertAlign w:val="superscript"/>
        </w:rPr>
        <w:t>2</w:t>
      </w:r>
      <w:r w:rsidRPr="002B293D">
        <w:rPr>
          <w:sz w:val="28"/>
          <w:szCs w:val="28"/>
        </w:rPr>
        <w:t>) до 0,6 МПа (6 кгс/см</w:t>
      </w:r>
      <w:r w:rsidRPr="002B293D">
        <w:rPr>
          <w:sz w:val="28"/>
          <w:szCs w:val="28"/>
          <w:vertAlign w:val="superscript"/>
        </w:rPr>
        <w:t>2</w:t>
      </w:r>
      <w:r w:rsidRPr="002B293D">
        <w:rPr>
          <w:sz w:val="28"/>
          <w:szCs w:val="28"/>
        </w:rPr>
        <w:t>) следует предусматривать строительство шкафного газорегуляторного пункта. В качестве последнего может быть использован ГРН шкафной с обогревом ГСГО-2 (ГСГО-2С) и др. Ниже приводятся технические характеристики шкафного ГРН.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B293D">
        <w:rPr>
          <w:b/>
          <w:sz w:val="28"/>
          <w:szCs w:val="28"/>
        </w:rPr>
        <w:t>Технические характеристики шкафного ГРН ГСГО-2.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3917"/>
      </w:tblGrid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Давление газа на вводе, МП (кгс/см</w:t>
            </w:r>
            <w:r w:rsidRPr="00F94D2D">
              <w:rPr>
                <w:sz w:val="20"/>
                <w:szCs w:val="20"/>
                <w:vertAlign w:val="superscript"/>
              </w:rPr>
              <w:t>2</w:t>
            </w:r>
            <w:r w:rsidRPr="00F94D2D">
              <w:rPr>
                <w:sz w:val="20"/>
                <w:szCs w:val="20"/>
              </w:rPr>
              <w:t>)не более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1,2 (12)</w:t>
            </w: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Давление газа на выходе, мм.вод.ст.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ГСГО-2</w:t>
            </w:r>
            <w:r w:rsidR="002B293D" w:rsidRPr="00F94D2D">
              <w:rPr>
                <w:sz w:val="20"/>
                <w:szCs w:val="20"/>
              </w:rPr>
              <w:t xml:space="preserve"> </w:t>
            </w:r>
            <w:r w:rsidRPr="00F94D2D">
              <w:rPr>
                <w:sz w:val="20"/>
                <w:szCs w:val="20"/>
              </w:rPr>
              <w:t>ГСГО – 2С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100…250…500…6000</w:t>
            </w: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Пропускная способность (для газа γ=0,73 кг/м</w:t>
            </w:r>
            <w:r w:rsidRPr="00F94D2D">
              <w:rPr>
                <w:sz w:val="20"/>
                <w:szCs w:val="20"/>
                <w:vertAlign w:val="superscript"/>
              </w:rPr>
              <w:t>3</w:t>
            </w:r>
            <w:r w:rsidRPr="00F94D2D">
              <w:rPr>
                <w:sz w:val="20"/>
                <w:szCs w:val="20"/>
              </w:rPr>
              <w:t>)м</w:t>
            </w:r>
            <w:r w:rsidRPr="00F94D2D">
              <w:rPr>
                <w:sz w:val="20"/>
                <w:szCs w:val="20"/>
                <w:vertAlign w:val="superscript"/>
              </w:rPr>
              <w:t>3</w:t>
            </w:r>
            <w:r w:rsidRPr="00F94D2D">
              <w:rPr>
                <w:sz w:val="20"/>
                <w:szCs w:val="20"/>
              </w:rPr>
              <w:t>, не менее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При давлении на входе: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р=0,1 МПа (1 кгс/см</w:t>
            </w:r>
            <w:r w:rsidRPr="00F94D2D">
              <w:rPr>
                <w:sz w:val="20"/>
                <w:szCs w:val="20"/>
                <w:vertAlign w:val="superscript"/>
              </w:rPr>
              <w:t>2</w:t>
            </w:r>
            <w:r w:rsidRPr="00F94D2D">
              <w:rPr>
                <w:sz w:val="20"/>
                <w:szCs w:val="20"/>
              </w:rPr>
              <w:t>)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р=0,3 МПа (3 кгс/см</w:t>
            </w:r>
            <w:r w:rsidRPr="00F94D2D">
              <w:rPr>
                <w:sz w:val="20"/>
                <w:szCs w:val="20"/>
                <w:vertAlign w:val="superscript"/>
              </w:rPr>
              <w:t>2</w:t>
            </w:r>
            <w:r w:rsidRPr="00F94D2D">
              <w:rPr>
                <w:sz w:val="20"/>
                <w:szCs w:val="20"/>
              </w:rPr>
              <w:t>)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р=0,6 МПа (6 кгс/см</w:t>
            </w:r>
            <w:r w:rsidRPr="00F94D2D">
              <w:rPr>
                <w:sz w:val="20"/>
                <w:szCs w:val="20"/>
                <w:vertAlign w:val="superscript"/>
              </w:rPr>
              <w:t>2</w:t>
            </w:r>
            <w:r w:rsidRPr="00F94D2D">
              <w:rPr>
                <w:sz w:val="20"/>
                <w:szCs w:val="20"/>
              </w:rPr>
              <w:t>)</w:t>
            </w:r>
          </w:p>
        </w:tc>
        <w:tc>
          <w:tcPr>
            <w:tcW w:w="3917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450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1200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2600</w:t>
            </w: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 xml:space="preserve">Температура воздуха внутри шкафа, </w:t>
            </w:r>
            <w:r w:rsidRPr="00F94D2D">
              <w:rPr>
                <w:sz w:val="20"/>
                <w:szCs w:val="20"/>
                <w:vertAlign w:val="superscript"/>
              </w:rPr>
              <w:t>0</w:t>
            </w:r>
            <w:r w:rsidRPr="00F94D2D">
              <w:rPr>
                <w:sz w:val="20"/>
                <w:szCs w:val="20"/>
              </w:rPr>
              <w:t>С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от 5 до 40</w:t>
            </w: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Вид теплоносителя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Продукты сгорания природного газа</w:t>
            </w: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Изготовитель</w:t>
            </w:r>
          </w:p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ОА «Газоаппарат»</w:t>
            </w:r>
          </w:p>
        </w:tc>
        <w:tc>
          <w:tcPr>
            <w:tcW w:w="3917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6473" w:rsidRPr="00F94D2D" w:rsidTr="00F94D2D">
        <w:trPr>
          <w:jc w:val="center"/>
        </w:trPr>
        <w:tc>
          <w:tcPr>
            <w:tcW w:w="5041" w:type="dxa"/>
            <w:shd w:val="clear" w:color="auto" w:fill="auto"/>
            <w:vAlign w:val="center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  <w:r w:rsidRPr="00F94D2D">
              <w:rPr>
                <w:sz w:val="20"/>
                <w:szCs w:val="20"/>
              </w:rPr>
              <w:t>410750, ГСП, Саратов -71, ул. Большая Казачья, 125</w:t>
            </w:r>
          </w:p>
        </w:tc>
        <w:tc>
          <w:tcPr>
            <w:tcW w:w="3917" w:type="dxa"/>
            <w:shd w:val="clear" w:color="auto" w:fill="auto"/>
          </w:tcPr>
          <w:p w:rsidR="004F6473" w:rsidRPr="00F94D2D" w:rsidRDefault="004F6473" w:rsidP="00F94D2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Шкафные ГРН допускается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устанавливать на стенах жилых домов при давлении газа на вводе и ГРП до 0,3 МПа.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На вводе газопровода в котельную внутри помещения устанавливается отключающее устройство, срабатывающее при отключении энергии.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Внутри помещения котельной в обязательном порядке следует устанавливать запорно-предохранительный клапан с электропроводом, сблокированный с системой сигнализации загазованности котельной.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Для учета расхода газа следует предусматривать установку газового счетчика, в качестве которого может быть принят турбинный счетчик типа СГ16-200. Ниже приводятся его технические характеристики.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6473" w:rsidRDefault="004F6473" w:rsidP="002B293D">
      <w:pPr>
        <w:shd w:val="clear" w:color="auto" w:fill="FFFFFF"/>
        <w:tabs>
          <w:tab w:val="left" w:pos="284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2B293D">
        <w:rPr>
          <w:b/>
          <w:sz w:val="28"/>
          <w:szCs w:val="28"/>
        </w:rPr>
        <w:t>ОСНОВНОЕ И ВСПОМОГАТЕЛЬНОЕ ОБОР</w:t>
      </w:r>
      <w:r w:rsidR="002B293D">
        <w:rPr>
          <w:b/>
          <w:sz w:val="28"/>
          <w:szCs w:val="28"/>
        </w:rPr>
        <w:t>УДОВАНИЕ КОТЕЛЬНОЙ</w:t>
      </w:r>
    </w:p>
    <w:p w:rsidR="002B293D" w:rsidRPr="002B293D" w:rsidRDefault="002B293D" w:rsidP="002B293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настоящее время в силу отмеченной раньше специфики при строительстве крышных котельных широко применяется разнообразное оборудование немецких, французских, итальянских, американских и других фирм. Представлено также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на рынке России финское,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шведское, чешское, венгерское оборудование.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Все описанные ниже теплогенераторы (котлы) газовые, водонагрейные, полностью автоматизированные, предназначены для отопления и горячего водоснабжения зданий. Не зависимо от фирмы производителя все они отличаются высокой эксплуатационной надежностью, малыми габаритами и весом, высоким КПД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экологической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чистотой выбросов. Фирмы, при заказе с учетом требований заказчика, определяют тепловую мощность котельной и состав и резервирование оборудования.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Фирмы, как правило, сами или через фирмы посредники полностью укомплектовывают котельную всем вспомогательным оборудованием вертикальными и горизонтальными бойлерами горячего водоснабжения (емкие) пластинчатые теплообменниками, насосами, расширительными баками мембранного типа, автоматикой и системой управления, запорной регулирующей и предохранительной арматурой, трубами, трубными изделиями, изоляцией.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Крышные котельные могут поставляться в контейнерах и отдельными видами оборудования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 монтажом его в заводских условиях или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на строительной площадке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Бойлера горячего водоснабжения поставляются такими фирмами как "</w:t>
      </w:r>
      <w:r w:rsidRPr="002B293D">
        <w:rPr>
          <w:sz w:val="28"/>
          <w:szCs w:val="28"/>
          <w:lang w:val="en-US"/>
        </w:rPr>
        <w:t>Viessman</w:t>
      </w:r>
      <w:r w:rsidRPr="002B293D">
        <w:rPr>
          <w:sz w:val="28"/>
          <w:szCs w:val="28"/>
        </w:rPr>
        <w:t>". "</w:t>
      </w:r>
      <w:r w:rsidRPr="002B293D">
        <w:rPr>
          <w:sz w:val="28"/>
          <w:szCs w:val="28"/>
          <w:lang w:val="en-US"/>
        </w:rPr>
        <w:t>Vaillani</w:t>
      </w:r>
      <w:r w:rsidRPr="002B293D">
        <w:rPr>
          <w:sz w:val="28"/>
          <w:szCs w:val="28"/>
        </w:rPr>
        <w:t>",- "</w:t>
      </w:r>
      <w:r w:rsidRPr="002B293D">
        <w:rPr>
          <w:sz w:val="28"/>
          <w:szCs w:val="28"/>
          <w:lang w:val="en-US"/>
        </w:rPr>
        <w:t>BnJenis</w:t>
      </w:r>
      <w:r w:rsidRPr="002B293D">
        <w:rPr>
          <w:sz w:val="28"/>
          <w:szCs w:val="28"/>
        </w:rPr>
        <w:t>", '"</w:t>
      </w:r>
      <w:r w:rsidRPr="002B293D">
        <w:rPr>
          <w:sz w:val="28"/>
          <w:szCs w:val="28"/>
          <w:lang w:val="en-US"/>
        </w:rPr>
        <w:t>Bosch</w:t>
      </w:r>
      <w:r w:rsidRPr="002B293D">
        <w:rPr>
          <w:sz w:val="28"/>
          <w:szCs w:val="28"/>
        </w:rPr>
        <w:t xml:space="preserve">", ' </w:t>
      </w:r>
      <w:r w:rsidRPr="002B293D">
        <w:rPr>
          <w:sz w:val="28"/>
          <w:szCs w:val="28"/>
          <w:lang w:val="en-US"/>
        </w:rPr>
        <w:t>Riello</w:t>
      </w:r>
      <w:r w:rsidRPr="002B293D">
        <w:rPr>
          <w:sz w:val="28"/>
          <w:szCs w:val="28"/>
        </w:rPr>
        <w:t>", '</w:t>
      </w:r>
      <w:r w:rsidRPr="002B293D">
        <w:rPr>
          <w:sz w:val="28"/>
          <w:szCs w:val="28"/>
          <w:lang w:val="en-US"/>
        </w:rPr>
        <w:t>Sliebel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Lltron</w:t>
      </w:r>
      <w:r w:rsidRPr="002B293D">
        <w:rPr>
          <w:sz w:val="28"/>
          <w:szCs w:val="28"/>
        </w:rPr>
        <w:t>" (Германия), "</w:t>
      </w:r>
      <w:r w:rsidRPr="002B293D">
        <w:rPr>
          <w:sz w:val="28"/>
          <w:szCs w:val="28"/>
          <w:lang w:val="en-US"/>
        </w:rPr>
        <w:t>AVC</w:t>
      </w:r>
      <w:r w:rsidRPr="002B293D">
        <w:rPr>
          <w:sz w:val="28"/>
          <w:szCs w:val="28"/>
        </w:rPr>
        <w:t xml:space="preserve"> " (Бельгия) и др., насосы - фирмами "</w:t>
      </w:r>
      <w:r w:rsidRPr="002B293D">
        <w:rPr>
          <w:sz w:val="28"/>
          <w:szCs w:val="28"/>
          <w:lang w:val="en-US"/>
        </w:rPr>
        <w:t>Wilo</w:t>
      </w:r>
      <w:r w:rsidRPr="002B293D">
        <w:rPr>
          <w:sz w:val="28"/>
          <w:szCs w:val="28"/>
        </w:rPr>
        <w:t>", "Грундфос", "</w:t>
      </w:r>
      <w:r w:rsidRPr="002B293D">
        <w:rPr>
          <w:sz w:val="28"/>
          <w:szCs w:val="28"/>
          <w:lang w:val="en-US"/>
        </w:rPr>
        <w:t>KSB</w:t>
      </w:r>
      <w:r w:rsidRPr="002B293D">
        <w:rPr>
          <w:sz w:val="28"/>
          <w:szCs w:val="28"/>
        </w:rPr>
        <w:t>" (Германия) "Дав" (Италия)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и т.д.</w:t>
      </w:r>
    </w:p>
    <w:p w:rsidR="004F6473" w:rsidRPr="002B293D" w:rsidRDefault="004F6473" w:rsidP="002B293D">
      <w:pPr>
        <w:shd w:val="clear" w:color="auto" w:fill="FFFFFF"/>
        <w:tabs>
          <w:tab w:val="left" w:pos="2789"/>
        </w:tabs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Далее приводятся некоторые данные о теплогенераторах (котлах)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различных фирм, которые могут быть применены, в крышных</w:t>
      </w:r>
      <w:r w:rsid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котельных.</w:t>
      </w:r>
      <w:r w:rsidR="002B293D" w:rsidRPr="002B293D">
        <w:rPr>
          <w:sz w:val="28"/>
          <w:szCs w:val="28"/>
        </w:rPr>
        <w:t xml:space="preserve"> 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 xml:space="preserve">Специальные чугунные отопительные котлы типа </w:t>
      </w:r>
      <w:r w:rsidRPr="002B293D">
        <w:rPr>
          <w:sz w:val="28"/>
          <w:szCs w:val="28"/>
          <w:lang w:val="en-US"/>
        </w:rPr>
        <w:t>VK</w:t>
      </w:r>
      <w:r w:rsidRPr="002B293D">
        <w:rPr>
          <w:sz w:val="28"/>
          <w:szCs w:val="28"/>
        </w:rPr>
        <w:t>-2 мощностью от 60 до 156кВт предлагаются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фирмой "</w:t>
      </w:r>
      <w:r w:rsidRPr="002B293D">
        <w:rPr>
          <w:sz w:val="28"/>
          <w:szCs w:val="28"/>
          <w:lang w:val="en-US"/>
        </w:rPr>
        <w:t>VALLIANT</w:t>
      </w:r>
      <w:r w:rsidRPr="002B293D">
        <w:rPr>
          <w:sz w:val="28"/>
          <w:szCs w:val="28"/>
        </w:rPr>
        <w:t xml:space="preserve">" (Германия). Котлы характеризуются широким спектром мощностей (9 ступеней), имеют электронное зажигание, КПД 92% общая масса максимально </w:t>
      </w:r>
      <w:smartTag w:uri="urn:schemas-microsoft-com:office:smarttags" w:element="metricconverter">
        <w:smartTagPr>
          <w:attr w:name="ProductID" w:val="747 кг"/>
        </w:smartTagPr>
        <w:r w:rsidRPr="002B293D">
          <w:rPr>
            <w:sz w:val="28"/>
            <w:szCs w:val="28"/>
          </w:rPr>
          <w:t>747 кг</w:t>
        </w:r>
      </w:smartTag>
      <w:r w:rsidRPr="002B293D">
        <w:rPr>
          <w:sz w:val="28"/>
          <w:szCs w:val="28"/>
        </w:rPr>
        <w:t>, имеют малые габариты на низкий расход электроэнергии, экологически чистые (</w:t>
      </w:r>
      <w:r w:rsidRPr="002B293D">
        <w:rPr>
          <w:sz w:val="28"/>
          <w:szCs w:val="28"/>
          <w:lang w:val="en-US"/>
        </w:rPr>
        <w:t>CO</w:t>
      </w:r>
      <w:r w:rsidRPr="002B293D">
        <w:rPr>
          <w:sz w:val="28"/>
          <w:szCs w:val="28"/>
          <w:vertAlign w:val="subscript"/>
        </w:rPr>
        <w:t>2</w:t>
      </w:r>
      <w:r w:rsidRPr="002B293D">
        <w:rPr>
          <w:sz w:val="28"/>
          <w:szCs w:val="28"/>
        </w:rPr>
        <w:t xml:space="preserve"> = 5.8 %) Недостатками этих котлов является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низкая температура нагрева подающей воды 90 °С, в то время когда нормами разрешается температура до 95 °С.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Для горячего водоснабжения фирма производит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 xml:space="preserve">бойлера емкостью до </w:t>
      </w:r>
      <w:smartTag w:uri="urn:schemas-microsoft-com:office:smarttags" w:element="metricconverter">
        <w:smartTagPr>
          <w:attr w:name="ProductID" w:val="500 л"/>
        </w:smartTagPr>
        <w:r w:rsidRPr="002B293D">
          <w:rPr>
            <w:sz w:val="28"/>
            <w:szCs w:val="28"/>
          </w:rPr>
          <w:t>500 л</w:t>
        </w:r>
      </w:smartTag>
      <w:r w:rsidRPr="002B293D">
        <w:rPr>
          <w:sz w:val="28"/>
          <w:szCs w:val="28"/>
        </w:rPr>
        <w:t>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Фирмой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"</w:t>
      </w:r>
      <w:r w:rsidRPr="002B293D">
        <w:rPr>
          <w:sz w:val="28"/>
          <w:szCs w:val="28"/>
          <w:lang w:val="en-US"/>
        </w:rPr>
        <w:t>Ri</w:t>
      </w:r>
      <w:r w:rsidRPr="002B293D">
        <w:rPr>
          <w:sz w:val="28"/>
          <w:szCs w:val="28"/>
        </w:rPr>
        <w:t>е</w:t>
      </w:r>
      <w:r w:rsidRPr="002B293D">
        <w:rPr>
          <w:sz w:val="28"/>
          <w:szCs w:val="28"/>
          <w:lang w:val="en-US"/>
        </w:rPr>
        <w:t>llo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h</w:t>
      </w:r>
      <w:r w:rsidRPr="002B293D">
        <w:rPr>
          <w:sz w:val="28"/>
          <w:szCs w:val="28"/>
        </w:rPr>
        <w:t>е</w:t>
      </w:r>
      <w:r w:rsidRPr="002B293D">
        <w:rPr>
          <w:sz w:val="28"/>
          <w:szCs w:val="28"/>
          <w:lang w:val="en-US"/>
        </w:rPr>
        <w:t>iztcchnik</w:t>
      </w:r>
      <w:r w:rsidRPr="002B293D">
        <w:rPr>
          <w:sz w:val="28"/>
          <w:szCs w:val="28"/>
        </w:rPr>
        <w:t>" поставляются водогрейные чугунные котлы мощностью до 220 кВт и стальные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жарогрубные котлы типа "Е</w:t>
      </w:r>
      <w:r w:rsidRPr="002B293D">
        <w:rPr>
          <w:sz w:val="28"/>
          <w:szCs w:val="28"/>
          <w:lang w:val="en-US"/>
        </w:rPr>
        <w:t>HNNUGI</w:t>
      </w:r>
      <w:r w:rsidRPr="002B293D">
        <w:rPr>
          <w:sz w:val="28"/>
          <w:szCs w:val="28"/>
        </w:rPr>
        <w:t xml:space="preserve"> мощностью от 105 до 750 кВт (всего 7 типоразмеров). Котлы оснащаются двухступенчатой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газовой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горелкой. Минимальные эксплуатационные затраты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и максимальная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защита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окружающей среды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обеспечиваются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благодаря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умеренному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давлению в топке (от 0,6 до 40 бар), ее размерами (от 105 до 700 дм</w:t>
      </w:r>
      <w:r w:rsidRPr="002B293D">
        <w:rPr>
          <w:sz w:val="28"/>
          <w:szCs w:val="28"/>
          <w:vertAlign w:val="superscript"/>
        </w:rPr>
        <w:t>3</w:t>
      </w:r>
      <w:r w:rsidRPr="002B293D">
        <w:rPr>
          <w:sz w:val="28"/>
          <w:szCs w:val="28"/>
        </w:rPr>
        <w:t>), а также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невысоким тепловым нагрузками объема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и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поверхности нагрева тонки (1,09-27,1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Мвт/м</w:t>
      </w:r>
      <w:r w:rsidRPr="002B293D">
        <w:rPr>
          <w:sz w:val="28"/>
          <w:szCs w:val="28"/>
          <w:vertAlign w:val="superscript"/>
        </w:rPr>
        <w:t>3</w:t>
      </w:r>
      <w:r w:rsidRPr="002B293D">
        <w:rPr>
          <w:sz w:val="28"/>
          <w:szCs w:val="28"/>
        </w:rPr>
        <w:t>). В связи с тем, что трубная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система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размещена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над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камерой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сгорания,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 xml:space="preserve">котел имеет небольшие размеры. Фирмой: поставляются также вертикальные и горизонтальные водонагреватели емкостью до </w:t>
      </w:r>
      <w:smartTag w:uri="urn:schemas-microsoft-com:office:smarttags" w:element="metricconverter">
        <w:smartTagPr>
          <w:attr w:name="ProductID" w:val="600 л"/>
        </w:smartTagPr>
        <w:r w:rsidRPr="002B293D">
          <w:rPr>
            <w:sz w:val="28"/>
            <w:szCs w:val="28"/>
          </w:rPr>
          <w:t>600 л</w:t>
        </w:r>
      </w:smartTag>
      <w:r w:rsidRPr="002B293D">
        <w:rPr>
          <w:sz w:val="28"/>
          <w:szCs w:val="28"/>
        </w:rPr>
        <w:t>, теплоизолированные эмалированные змеевики.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В ассортименте на российском рынке представлены также модульные котлы фирмы «ФЕТТЕРМ» (Венгрия) системы «Вини-Вестал» мощностью от 70 до 280 кВт (один модуль 70 кВт) и «ФЭГ-Вестал» мощностью от 120 до 1200 кВт (один модуль 120 кВт) КПД котлов 91,5%.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Модульные котлы имеют нагревательный модуль регулирования и вспомогательные модули; эксплуатируются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в автоматическом режиме без постоянного надзора.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Также представлены котлы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производительностью от 58 до 1279 кВт фирмы “</w:t>
      </w:r>
      <w:r w:rsidRPr="002B293D">
        <w:rPr>
          <w:sz w:val="28"/>
          <w:szCs w:val="28"/>
          <w:lang w:val="en-US"/>
        </w:rPr>
        <w:t>ROSA</w:t>
      </w:r>
      <w:r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  <w:lang w:val="en-US"/>
        </w:rPr>
        <w:t>RADIADOREC</w:t>
      </w:r>
      <w:r w:rsidRPr="002B293D">
        <w:rPr>
          <w:sz w:val="28"/>
          <w:szCs w:val="28"/>
        </w:rPr>
        <w:t>”(Испания котлы мощностью от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31,7 до 223,2 кВт фирмы “</w:t>
      </w:r>
      <w:r w:rsidRPr="002B293D">
        <w:rPr>
          <w:sz w:val="28"/>
          <w:szCs w:val="28"/>
          <w:lang w:val="en-US"/>
        </w:rPr>
        <w:t>KALLARD</w:t>
      </w:r>
      <w:r w:rsidRPr="002B293D">
        <w:rPr>
          <w:sz w:val="28"/>
          <w:szCs w:val="28"/>
        </w:rPr>
        <w:t>” (Италия), комплектуемые газовыми тарелками немецкой фирмы “</w:t>
      </w:r>
      <w:r w:rsidRPr="002B293D">
        <w:rPr>
          <w:sz w:val="28"/>
          <w:szCs w:val="28"/>
          <w:lang w:val="en-US"/>
        </w:rPr>
        <w:t>RIELLO</w:t>
      </w:r>
      <w:r w:rsidRPr="002B293D">
        <w:rPr>
          <w:sz w:val="28"/>
          <w:szCs w:val="28"/>
        </w:rPr>
        <w:t>”. Американская фирма “</w:t>
      </w:r>
      <w:r w:rsidRPr="002B293D">
        <w:rPr>
          <w:sz w:val="28"/>
          <w:szCs w:val="28"/>
          <w:lang w:val="en-US"/>
        </w:rPr>
        <w:t>Dunkirk</w:t>
      </w:r>
      <w:r w:rsidRPr="002B293D">
        <w:rPr>
          <w:sz w:val="28"/>
          <w:szCs w:val="28"/>
        </w:rPr>
        <w:t>” предлагает модульные котлы «Прометей» мощностью от 70 до 700 кВт (28 типоразмеров) и котлы В</w:t>
      </w:r>
      <w:r w:rsidRPr="002B293D">
        <w:rPr>
          <w:sz w:val="28"/>
          <w:szCs w:val="28"/>
          <w:lang w:val="en-US"/>
        </w:rPr>
        <w:t>WK</w:t>
      </w:r>
      <w:r w:rsidRPr="002B293D">
        <w:rPr>
          <w:sz w:val="28"/>
          <w:szCs w:val="28"/>
        </w:rPr>
        <w:t>,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особенностью которых является наличие в конструкции теплоутилизатора уходящих дымовых</w:t>
      </w:r>
      <w:r w:rsidR="002B293D" w:rsidRPr="002B293D">
        <w:rPr>
          <w:sz w:val="28"/>
          <w:szCs w:val="28"/>
        </w:rPr>
        <w:t xml:space="preserve"> </w:t>
      </w:r>
      <w:r w:rsidRPr="002B293D">
        <w:rPr>
          <w:sz w:val="28"/>
          <w:szCs w:val="28"/>
        </w:rPr>
        <w:t>газов, повышает КПД котла.</w:t>
      </w:r>
    </w:p>
    <w:p w:rsidR="004F6473" w:rsidRPr="002B293D" w:rsidRDefault="004F6473" w:rsidP="002B293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293D">
        <w:rPr>
          <w:sz w:val="28"/>
          <w:szCs w:val="28"/>
        </w:rPr>
        <w:t>Двухконтурными газовыми котлами мощностью 12-465 кВт представлена на Российском рынке фирмами «Китурами» из южной Кореи.</w:t>
      </w:r>
    </w:p>
    <w:p w:rsidR="00486EC2" w:rsidRDefault="002B293D" w:rsidP="002B293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86EC2" w:rsidRPr="002B293D">
        <w:rPr>
          <w:b/>
          <w:sz w:val="28"/>
          <w:szCs w:val="28"/>
        </w:rPr>
        <w:t>Список использованной литературы:</w:t>
      </w:r>
    </w:p>
    <w:p w:rsidR="002B293D" w:rsidRPr="002B293D" w:rsidRDefault="002B293D" w:rsidP="002B29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6EC2" w:rsidRPr="002B293D" w:rsidRDefault="00486EC2" w:rsidP="002B293D">
      <w:pPr>
        <w:pStyle w:val="2"/>
        <w:tabs>
          <w:tab w:val="num" w:pos="1083"/>
        </w:tabs>
        <w:spacing w:line="360" w:lineRule="auto"/>
        <w:ind w:firstLine="0"/>
        <w:rPr>
          <w:color w:val="auto"/>
          <w:sz w:val="28"/>
          <w:szCs w:val="28"/>
        </w:rPr>
      </w:pPr>
      <w:r w:rsidRPr="002B293D">
        <w:rPr>
          <w:color w:val="auto"/>
          <w:sz w:val="28"/>
          <w:szCs w:val="28"/>
        </w:rPr>
        <w:t>1. АВОК №1 2005 г.</w:t>
      </w:r>
      <w:bookmarkStart w:id="0" w:name="_GoBack"/>
      <w:bookmarkEnd w:id="0"/>
    </w:p>
    <w:sectPr w:rsidR="00486EC2" w:rsidRPr="002B293D" w:rsidSect="002B29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80E35"/>
    <w:multiLevelType w:val="hybridMultilevel"/>
    <w:tmpl w:val="6E147E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473"/>
    <w:rsid w:val="00117D88"/>
    <w:rsid w:val="002B293D"/>
    <w:rsid w:val="00325647"/>
    <w:rsid w:val="00422166"/>
    <w:rsid w:val="00486EC2"/>
    <w:rsid w:val="004A63AC"/>
    <w:rsid w:val="004F6473"/>
    <w:rsid w:val="005A4DA1"/>
    <w:rsid w:val="005D1BB6"/>
    <w:rsid w:val="0062263C"/>
    <w:rsid w:val="00664C21"/>
    <w:rsid w:val="008246F7"/>
    <w:rsid w:val="008A1DC5"/>
    <w:rsid w:val="00932856"/>
    <w:rsid w:val="00940BC6"/>
    <w:rsid w:val="009A2033"/>
    <w:rsid w:val="009C0E97"/>
    <w:rsid w:val="00A05577"/>
    <w:rsid w:val="00A14BCF"/>
    <w:rsid w:val="00B371EB"/>
    <w:rsid w:val="00B779BF"/>
    <w:rsid w:val="00C9005A"/>
    <w:rsid w:val="00CD09BA"/>
    <w:rsid w:val="00CE721C"/>
    <w:rsid w:val="00D956F5"/>
    <w:rsid w:val="00D957EC"/>
    <w:rsid w:val="00E56A57"/>
    <w:rsid w:val="00E914E1"/>
    <w:rsid w:val="00EF25DA"/>
    <w:rsid w:val="00F55AF2"/>
    <w:rsid w:val="00F9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7E6B7-63AB-4FB9-AEC9-9C992AE0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73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F6473"/>
    <w:pPr>
      <w:keepNext/>
      <w:jc w:val="center"/>
      <w:outlineLvl w:val="4"/>
    </w:pPr>
    <w:rPr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4F6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86EC2"/>
    <w:pPr>
      <w:ind w:firstLine="709"/>
      <w:jc w:val="both"/>
    </w:pPr>
    <w:rPr>
      <w:color w:val="000000"/>
      <w:szCs w:val="21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4">
    <w:name w:val="Body Text Indent"/>
    <w:basedOn w:val="a"/>
    <w:link w:val="a5"/>
    <w:uiPriority w:val="99"/>
    <w:rsid w:val="00932856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СТРОИТЕЛЬСТВА КРЫШНЫХ КОТЕЛЬНЫХ   В РОССИЙСКОЙ ФЕДЕРАЦИИ И ЗА РУБЕЖОМ</vt:lpstr>
    </vt:vector>
  </TitlesOfParts>
  <Company>Spoken For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СТРОИТЕЛЬСТВА КРЫШНЫХ КОТЕЛЬНЫХ   В РОССИЙСКОЙ ФЕДЕРАЦИИ И ЗА РУБЕЖОМ</dc:title>
  <dc:subject/>
  <dc:creator>Shepelev</dc:creator>
  <cp:keywords/>
  <dc:description/>
  <cp:lastModifiedBy>admin</cp:lastModifiedBy>
  <cp:revision>2</cp:revision>
  <dcterms:created xsi:type="dcterms:W3CDTF">2014-03-04T12:28:00Z</dcterms:created>
  <dcterms:modified xsi:type="dcterms:W3CDTF">2014-03-04T12:28:00Z</dcterms:modified>
</cp:coreProperties>
</file>