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B29" w:rsidRDefault="003053B1" w:rsidP="00AD1B29">
      <w:pPr>
        <w:ind w:firstLine="709"/>
      </w:pPr>
      <w:r w:rsidRPr="00AD1B29">
        <w:t>В договоре автотранспортного предприятия или организации с грузоотправителем и грузополучателем может предусматриваться участие шофера в погрузке и разгрузке грузов в порядке, предусмотренном в Правилах по охране труда на автомобильном транспорте</w:t>
      </w:r>
      <w:r w:rsidR="00AD1B29" w:rsidRPr="00AD1B29">
        <w:t xml:space="preserve">. </w:t>
      </w:r>
      <w:r w:rsidRPr="00AD1B29">
        <w:t>В случае участия шофера в погрузке или разгрузке шофер при погрузке принимает груз с борта автомобиля, а при разгрузке груз подается шофером на борт автомобиля При принятии автотранспортным предприятием на себя обязательств по производству погрузочно-разгрузочных работ оно несет ответственность за порчу или повреждение груза при погрузке и разгрузке, происшедшие по их вине</w:t>
      </w:r>
      <w:r w:rsidR="00AD1B29" w:rsidRPr="00AD1B29">
        <w:t xml:space="preserve">. </w:t>
      </w:r>
      <w:r w:rsidRPr="00AD1B29">
        <w:t>Грузоотправитель и грузополучатель обязаны содержать погрузочно-разгрузочные пункты, погрузочно-разгрузочные площадки, а также подъездные пути к ним в исправном состоянии в любое время года для обеспечения беспрепятственного проезда и маневрирования подвижного состава, а также обеспечить наличие средств механизации и необходимое количество рабочих, необходимых для соблюдения установи ленных сроков погрузки в автомобили и выгрузки из них грузов, устройства для освещения рабочих мест и подъездных путей к ним при работе в вечернее и ночное время, инвентарь, такелаж и в необходимые случаях весовые устройства для взвешивания грузов и подвижного состава, а также в зависимости от объема и характера выполняемых работ необходимое количество оборудованных мест погрузки и выгрузки грузов и указатели размещения складов, въездов и выездов</w:t>
      </w:r>
      <w:r w:rsidR="00AD1B29" w:rsidRPr="00AD1B29">
        <w:t xml:space="preserve">. </w:t>
      </w:r>
      <w:r w:rsidRPr="00AD1B29">
        <w:t>Грузоотправитель и автотранспортное предприятие при перевозке грузов обязаны в пределах объемов грузов, указанных в заказе</w:t>
      </w:r>
      <w:r w:rsidR="00AD1B29">
        <w:t xml:space="preserve"> (</w:t>
      </w:r>
      <w:r w:rsidRPr="00AD1B29">
        <w:t>заявке</w:t>
      </w:r>
      <w:r w:rsidR="00AD1B29" w:rsidRPr="00AD1B29">
        <w:t xml:space="preserve">) </w:t>
      </w:r>
      <w:r w:rsidRPr="00AD1B29">
        <w:t>грузоотправителя</w:t>
      </w:r>
      <w:r w:rsidR="00AD1B29">
        <w:t xml:space="preserve"> (</w:t>
      </w:r>
      <w:r w:rsidRPr="00AD1B29">
        <w:t>грузополучателя</w:t>
      </w:r>
      <w:r w:rsidR="00AD1B29" w:rsidRPr="00AD1B29">
        <w:t>),</w:t>
      </w:r>
      <w:r w:rsidRPr="00AD1B29">
        <w:t xml:space="preserve"> производить загрузку подвижного состава до полного использования его вместимости, но</w:t>
      </w:r>
      <w:r w:rsidR="00FC027E" w:rsidRPr="00AD1B29">
        <w:t xml:space="preserve"> не выше его грузоподъемности</w:t>
      </w:r>
      <w:r w:rsidR="00AD1B29" w:rsidRPr="00AD1B29">
        <w:t>.</w:t>
      </w:r>
    </w:p>
    <w:p w:rsidR="00AD1B29" w:rsidRDefault="003053B1" w:rsidP="00AD1B29">
      <w:pPr>
        <w:ind w:firstLine="709"/>
      </w:pPr>
      <w:r w:rsidRPr="00AD1B29">
        <w:t>При массовых перевозках легковесных грузов</w:t>
      </w:r>
      <w:r w:rsidR="00AD1B29">
        <w:t xml:space="preserve"> (</w:t>
      </w:r>
      <w:r w:rsidRPr="00AD1B29">
        <w:t>в том числе сельскохозяйственных грузов</w:t>
      </w:r>
      <w:r w:rsidR="00AD1B29" w:rsidRPr="00AD1B29">
        <w:t xml:space="preserve">) </w:t>
      </w:r>
      <w:r w:rsidRPr="00AD1B29">
        <w:t>автотранспортное предприятие или организация обязаны наращивать борта или принимать другие меры, обеспечивающие повышение использования грузоподъемности подвижного состава</w:t>
      </w:r>
      <w:r w:rsidR="00AD1B29" w:rsidRPr="00AD1B29">
        <w:t xml:space="preserve">. </w:t>
      </w:r>
      <w:r w:rsidRPr="00AD1B29">
        <w:t>При погрузке сыпучих грузов, перевозимых навалом, поверхность груза не должна выступать за верхние края бортов подвижного состава в целях предотвращения высыпания груза при движении</w:t>
      </w:r>
      <w:r w:rsidR="00AD1B29">
        <w:t>.</w:t>
      </w:r>
    </w:p>
    <w:p w:rsidR="00AD1B29" w:rsidRDefault="003053B1" w:rsidP="00AD1B29">
      <w:pPr>
        <w:ind w:firstLine="709"/>
      </w:pPr>
      <w:r w:rsidRPr="00AD1B29">
        <w:t>Штучные грузы, перевозимые без тары</w:t>
      </w:r>
      <w:r w:rsidR="00AD1B29">
        <w:t xml:space="preserve"> (</w:t>
      </w:r>
      <w:r w:rsidRPr="00AD1B29">
        <w:t xml:space="preserve">металлические прутки, трубы и </w:t>
      </w:r>
      <w:r w:rsidR="00AD1B29">
        <w:t>т.п.)</w:t>
      </w:r>
      <w:r w:rsidR="00AD1B29" w:rsidRPr="00AD1B29">
        <w:t>,</w:t>
      </w:r>
      <w:r w:rsidRPr="00AD1B29">
        <w:t xml:space="preserve"> прием и погрузка которых невозможны без значительно потери времени, должны быть объединены грузоотправителем в боле крупные погрузочные единицы</w:t>
      </w:r>
      <w:r w:rsidR="00AD1B29">
        <w:t xml:space="preserve"> (</w:t>
      </w:r>
      <w:r w:rsidRPr="00AD1B29">
        <w:t>транспортные пакеты</w:t>
      </w:r>
      <w:r w:rsidR="00AD1B29" w:rsidRPr="00AD1B29">
        <w:t>)</w:t>
      </w:r>
      <w:r w:rsidR="00AD1B29">
        <w:t>.</w:t>
      </w:r>
    </w:p>
    <w:p w:rsidR="00AD1B29" w:rsidRDefault="003053B1" w:rsidP="00AD1B29">
      <w:pPr>
        <w:ind w:firstLine="709"/>
      </w:pPr>
      <w:r w:rsidRPr="00AD1B29">
        <w:t>Тяжеловесные грузы без тары должны иметь специальные приспособления для застройки</w:t>
      </w:r>
      <w:r w:rsidR="00AD1B29" w:rsidRPr="00AD1B29">
        <w:t xml:space="preserve">: </w:t>
      </w:r>
      <w:r w:rsidRPr="00AD1B29">
        <w:t>выступы, рамы, петли, проушины и др</w:t>
      </w:r>
      <w:r w:rsidR="00AD1B29" w:rsidRPr="00AD1B29">
        <w:t xml:space="preserve">. </w:t>
      </w:r>
      <w:r w:rsidRPr="00AD1B29">
        <w:t>При перевозках на поддонах отдельные грузовые места укладываются на них таким образом, чтобы можно было проверить количество без нарушения их положения на поддоне и крепления</w:t>
      </w:r>
      <w:r w:rsidR="00AD1B29">
        <w:t xml:space="preserve"> (</w:t>
      </w:r>
      <w:r w:rsidRPr="00AD1B29">
        <w:t>за исключением ящичных закрытых поддонов, перевозимых за пломбами грузоотправителя</w:t>
      </w:r>
      <w:r w:rsidR="00AD1B29" w:rsidRPr="00AD1B29">
        <w:t xml:space="preserve">). </w:t>
      </w:r>
      <w:r w:rsidRPr="00AD1B29">
        <w:t>Грузы должны быть уложены в подвижном составе и надежно закреплены так, чтобы не было сдвига, падения, давления на двери, потертости или повреждения груза при перевозке, а также обеспечивалась сохранность подвижного состава при погрузке, разгрузке и в пути следования</w:t>
      </w:r>
      <w:r w:rsidR="00AD1B29" w:rsidRPr="00AD1B29">
        <w:t>.</w:t>
      </w:r>
      <w:r w:rsidR="00AD1B29" w:rsidRPr="00AD1B29">
        <w:rPr>
          <w:b/>
          <w:bCs/>
        </w:rPr>
        <w:t xml:space="preserve"> </w:t>
      </w:r>
      <w:r w:rsidRPr="00AD1B29">
        <w:t>Дополнительное оборудование и оснащение автомобилей для перевозки определенного груза может производиться грузоотправителем только по согласованию с автотранспортным предприятием или организацией</w:t>
      </w:r>
      <w:r w:rsidR="00AD1B29" w:rsidRPr="00AD1B29">
        <w:t>.</w:t>
      </w:r>
    </w:p>
    <w:p w:rsidR="00AD1B29" w:rsidRPr="00AD1B29" w:rsidRDefault="003053B1" w:rsidP="00AD1B29">
      <w:pPr>
        <w:ind w:firstLine="709"/>
      </w:pPr>
      <w:r w:rsidRPr="00AD1B29">
        <w:t>Автотранспортные предприятия или организации могут по договору с грузоотправителем и за его счет произвести переоборудование кузовов автомобилей</w:t>
      </w:r>
      <w:r w:rsidR="00AD1B29" w:rsidRPr="00AD1B29">
        <w:t xml:space="preserve">. </w:t>
      </w:r>
      <w:r w:rsidRPr="00AD1B29">
        <w:t>Все приспособления, принадлежащие грузоотправителю, выдаются автотранспортным предприятием или организацией грузополучателю вместе с грузом или возвращаются грузоотправителю в соответствии с его указанием в товарно-транспортной накладной за его счет</w:t>
      </w:r>
      <w:r w:rsidR="00AD1B29" w:rsidRPr="00AD1B29">
        <w:t xml:space="preserve">. </w:t>
      </w:r>
      <w:r w:rsidRPr="00AD1B29">
        <w:t>Шофер обязан проверить соответствие укладки и крепления груза на подвижном составе требованиям безопасности движения и обеспечения сохранности подвижного состава, а также сообщить грузоотправителю о замеченных неправильностях в укладке и креплении груза, угрожающих его сохранности</w:t>
      </w:r>
      <w:r w:rsidR="00AD1B29" w:rsidRPr="00AD1B29">
        <w:t>.</w:t>
      </w:r>
    </w:p>
    <w:p w:rsidR="00AD1B29" w:rsidRDefault="003053B1" w:rsidP="00AD1B29">
      <w:pPr>
        <w:ind w:firstLine="709"/>
      </w:pPr>
      <w:r w:rsidRPr="00AD1B29">
        <w:t>Грузоотправитель по требованию шофера обязан устранить обнаруженные неправильности в укладке и креплении груза</w:t>
      </w:r>
      <w:r w:rsidR="00AD1B29" w:rsidRPr="00AD1B29">
        <w:t xml:space="preserve">. </w:t>
      </w:r>
      <w:r w:rsidRPr="00AD1B29">
        <w:t>Исходя из требований безопасности движения, шофер обязан проверить соответствие габаритов груза Правилам дорожного движения, а также состояние крепления и увязки груза, которые должны предотвращать смещение груза за пределы кузова или его выпадение из кузова</w:t>
      </w:r>
      <w:r w:rsidR="00AD1B29" w:rsidRPr="00AD1B29">
        <w:t xml:space="preserve">. </w:t>
      </w:r>
      <w:r w:rsidRPr="00AD1B29">
        <w:t>Ответственность за соблюдением правил техники безопасности при производстве погрузочно-разгрузочных работ, а также ответственность за несчастные случаи, происшедшие в результате невыполнения этих правил, несет сторона, взявшая на себя указанные обязательства</w:t>
      </w:r>
      <w:r w:rsidR="00AD1B29">
        <w:t>.</w:t>
      </w:r>
    </w:p>
    <w:p w:rsidR="00AD1B29" w:rsidRDefault="003053B1" w:rsidP="00AD1B29">
      <w:pPr>
        <w:ind w:firstLine="709"/>
      </w:pPr>
      <w:r w:rsidRPr="00AD1B29">
        <w:t>Перед погрузкой автомобилей и контейнеров грузоотправитель обязан проверить их пригодность в коммерческом отношении для перевозки Данного груза</w:t>
      </w:r>
      <w:r w:rsidR="00AD1B29" w:rsidRPr="00AD1B29">
        <w:t>.</w:t>
      </w:r>
      <w:r w:rsidR="00AD1B29" w:rsidRPr="00AD1B29">
        <w:rPr>
          <w:b/>
          <w:bCs/>
        </w:rPr>
        <w:t xml:space="preserve"> </w:t>
      </w:r>
      <w:r w:rsidRPr="00AD1B29">
        <w:t>При обнаружении неисправностей, неудовлетворительного санитарного состояния или других обстоятельств, которые могут повлиять на сохранность груза при перевозке, грузоотправитель должен отказаться от погрузки грузов в этот автомобиль или контейнер и сделать об этом отметку в товарно-транспортной накладной или путевом листе, удостоверив ее своей подписью и печатью</w:t>
      </w:r>
      <w:r w:rsidR="00AD1B29">
        <w:t xml:space="preserve"> (</w:t>
      </w:r>
      <w:r w:rsidRPr="00AD1B29">
        <w:t>штампом</w:t>
      </w:r>
      <w:r w:rsidR="00AD1B29" w:rsidRPr="00AD1B29">
        <w:t xml:space="preserve">). </w:t>
      </w:r>
      <w:r w:rsidRPr="00AD1B29">
        <w:t>В случае возникновения разногласий составляется акт, подписываемый представителями грузоотправителя и автотранспортного предприятия</w:t>
      </w:r>
      <w:r w:rsidR="00AD1B29">
        <w:t>.</w:t>
      </w:r>
    </w:p>
    <w:p w:rsidR="00AD1B29" w:rsidRDefault="003053B1" w:rsidP="00AD1B29">
      <w:pPr>
        <w:ind w:firstLine="709"/>
      </w:pPr>
      <w:r w:rsidRPr="00AD1B29">
        <w:t>Погрузочно-разгрузочные работы должны производиться в соответствии с ГОСТ 1</w:t>
      </w:r>
      <w:r w:rsidR="00AD1B29">
        <w:t xml:space="preserve">2.3 </w:t>
      </w:r>
      <w:r w:rsidRPr="00AD1B29">
        <w:t>002, ГОСТ 1</w:t>
      </w:r>
      <w:r w:rsidR="00AD1B29">
        <w:t xml:space="preserve">2.3 </w:t>
      </w:r>
      <w:r w:rsidRPr="00AD1B29">
        <w:t>009, ГОСТ 1</w:t>
      </w:r>
      <w:r w:rsidR="00AD1B29">
        <w:t xml:space="preserve">2.3 </w:t>
      </w:r>
      <w:r w:rsidRPr="00AD1B29">
        <w:t>020, требованиям Межотраслевых правил по охране труда при погрузочно-разгрузочных работах</w:t>
      </w:r>
      <w:r w:rsidR="00AD1B29" w:rsidRPr="00AD1B29">
        <w:t xml:space="preserve">. </w:t>
      </w:r>
      <w:r w:rsidRPr="00AD1B29">
        <w:t>Выбор способов производства погрузочно-разгрузочных работ должен предусматривать предотвращение или снижение до уровня допустимых норм воздействия на работающих опасных и вредных производственных факторов путем</w:t>
      </w:r>
      <w:r w:rsidR="00AD1B29" w:rsidRPr="00AD1B29">
        <w:t>:</w:t>
      </w:r>
    </w:p>
    <w:p w:rsidR="00AD1B29" w:rsidRDefault="003053B1" w:rsidP="00AD1B29">
      <w:pPr>
        <w:ind w:firstLine="709"/>
      </w:pPr>
      <w:r w:rsidRPr="00AD1B29">
        <w:t>а</w:t>
      </w:r>
      <w:r w:rsidR="00AD1B29" w:rsidRPr="00AD1B29">
        <w:t xml:space="preserve">) </w:t>
      </w:r>
      <w:r w:rsidRPr="00AD1B29">
        <w:t>механизации и автоматизации погрузочно-разгрузочных</w:t>
      </w:r>
      <w:r w:rsidR="00AD1B29" w:rsidRPr="00AD1B29">
        <w:t>;</w:t>
      </w:r>
    </w:p>
    <w:p w:rsidR="00AD1B29" w:rsidRDefault="003053B1" w:rsidP="00AD1B29">
      <w:pPr>
        <w:ind w:firstLine="709"/>
      </w:pPr>
      <w:r w:rsidRPr="00AD1B29">
        <w:t>б</w:t>
      </w:r>
      <w:r w:rsidR="00AD1B29" w:rsidRPr="00AD1B29">
        <w:t xml:space="preserve">) </w:t>
      </w:r>
      <w:r w:rsidRPr="00AD1B29">
        <w:t>применения устройств и приспособлений, отвечающих требованиям безопасности</w:t>
      </w:r>
      <w:r w:rsidR="00AD1B29" w:rsidRPr="00AD1B29">
        <w:t>;</w:t>
      </w:r>
    </w:p>
    <w:p w:rsidR="00AD1B29" w:rsidRDefault="003053B1" w:rsidP="00AD1B29">
      <w:pPr>
        <w:ind w:firstLine="709"/>
      </w:pPr>
      <w:r w:rsidRPr="00AD1B29">
        <w:t>г</w:t>
      </w:r>
      <w:r w:rsidR="00AD1B29" w:rsidRPr="00AD1B29">
        <w:t xml:space="preserve">) </w:t>
      </w:r>
      <w:r w:rsidRPr="00AD1B29">
        <w:t>эксплуатации производственного оборудования в соответствии с действующей нормативно-технической документацией и экспедиционными документами</w:t>
      </w:r>
      <w:r w:rsidR="00AD1B29" w:rsidRPr="00AD1B29">
        <w:t>;</w:t>
      </w:r>
    </w:p>
    <w:p w:rsidR="00AD1B29" w:rsidRDefault="003053B1" w:rsidP="00AD1B29">
      <w:pPr>
        <w:ind w:firstLine="709"/>
      </w:pPr>
      <w:r w:rsidRPr="00AD1B29">
        <w:t>д</w:t>
      </w:r>
      <w:r w:rsidR="00AD1B29" w:rsidRPr="00AD1B29">
        <w:t xml:space="preserve">) </w:t>
      </w:r>
      <w:r w:rsidRPr="00AD1B29">
        <w:t>применения знаковой и других видов сигнализации при перемещении грузов подъемно-транспортным оборудованием</w:t>
      </w:r>
      <w:r w:rsidR="00AD1B29" w:rsidRPr="00AD1B29">
        <w:t xml:space="preserve">; </w:t>
      </w:r>
      <w:r w:rsidRPr="00AD1B29">
        <w:t>е</w:t>
      </w:r>
      <w:r w:rsidR="00AD1B29" w:rsidRPr="00AD1B29">
        <w:t xml:space="preserve">) </w:t>
      </w:r>
      <w:r w:rsidRPr="00AD1B29">
        <w:t>правильного размещения и укладки грузов в местах производства работ и в транспортные средства</w:t>
      </w:r>
      <w:r w:rsidR="00AD1B29" w:rsidRPr="00AD1B29">
        <w:t>;</w:t>
      </w:r>
    </w:p>
    <w:p w:rsidR="00AD1B29" w:rsidRDefault="003053B1" w:rsidP="00AD1B29">
      <w:pPr>
        <w:ind w:firstLine="709"/>
      </w:pPr>
      <w:r w:rsidRPr="00AD1B29">
        <w:t>ж</w:t>
      </w:r>
      <w:r w:rsidR="00AD1B29" w:rsidRPr="00AD1B29">
        <w:t xml:space="preserve">) </w:t>
      </w:r>
      <w:r w:rsidRPr="00AD1B29">
        <w:t>соблюдения требований к охранным зонам электропередачи узлам инженерных коммуникаций и энергоснабжения</w:t>
      </w:r>
      <w:r w:rsidR="00AD1B29" w:rsidRPr="00AD1B29">
        <w:t>.</w:t>
      </w:r>
    </w:p>
    <w:p w:rsidR="00AD1B29" w:rsidRDefault="003053B1" w:rsidP="00AD1B29">
      <w:pPr>
        <w:ind w:firstLine="709"/>
      </w:pPr>
      <w:r w:rsidRPr="00AD1B29">
        <w:t>Большинство погрузочно-разгрузочных операций должны выполнять механизированными способами с применением подьемно-транспортного оборудования и средств механизации</w:t>
      </w:r>
      <w:r w:rsidR="00AD1B29" w:rsidRPr="00AD1B29">
        <w:t xml:space="preserve">. </w:t>
      </w:r>
      <w:r w:rsidRPr="00AD1B29">
        <w:t>Нормативные правовые и нормативно-технические документы, регламентирующие порядок осуществления погрузочно-разгрузочных и сопряженных с ними работ, устанавливают правила использования отдельных видов подъемно-транспортного оборудования</w:t>
      </w:r>
      <w:r w:rsidR="00AD1B29">
        <w:t>.</w:t>
      </w:r>
    </w:p>
    <w:p w:rsidR="00AD1B29" w:rsidRDefault="003053B1" w:rsidP="00AD1B29">
      <w:pPr>
        <w:ind w:firstLine="709"/>
      </w:pPr>
      <w:r w:rsidRPr="00AD1B29">
        <w:t>Если работы осуществляются ручным способом, необходимо соблюдать следующие условия</w:t>
      </w:r>
      <w:r w:rsidR="00AD1B29" w:rsidRPr="00AD1B29">
        <w:t>:</w:t>
      </w:r>
    </w:p>
    <w:p w:rsidR="00AD1B29" w:rsidRDefault="003053B1" w:rsidP="00AD1B29">
      <w:pPr>
        <w:ind w:firstLine="709"/>
      </w:pPr>
      <w:r w:rsidRPr="00AD1B29">
        <w:t>а</w:t>
      </w:r>
      <w:r w:rsidR="00AD1B29" w:rsidRPr="00AD1B29">
        <w:t xml:space="preserve">) </w:t>
      </w:r>
      <w:r w:rsidRPr="00AD1B29">
        <w:t>острые, режущие, колющие изделия и инструменты переносятся только в чехлах, пеналах</w:t>
      </w:r>
      <w:r w:rsidR="00AD1B29" w:rsidRPr="00AD1B29">
        <w:t>;</w:t>
      </w:r>
    </w:p>
    <w:p w:rsidR="00AD1B29" w:rsidRDefault="003053B1" w:rsidP="00AD1B29">
      <w:pPr>
        <w:ind w:firstLine="709"/>
      </w:pPr>
      <w:r w:rsidRPr="00AD1B29">
        <w:t>б</w:t>
      </w:r>
      <w:r w:rsidR="00AD1B29" w:rsidRPr="00AD1B29">
        <w:t xml:space="preserve">) </w:t>
      </w:r>
      <w:r w:rsidRPr="00AD1B29">
        <w:t>грузы в жесткой таре и лед без упаковки переносятся только с использованием рукавиц</w:t>
      </w:r>
      <w:r w:rsidR="00AD1B29" w:rsidRPr="00AD1B29">
        <w:t>;</w:t>
      </w:r>
    </w:p>
    <w:p w:rsidR="00AD1B29" w:rsidRDefault="003053B1" w:rsidP="00AD1B29">
      <w:pPr>
        <w:ind w:firstLine="709"/>
      </w:pPr>
      <w:r w:rsidRPr="00AD1B29">
        <w:t>в</w:t>
      </w:r>
      <w:r w:rsidR="00AD1B29" w:rsidRPr="00AD1B29">
        <w:t xml:space="preserve">) </w:t>
      </w:r>
      <w:r w:rsidRPr="00AD1B29">
        <w:t>грузы в неисправной таре, с торчащими гвоздями, окантовкой и др</w:t>
      </w:r>
      <w:r w:rsidR="00AD1B29" w:rsidRPr="00AD1B29">
        <w:t xml:space="preserve">. </w:t>
      </w:r>
      <w:r w:rsidRPr="00AD1B29">
        <w:t>не допускаются к переноске</w:t>
      </w:r>
      <w:r w:rsidR="00AD1B29" w:rsidRPr="00AD1B29">
        <w:t>;</w:t>
      </w:r>
    </w:p>
    <w:p w:rsidR="00AD1B29" w:rsidRDefault="003053B1" w:rsidP="00AD1B29">
      <w:pPr>
        <w:ind w:firstLine="709"/>
      </w:pPr>
      <w:r w:rsidRPr="00AD1B29">
        <w:t>г</w:t>
      </w:r>
      <w:r w:rsidR="00AD1B29" w:rsidRPr="00AD1B29">
        <w:t xml:space="preserve">) </w:t>
      </w:r>
      <w:r w:rsidRPr="00AD1B29">
        <w:t>стеклянная посуда должна устанавливаться на устойчивые подставки</w:t>
      </w:r>
      <w:r w:rsidR="00AD1B29" w:rsidRPr="00AD1B29">
        <w:t xml:space="preserve">. </w:t>
      </w:r>
      <w:r w:rsidRPr="00AD1B29">
        <w:t>Порожнюю стеклянную тару следует хранить в ящиках с гнездами</w:t>
      </w:r>
      <w:r w:rsidR="00AD1B29" w:rsidRPr="00AD1B29">
        <w:t xml:space="preserve">. </w:t>
      </w:r>
      <w:r w:rsidRPr="00AD1B29">
        <w:t>Нельзя пользоваться битой посудой, имеющей сколы, трещины</w:t>
      </w:r>
      <w:r w:rsidR="00AD1B29" w:rsidRPr="00AD1B29">
        <w:t>;</w:t>
      </w:r>
    </w:p>
    <w:p w:rsidR="00AD1B29" w:rsidRDefault="003053B1" w:rsidP="00AD1B29">
      <w:pPr>
        <w:ind w:firstLine="709"/>
      </w:pPr>
      <w:r w:rsidRPr="00AD1B29">
        <w:t>д</w:t>
      </w:r>
      <w:r w:rsidR="00AD1B29" w:rsidRPr="00AD1B29">
        <w:t xml:space="preserve">) </w:t>
      </w:r>
      <w:r w:rsidRPr="00AD1B29">
        <w:t>для погрузки грузов на транспортные средства или их разгрузки запрещается применять доски толщиной менее 50 мм</w:t>
      </w:r>
      <w:r w:rsidR="00AD1B29" w:rsidRPr="00AD1B29">
        <w:t xml:space="preserve">. </w:t>
      </w:r>
      <w:r w:rsidRPr="00AD1B29">
        <w:t>Для исключения прогиба под доски устанавливаются прочные подпорки</w:t>
      </w:r>
      <w:r w:rsidR="00AD1B29" w:rsidRPr="00AD1B29">
        <w:t xml:space="preserve">. </w:t>
      </w:r>
      <w:r w:rsidRPr="00AD1B29">
        <w:t>Переноска грузчиком допускается при массе груза не более 50 кг</w:t>
      </w:r>
      <w:r w:rsidR="00AD1B29" w:rsidRPr="00AD1B29">
        <w:t>.</w:t>
      </w:r>
    </w:p>
    <w:p w:rsidR="00AD1B29" w:rsidRDefault="003053B1" w:rsidP="00AD1B29">
      <w:pPr>
        <w:ind w:firstLine="709"/>
      </w:pPr>
      <w:r w:rsidRPr="00AD1B29">
        <w:t>Если масса груза превышает 50 кг, но не более 80 кг, то переноска груза грузчиком допускается при условии, что подъем</w:t>
      </w:r>
      <w:r w:rsidR="00AD1B29">
        <w:t xml:space="preserve"> (</w:t>
      </w:r>
      <w:r w:rsidRPr="00AD1B29">
        <w:t>снятие</w:t>
      </w:r>
      <w:r w:rsidR="00AD1B29" w:rsidRPr="00AD1B29">
        <w:t xml:space="preserve">) </w:t>
      </w:r>
      <w:r w:rsidRPr="00AD1B29">
        <w:t>груза производится с помощью других грузчиков</w:t>
      </w:r>
      <w:r w:rsidR="00AD1B29" w:rsidRPr="00AD1B29">
        <w:t xml:space="preserve">. </w:t>
      </w:r>
      <w:r w:rsidRPr="00AD1B29">
        <w:t>Примерные сроки погрузки грузов на автомобиль и разгрузки грузов, а также сроки выполнения дополнительных операций, связанных с погрузкой и разгрузкой грузов, приведены в Приложении к настоящему разделу</w:t>
      </w:r>
      <w:r w:rsidR="00AD1B29" w:rsidRPr="00AD1B29">
        <w:t xml:space="preserve">. </w:t>
      </w:r>
      <w:r w:rsidRPr="00AD1B29">
        <w:t>Время прибытия автомобиля под погрузку исчисляется с момента предъявления шофером путевого листа в пункте погрузки, а время прибытия автомобиля под</w:t>
      </w:r>
      <w:r w:rsidR="00AD1B29">
        <w:t xml:space="preserve"> </w:t>
      </w:r>
      <w:r w:rsidRPr="00AD1B29">
        <w:t>разгрузку</w:t>
      </w:r>
      <w:r w:rsidR="00AD1B29" w:rsidRPr="00AD1B29">
        <w:t xml:space="preserve"> - </w:t>
      </w:r>
      <w:r w:rsidRPr="00AD1B29">
        <w:t>с момента предъявления шофером Товарно-транспортной</w:t>
      </w:r>
      <w:r w:rsidR="00AD1B29">
        <w:t xml:space="preserve"> </w:t>
      </w:r>
      <w:r w:rsidRPr="00AD1B29">
        <w:t>накладной в пункте разгрузки</w:t>
      </w:r>
      <w:r w:rsidR="00AD1B29" w:rsidRPr="00AD1B29">
        <w:t xml:space="preserve">. </w:t>
      </w:r>
      <w:r w:rsidRPr="00AD1B29">
        <w:t>При наличии в пунктах погрузки и разгрузки</w:t>
      </w:r>
      <w:r w:rsidR="00AD1B29">
        <w:t xml:space="preserve"> (</w:t>
      </w:r>
      <w:r w:rsidRPr="00AD1B29">
        <w:t>кроме станций железных дорог</w:t>
      </w:r>
      <w:r w:rsidR="00AD1B29" w:rsidRPr="00AD1B29">
        <w:t xml:space="preserve">) </w:t>
      </w:r>
      <w:r w:rsidRPr="00AD1B29">
        <w:t>въездных ворот, или контрольно-пропускных пунктов, и лабораторий по анализу грузов время прибытия автомобиля под погрузку или разгрузку исчисляется с момента предъявления шофером Путевого листа или товарно-транспортной накладной грузоотправителю или грузополучателю у въездных ворот, или на контрольно-пропускном пункте, или в лаборатории</w:t>
      </w:r>
      <w:r w:rsidR="00AD1B29" w:rsidRPr="00AD1B29">
        <w:t xml:space="preserve">. </w:t>
      </w:r>
      <w:r w:rsidRPr="00AD1B29">
        <w:t>Погрузка и разгрузка считаются законченными после вручения шоферу надлежаще оформленных товарно-транспортных документов на погруженный или выгруженный груз</w:t>
      </w:r>
      <w:r w:rsidR="00AD1B29" w:rsidRPr="00AD1B29">
        <w:t xml:space="preserve">. </w:t>
      </w:r>
      <w:r w:rsidRPr="00AD1B29">
        <w:t>Время пробега автомобиля от ворот или контрольно-пропускного пункта к месту погрузки или разгрузки и обратно исключается при исчислении времени нахождения автомобиля под погрузкой или разгрузкой</w:t>
      </w:r>
      <w:r w:rsidR="00AD1B29" w:rsidRPr="00AD1B29">
        <w:t xml:space="preserve">. </w:t>
      </w:r>
      <w:r w:rsidRPr="00AD1B29">
        <w:t>В случае прибытия автомобиля под погрузку ранее согласованного времени автомобиль считается прибывшим под погрузку в согласованное время, если грузоотправитель не примет его под погрузку, с момента фактического прибытия</w:t>
      </w:r>
      <w:r w:rsidR="00AD1B29" w:rsidRPr="00AD1B29">
        <w:t>.</w:t>
      </w:r>
      <w:r w:rsidR="00AD1B29" w:rsidRPr="00AD1B29">
        <w:rPr>
          <w:b/>
          <w:bCs/>
        </w:rPr>
        <w:t xml:space="preserve"> </w:t>
      </w:r>
      <w:r w:rsidRPr="00AD1B29">
        <w:t>Грузоотправители, грузополучатели обязаны отмечать в товарно-транспортных накладных время прибытия и убытия автомобилей пунктов погрузки и разгрузки</w:t>
      </w:r>
      <w:r w:rsidR="00AD1B29" w:rsidRPr="00AD1B29">
        <w:t xml:space="preserve">. </w:t>
      </w:r>
      <w:r w:rsidRPr="00AD1B29">
        <w:t>Время пробега автомобиля от ворот или контрольно-пропускного пункта до места погрузки или разгрузки и обратно, которое исключается при исчислении времени нахождения автомобиля под погрузкой или разгрузкой, определяется в договоре на перевозку грузов автомобильным транспортом</w:t>
      </w:r>
      <w:r w:rsidR="00AD1B29">
        <w:t>.</w:t>
      </w:r>
    </w:p>
    <w:p w:rsidR="00AD1B29" w:rsidRDefault="003053B1" w:rsidP="00AD1B29">
      <w:pPr>
        <w:ind w:firstLine="709"/>
      </w:pPr>
      <w:r w:rsidRPr="00AD1B29">
        <w:t>Погрузка и разгрузка грузов в части, не предусмотренной Уставом автомобильного транспорта и Общими правилами перевозки грузов автомобильным транспортом, производятся в соответствии с правилами перевозок отдельных видов грузов, а также договором перевозки</w:t>
      </w:r>
      <w:r w:rsidR="00AD1B29" w:rsidRPr="00AD1B29">
        <w:t>.</w:t>
      </w:r>
    </w:p>
    <w:p w:rsidR="003053B1" w:rsidRPr="00AD1B29" w:rsidRDefault="003053B1" w:rsidP="00AD1B29">
      <w:pPr>
        <w:ind w:firstLine="709"/>
      </w:pPr>
      <w:bookmarkStart w:id="0" w:name="_GoBack"/>
      <w:bookmarkEnd w:id="0"/>
    </w:p>
    <w:sectPr w:rsidR="003053B1" w:rsidRPr="00AD1B29" w:rsidSect="00AD1B2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A0B" w:rsidRDefault="00226A0B">
      <w:pPr>
        <w:ind w:firstLine="709"/>
      </w:pPr>
      <w:r>
        <w:separator/>
      </w:r>
    </w:p>
  </w:endnote>
  <w:endnote w:type="continuationSeparator" w:id="0">
    <w:p w:rsidR="00226A0B" w:rsidRDefault="00226A0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B29" w:rsidRDefault="00AD1B29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B29" w:rsidRDefault="00AD1B2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A0B" w:rsidRDefault="00226A0B">
      <w:pPr>
        <w:ind w:firstLine="709"/>
      </w:pPr>
      <w:r>
        <w:separator/>
      </w:r>
    </w:p>
  </w:footnote>
  <w:footnote w:type="continuationSeparator" w:id="0">
    <w:p w:rsidR="00226A0B" w:rsidRDefault="00226A0B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B29" w:rsidRDefault="00844736" w:rsidP="00AD1B29">
    <w:pPr>
      <w:pStyle w:val="a8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AD1B29" w:rsidRDefault="00AD1B29" w:rsidP="00AD1B29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B29" w:rsidRDefault="00AD1B2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F7E4B6D"/>
    <w:multiLevelType w:val="multilevel"/>
    <w:tmpl w:val="B784B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2F41E09"/>
    <w:multiLevelType w:val="multilevel"/>
    <w:tmpl w:val="EE26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3B1"/>
    <w:rsid w:val="001772FA"/>
    <w:rsid w:val="001E6B39"/>
    <w:rsid w:val="00226A0B"/>
    <w:rsid w:val="003053B1"/>
    <w:rsid w:val="00375F78"/>
    <w:rsid w:val="003C03CB"/>
    <w:rsid w:val="003E4238"/>
    <w:rsid w:val="004E2218"/>
    <w:rsid w:val="005C502F"/>
    <w:rsid w:val="0068169F"/>
    <w:rsid w:val="00771875"/>
    <w:rsid w:val="008407E2"/>
    <w:rsid w:val="00844736"/>
    <w:rsid w:val="008C413E"/>
    <w:rsid w:val="00916B9D"/>
    <w:rsid w:val="00AD1B29"/>
    <w:rsid w:val="00D523F2"/>
    <w:rsid w:val="00EC3EF0"/>
    <w:rsid w:val="00F102E7"/>
    <w:rsid w:val="00FC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33B04B6-8639-4048-8D69-DDF6DF95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AD1B2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D1B2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D1B29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AD1B2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D1B2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D1B2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D1B2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D1B2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D1B2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AD1B29"/>
    <w:rPr>
      <w:color w:val="auto"/>
      <w:sz w:val="28"/>
      <w:szCs w:val="28"/>
      <w:u w:val="single"/>
      <w:vertAlign w:val="baseline"/>
    </w:rPr>
  </w:style>
  <w:style w:type="paragraph" w:customStyle="1" w:styleId="a7">
    <w:name w:val="Чертежный"/>
    <w:uiPriority w:val="99"/>
    <w:rsid w:val="00FC027E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table" w:styleId="-1">
    <w:name w:val="Table Web 1"/>
    <w:basedOn w:val="a4"/>
    <w:uiPriority w:val="99"/>
    <w:rsid w:val="00AD1B2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AD1B2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AD1B29"/>
    <w:rPr>
      <w:vertAlign w:val="superscript"/>
    </w:rPr>
  </w:style>
  <w:style w:type="paragraph" w:styleId="a9">
    <w:name w:val="Body Text"/>
    <w:basedOn w:val="a2"/>
    <w:link w:val="ac"/>
    <w:uiPriority w:val="99"/>
    <w:rsid w:val="00AD1B29"/>
    <w:pPr>
      <w:ind w:firstLine="0"/>
    </w:pPr>
  </w:style>
  <w:style w:type="character" w:customStyle="1" w:styleId="ac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AD1B2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e"/>
    <w:uiPriority w:val="99"/>
    <w:rsid w:val="00AD1B2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AD1B29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AD1B2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AD1B2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AD1B29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AD1B29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AD1B29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AD1B2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D1B29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styleId="af5">
    <w:name w:val="page number"/>
    <w:uiPriority w:val="99"/>
    <w:rsid w:val="00AD1B29"/>
  </w:style>
  <w:style w:type="character" w:customStyle="1" w:styleId="af6">
    <w:name w:val="номер страницы"/>
    <w:uiPriority w:val="99"/>
    <w:rsid w:val="00AD1B29"/>
    <w:rPr>
      <w:sz w:val="28"/>
      <w:szCs w:val="28"/>
    </w:rPr>
  </w:style>
  <w:style w:type="paragraph" w:styleId="af7">
    <w:name w:val="Normal (Web)"/>
    <w:basedOn w:val="a2"/>
    <w:uiPriority w:val="99"/>
    <w:rsid w:val="00AD1B29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AD1B29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AD1B29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AD1B2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D1B2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D1B2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D1B29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AD1B2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D1B2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AD1B2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AD1B2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D1B29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D1B29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D1B2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D1B2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D1B2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D1B29"/>
    <w:rPr>
      <w:i/>
      <w:iCs/>
    </w:rPr>
  </w:style>
  <w:style w:type="paragraph" w:customStyle="1" w:styleId="afb">
    <w:name w:val="ТАБЛИЦА"/>
    <w:next w:val="a2"/>
    <w:autoRedefine/>
    <w:uiPriority w:val="99"/>
    <w:rsid w:val="00AD1B29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AD1B29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AD1B29"/>
  </w:style>
  <w:style w:type="table" w:customStyle="1" w:styleId="15">
    <w:name w:val="Стиль таблицы1"/>
    <w:basedOn w:val="a4"/>
    <w:uiPriority w:val="99"/>
    <w:rsid w:val="00AD1B2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AD1B29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AD1B29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AD1B29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AD1B29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AD1B2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погрузки и разгрузки грузов</vt:lpstr>
    </vt:vector>
  </TitlesOfParts>
  <Company>Home</Company>
  <LinksUpToDate>false</LinksUpToDate>
  <CharactersWithSpaces>9714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погрузки и разгрузки грузов</dc:title>
  <dc:subject/>
  <dc:creator>Anemos</dc:creator>
  <cp:keywords/>
  <dc:description/>
  <cp:lastModifiedBy>admin</cp:lastModifiedBy>
  <cp:revision>2</cp:revision>
  <dcterms:created xsi:type="dcterms:W3CDTF">2014-03-10T00:06:00Z</dcterms:created>
  <dcterms:modified xsi:type="dcterms:W3CDTF">2014-03-10T00:06:00Z</dcterms:modified>
</cp:coreProperties>
</file>