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91" w:rsidRPr="009D2356" w:rsidRDefault="00F43F91" w:rsidP="00F43F91">
      <w:pPr>
        <w:spacing w:before="120"/>
        <w:jc w:val="center"/>
        <w:rPr>
          <w:b/>
          <w:bCs/>
          <w:sz w:val="32"/>
          <w:szCs w:val="32"/>
        </w:rPr>
      </w:pPr>
      <w:r w:rsidRPr="009D2356">
        <w:rPr>
          <w:b/>
          <w:bCs/>
          <w:sz w:val="32"/>
          <w:szCs w:val="32"/>
        </w:rPr>
        <w:t>Право как свобода</w:t>
      </w:r>
    </w:p>
    <w:p w:rsidR="00F43F91" w:rsidRPr="009D2356" w:rsidRDefault="00F43F91" w:rsidP="00F43F91">
      <w:pPr>
        <w:spacing w:before="120"/>
        <w:ind w:firstLine="567"/>
        <w:jc w:val="both"/>
        <w:rPr>
          <w:sz w:val="28"/>
          <w:szCs w:val="28"/>
        </w:rPr>
      </w:pPr>
      <w:r w:rsidRPr="009D2356">
        <w:rPr>
          <w:sz w:val="28"/>
          <w:szCs w:val="28"/>
        </w:rPr>
        <w:t>Светлана Михайлова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С принципом формального равенства связано и понимание права</w:t>
      </w:r>
      <w:r>
        <w:t xml:space="preserve"> </w:t>
      </w:r>
      <w:r w:rsidRPr="00536B25">
        <w:t>как формы общественных отношений. Специфика правовой формальности обусловлена тем, что право выступает как форма общественных отношений независимых субъектов, подчиненных в своем поведении, действиях и взаимоотношениях общей норме. Независимость этих субъектов друг от друга в рамках правовой формы их взаимоотношений и одновременно их одинаковая, равная подчиненность общей норме определяют смысл и существо правовой формы бытия и выражения свободы.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Правовая форма свободы, демонстрируя формальный характер равенства, всеобщности и свободы, предполагает и выражает внутреннее сущностное и смысловое единство правовой формальности, всеобщности, равенства и свободы.</w:t>
      </w:r>
    </w:p>
    <w:p w:rsidR="00F43F91" w:rsidRDefault="00F43F91" w:rsidP="00F43F91">
      <w:pPr>
        <w:spacing w:before="120"/>
        <w:ind w:firstLine="567"/>
        <w:jc w:val="both"/>
      </w:pPr>
      <w:r w:rsidRPr="00536B25">
        <w:t>Для всех тех, чьи отношения опосредуются правовой формой, — как бы ни был узок этот правовой круг, — право выступает как всеобщая форма, как общезначимый и равный для всех этих лиц (различных по своему фактическому, физическому, умственному, имущественному положению и т. д.) одинаковый масштаб и мера. В целом всеобщность права как единого и равного (для того или иного круга отношений) масштаба и меры (а именно — меры свободы) означает отрицание произвола и привилегий в рамках этого правового круга.</w:t>
      </w:r>
      <w:r>
        <w:t xml:space="preserve">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Необходимая внутренняя взаимосвязь правового равенства и всеобщности правовой формы очевидна: правовая мера всеобщая лишь в тех пределах и постольку, пока и поскольку она остается единой (и, следовательно, равной) для различных объектов измерения (регуляции), в своей совокупности образующих сферу этой всеобщности, т.е. круг различных отношений, измеряемых общей (единой) мерой.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Всеобщность эта, следовательно, относительна, – она ограничена пределами действия единой меры в различных отношениях. Само равенство здесь состоит в том, что поведение и положение субъектов данного общего круга отношений и явлений подпадают под действие единой (общей, равной) меры.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Такая формальность – внутренне необходимое, а не случайное свойство всякого права. Форма здесь не внешняя оболочка. Она содержательна и единственно возможным способом, точно и адекватно выражает суть опосредуемых данной формой (т.е. охватываемых и регулируемых правом) отношений – меру свободы индивидов по единому масштабу. Своим всеобщим масштабом и равной мерой право измеряет, «отмеряет» и оформляет именно свободу индивидов, свободу в человеческих взаимоотношениях – в действиях поступках словом во внешнем поведении людей. Дозволения и запреты права как раз и представляют собой нормативную структуру и оформленность свободы в общественном бытии людей, пределы достигнутой свободы, границы между свободой и несвободой на соответствующей ступени исторического развития.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Свобода индивидов и свобода их воли – понятия тождественные. Воля в праве – свободная воля, которая соответствует всем сущностным характеристикам права и тем самым отлична от произвольной воли и противостоит произволу. Волевой характер права обусловлен именно тем, что право – это форма свободы людей, т.е. свобода их воли. Этот волевой момент (в той или иной, верной или не верной интерпретации) присутствует в различных определениях и характеристиках права в качестве волеустановленных положений (Аристотель, Гроций и др.), выражения общей воли (Руссо), классовой воли (Маркс и марксисты) и т.д.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Свобода, при всей кажущейся ее простоте, – предмет сложный и для понимания и тем более для практического воплощения в формах, нормах, институтах, процедурах и отношениях общественной жизни.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В своем движении от несвободы к свободе и от одной ступени свободы к более высокой ступени люди и народы не имеют ни прирожденного опыта свободы, ни ясного понимания предстоящей свободы.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Поскольку свобода всегда связана с борьбой за освобождение от прежнего гнета, она прежде всего ассоциируется у большинства с самим процессом высвобождения от прошлого, со</w:t>
      </w:r>
      <w:r>
        <w:t xml:space="preserve"> </w:t>
      </w:r>
      <w:r w:rsidRPr="00536B25">
        <w:t xml:space="preserve">свободой от чего-то (или свободой против чего-то). При таком негативном восприятии свободы кажется, будто освобождение от некоторого известного по прошлому опыту гнета — это освобождение на все будущее от всего негативного и достижение абсолютной свободы и счастья. Подобные иллюзии, абсолютизирующие некую относительную ступень и форму будущей свободы, не только типичны, но, видимо, и социально-психологически необходимы для надлежащей мотивации активной борьбы за нее против прошлого.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При этом даже среди участников процесса освобождения от старого царит разнобой в представлениях о позитивном смысле грядущей свободы, в ответах на вопросы типа: Свобода для чего? Свобода к чему? Какая именно свобода? Конкретные представления по этому кругу проблем формируются позже, так сказать постфактум.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Отмечая различные значения, придаваемые слову «свобода», Монтескье в работе «О духе законов» писал: «Нет слова, которое получило бы столько разнообразных значений и производило бы столь различное впечатление на умы, как слово «свобода». Одни называют свободой легкую возможность низлагать того, кого наделили тиранической властью; другие — право избирать того, кому они должны повиноваться; третьи — право носить оружие и совершать насилие; четвертые — видят ее в привилегии состоять под управлением человека своей национальности или подчиняться своим собственным законам. Некий народ долгое время принимал свободу за обычай носить длинную бороду. Иные соединяют это название с известной формой правления, исключая все прочие</w:t>
      </w:r>
      <w:r w:rsidRPr="00536B25">
        <w:footnoteReference w:id="1"/>
      </w:r>
      <w:r w:rsidRPr="00536B25">
        <w:t>[1].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Тем, кто высвободился из тисков прежней несвободы, свобода кажется вольницей, мягким податливым материалом, из которого можно лепить все, что душа пожелает и воображение подскажет.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Пафос такого настроения удачно выражен в поэтической строчке В. Хлебникова: «Свобода приходит нагая». Но такой она только грезится. На самом деле свобода приходит в мир и утверждается в нем в невидимом, но прочном одеянии права. Это, конечно, более скучная материя — правопорядок, дозволения и запреты, правонарушения, ответственность и т. д.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Но такова действительность свободы.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Какой-либо другой формы бытия и выражения свободы в общественной жизни людей, кроме правовой, человечество до сих пор не изобрело. Да это и невозможно ни логически, ни практически. Так же невозможно, как и другая «арифметика», где бы дважды два равнялось не четырем, а пяти или чему-то другому.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Люди свободны в меру их равенства и равны в меру их свободы.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Неправовая свобода, свобода без всеобщего масштаба и единой меры, словом, так называемая «свобода» без равенства — это идеология элитарных привилегий, а так называемое «равенство» без свободы – идеология рабов и угнетенных масс (с требованиями иллюзорного «фактического равенства», подменой равенства уравниловкой и т. д.). Или свобода (в правовой форме), или произвол (в тех иных проявлениях). Третьего здесь не дано: неправо (и несвобода) — всегда произвол.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От сюда и многоликость произвола (от «мягких» до самых жестких, тиранических и тоталитарных проявлений). Дело в том, что у права (и правовой формы свободы) есть свой, только ему внутренне</w:t>
      </w:r>
      <w:r>
        <w:t xml:space="preserve"> </w:t>
      </w:r>
      <w:r w:rsidRPr="00536B25">
        <w:t>присущий, специфический принцип — принцип формального равенства. У произвола же нет своего принципа; его принципом, если можно так выразиться, является как раз отсутствие правового принципа, отступления от этого принципа, его нарушение и игнорирование. Бесправная свобода — это произвол, тирания, насилие.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Фундаментальное значение свободы для человеческого бытия выражает вместе с тем место и роль права в общественной жизни людей. Наблюдаемый в истории прогрессирующий процесс освобождения людей от различных форм личной зависимости, угнетения и подавления — это одновременно и правовой прогресс, прогресс правовых (и государственно-правовых) формах выражения, существования и защиты этой развивающейся свободы. В этом смысле можно сказать, что всемирная история представляет собой прогрессирующее движение ко все большей свободе все большего числа людей. С правовой же точки зрения этот процесс означает, что все большее число людей (представители все новых слоев и классов общества) признаются формально равными субъектами права.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Историческое развитие свободы и права в человеческих отношениях</w:t>
      </w:r>
      <w:r>
        <w:t xml:space="preserve"> </w:t>
      </w:r>
      <w:r w:rsidRPr="00536B25">
        <w:t>представляет собой, таким образом,</w:t>
      </w:r>
      <w:r>
        <w:t xml:space="preserve"> </w:t>
      </w:r>
      <w:r w:rsidRPr="00536B25">
        <w:t>прогресс равенства людей в качестве формально (юридически) свободных личностей. Через механизм права — формального (правового) равенства — первоначально несвободная масса людей постепенно, в ходе исторического развития преобразуется в свободных индивидов. Правовое равенство делает свободу возможной и действительной во всеобщей нормативно-правовой форме, в виде определенного правопорядка.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Об этом убедительно свидетельствует практический и духовный развития свободы, права, равенства и справедливости в человеческих отношениях.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Между тем повсеместно довольно широко распространены представления о противоположности права и свободы, права и справедливости,</w:t>
      </w:r>
      <w:r>
        <w:t xml:space="preserve"> </w:t>
      </w:r>
      <w:r w:rsidRPr="00536B25">
        <w:t>права и равенства. Они обусловлены во многом тем, что под правом имеют в виду любые веления власти, законодательство, которое зачастую носит антиправовой, произвольный, насильственный характер.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Нередко свобода противопоставляется равенству. Здесь можно выделить несколько направлений критики равенства (по сути дела — правового равенства) с позиций той или иной концепции свободы.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Так, уже ряд софистов младшего поколения (Пол, Калликл, Критий) отвергали правовое равенство с позиций аристократических и тиранических представлений о свободе как праве «лучших» на привилегии и произвол, как праве сильных господствовать над, слабыми и т. д.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Аналогичный подход в XIX в. развивал Ф. Ницше. Религиозно-аристократическую концепцию «свободы личности» (в духе апологии неравенства и критики равенства) обосновывал в XX в. Н.А. Бердяев</w:t>
      </w:r>
      <w:r w:rsidRPr="00536B25">
        <w:footnoteReference w:id="2"/>
      </w:r>
      <w:r w:rsidRPr="00536B25">
        <w:t>[2].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В отличие от аристократической критики правового равенства «сверху» (в пользу элитарных версий свободы) марксистское отрицание правового равенства и права в целом идет «снизу» (в целях всеобщего прыжка в коммунистическое «царство свободы», утверждения «фактического равенства» и т. д.).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В наши дни широко распространено представление (ошибочное и опасное), будто «суть перемен, которые идут в России и в посткоммунистических странах» (т. е. их «модернизация»), состоит «в переходе от логики равенства к логике свободы»</w:t>
      </w:r>
      <w:r w:rsidRPr="00536B25">
        <w:footnoteReference w:id="3"/>
      </w:r>
      <w:r w:rsidRPr="00536B25">
        <w:t>[3]. Тут социализм с его уравниловкой (т. е. антиподом права и равенства) предстает как царство равенства, от которого надо перейти в царство свободы без равенства.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В этих и сходных противопоставлениях свободы и равенства данным явлениям и понятиям по существу придается (в силу ошибки, социальных интересов и т. д.) произвольное значение.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Если речь действительно идет о свободе, а не о привилегиях, произволе, деспотизме, то она просто невозможна без принципа и норм равенства, без общего правила, единого масштаба и равной меры свободы, т. е. без права, вне правовой формы. Свобода не только не противоположна равенству (а именно — правовому равенству), но, напротив, она выразима лишь с помощью равенства и воплощена в этом равенстве. Свобода и равенство неотделимы и взаимно предполагают друг друга. С одной стороны, исходной и определяющей фигурой свободы в ее человеческом измерении является свободный индивид — необходимая основа правоспособности и правосубъектности вообще; с другой стороны, эту свободу индивидов можно выразить лишь через всеобщий принцип и нормы равенства этих индивидов в определенной сфере и форме их взаимоотношений.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Право не просто всеобщий масштаб и равная мера, а всеобщий масштаб и равная мера именно и прежде всего свободы индивидов.</w:t>
      </w:r>
      <w:r>
        <w:t xml:space="preserve"> </w:t>
      </w:r>
      <w:r w:rsidRPr="00536B25">
        <w:t>Свободные индивиды — «материя», носители, суть и смысл права. Там, где отрицается свободная индивидуальность, личность, правовое значение физического лица, там нет и не может права (и правового принципа формального равенства), там не может быть и каких-то действительно правовых индивидуальных и иных (групповых, коллективных, институциональных и т. д.) субъектов права, действительно правовых законов и правовых отношений и в обществе в целом, и в различных конкретных сферах общественной и политической жизни.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Эти положения в полной мере относятся и к такой существенной сфере жизнедеятельности общества, как экономика и производство, как отношения собственности в целом.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Сама возможность наличия начал свободы, права, равенства людей в сфере экономической жизни общества с необходимостью связана с признанием правоспособности (а, следовательно, и свободы, независимости, самостоятельности) индивида в отношениях собственности, т. е. признания за индивидом способности быть субъектом права собственности на средства производства.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Здесь особо следует подчеркнуть то обстоятельство, что именно отношения по поводу средств производства образуют содержание, смысл и суть экономических отношений. Там, где сложились и действуют правовые формы экономических отношений, где, следовательно, признано и функционирует право собственности индивида на средства производства, там и другие (непроизводственные) объекты, включая предметы личного потребления, вовлекаются в сферу правовых отношений собственности, становятся объектом права собственности.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Но собственность на предметы потребления носит вторичный, производный характер, зависящий от наличия или отсутствия, признанности или не признанности в соответствующем обществе права собственности индивидов на средства производства.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Индивид как субъект права собственности (и прежде всего — на средства производства) — исходная база и непременное предварительное условие для возможности также и других, неиндивидуальных (групповых и т. д.) субъектов права собственности («юридических лиц»).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В целом право собственности — это свобода индивидов и других субъектов социальной жизни, причем свобода в ее адекватной правовой форме и, что особо важно подчеркнуть, свобода в такой существенной сфере общественной жизни, как отношение к средствам производства, экономика в целом.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Исторический прогресс свободы и права свидетельствует о том, что формирование и развитие свободной, независимой, правовой личности необходимым образом связаны с признанием человека субъектом отношений собственности, собственником средств производства. Собственность является не просто одной из форм и направлений выражения свободы и права человека, но она образует собой вообще цивилизованную почву для свободы и права. Где полностью отрицается право индивидуальной собственности на средства производства, там не только нет, но и в принципе невозможны свобода и право.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 xml:space="preserve">В логике таких взаимосвязей собственности, свободы и права коренятся глубинные причины несовместимости социализма (всеобщий запрет частной собственности, ее обобществление и т. д.) с правом и свободой. </w:t>
      </w:r>
    </w:p>
    <w:p w:rsidR="00F43F91" w:rsidRPr="00536B25" w:rsidRDefault="00F43F91" w:rsidP="00F43F91">
      <w:pPr>
        <w:spacing w:before="120"/>
        <w:ind w:firstLine="567"/>
        <w:jc w:val="both"/>
      </w:pPr>
      <w:r w:rsidRPr="00536B25">
        <w:t>Этой же логикой определяется фундаментальное значение десоциализации собственности во всем процессе перехода от тоталитарного социализма к началам права и свободы.</w:t>
      </w:r>
    </w:p>
    <w:p w:rsidR="00B42C45" w:rsidRDefault="00B42C45">
      <w:bookmarkStart w:id="0" w:name="_GoBack"/>
      <w:bookmarkEnd w:id="0"/>
    </w:p>
    <w:sectPr w:rsidR="00B42C45" w:rsidSect="00B42C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91" w:rsidRDefault="00F43F91">
      <w:r>
        <w:separator/>
      </w:r>
    </w:p>
  </w:endnote>
  <w:endnote w:type="continuationSeparator" w:id="0">
    <w:p w:rsidR="00F43F91" w:rsidRDefault="00F43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91" w:rsidRDefault="00F43F91">
      <w:r>
        <w:separator/>
      </w:r>
    </w:p>
  </w:footnote>
  <w:footnote w:type="continuationSeparator" w:id="0">
    <w:p w:rsidR="00F43F91" w:rsidRDefault="00F43F91">
      <w:r>
        <w:continuationSeparator/>
      </w:r>
    </w:p>
  </w:footnote>
  <w:footnote w:id="1">
    <w:p w:rsidR="00875C4B" w:rsidRDefault="00875C4B" w:rsidP="00F43F91"/>
  </w:footnote>
  <w:footnote w:id="2">
    <w:p w:rsidR="00875C4B" w:rsidRDefault="00875C4B" w:rsidP="00F43F91"/>
  </w:footnote>
  <w:footnote w:id="3">
    <w:p w:rsidR="00875C4B" w:rsidRDefault="00875C4B" w:rsidP="00F43F9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91"/>
    <w:rsid w:val="00536B25"/>
    <w:rsid w:val="00616072"/>
    <w:rsid w:val="00875C4B"/>
    <w:rsid w:val="009D2356"/>
    <w:rsid w:val="00B42C45"/>
    <w:rsid w:val="00C9412F"/>
    <w:rsid w:val="00F43F91"/>
    <w:rsid w:val="00FE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FA08B7B-D6E5-4916-8E61-52B864C4C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F91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F43F91"/>
    <w:rPr>
      <w:rFonts w:ascii="Arial" w:hAnsi="Arial" w:cs="Arial"/>
      <w:color w:val="004B99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9309</Words>
  <Characters>5307</Characters>
  <Application>Microsoft Office Word</Application>
  <DocSecurity>0</DocSecurity>
  <Lines>44</Lines>
  <Paragraphs>29</Paragraphs>
  <ScaleCrop>false</ScaleCrop>
  <Company>Home</Company>
  <LinksUpToDate>false</LinksUpToDate>
  <CharactersWithSpaces>14587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 как свобода</dc:title>
  <dc:subject/>
  <dc:creator>User</dc:creator>
  <cp:keywords/>
  <dc:description/>
  <cp:lastModifiedBy>admin</cp:lastModifiedBy>
  <cp:revision>2</cp:revision>
  <dcterms:created xsi:type="dcterms:W3CDTF">2014-01-25T13:26:00Z</dcterms:created>
  <dcterms:modified xsi:type="dcterms:W3CDTF">2014-01-25T13:26:00Z</dcterms:modified>
</cp:coreProperties>
</file>