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E2" w:rsidRPr="00476D2C" w:rsidRDefault="00326023" w:rsidP="00476D2C">
      <w:pPr>
        <w:spacing w:line="360" w:lineRule="auto"/>
        <w:ind w:firstLine="709"/>
        <w:jc w:val="both"/>
        <w:rPr>
          <w:b/>
        </w:rPr>
      </w:pPr>
      <w:r w:rsidRPr="00476D2C">
        <w:rPr>
          <w:b/>
        </w:rPr>
        <w:t>СОДЕРЖАНИЕ</w:t>
      </w:r>
    </w:p>
    <w:p w:rsidR="00326023" w:rsidRPr="00476D2C" w:rsidRDefault="00326023" w:rsidP="00476D2C">
      <w:pPr>
        <w:spacing w:line="360" w:lineRule="auto"/>
        <w:ind w:firstLine="709"/>
        <w:jc w:val="both"/>
      </w:pPr>
    </w:p>
    <w:p w:rsidR="00326023" w:rsidRPr="00476D2C" w:rsidRDefault="00326023" w:rsidP="00476D2C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476D2C">
        <w:rPr>
          <w:bCs/>
        </w:rPr>
        <w:fldChar w:fldCharType="begin"/>
      </w:r>
      <w:r w:rsidRPr="00476D2C">
        <w:rPr>
          <w:bCs/>
        </w:rPr>
        <w:instrText xml:space="preserve"> TOC \o "1-3" \h \z \u </w:instrText>
      </w:r>
      <w:r w:rsidRPr="00476D2C">
        <w:rPr>
          <w:bCs/>
        </w:rPr>
        <w:fldChar w:fldCharType="separate"/>
      </w:r>
      <w:hyperlink w:anchor="_Toc150843015" w:history="1">
        <w:r w:rsidRPr="00476D2C">
          <w:rPr>
            <w:rStyle w:val="a8"/>
            <w:bCs/>
            <w:noProof/>
          </w:rPr>
          <w:t>1. Правовые основы безопасности жизнедеятельности</w:t>
        </w:r>
      </w:hyperlink>
    </w:p>
    <w:p w:rsidR="00326023" w:rsidRPr="00476D2C" w:rsidRDefault="00011D9B" w:rsidP="00476D2C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hyperlink w:anchor="_Toc150843016" w:history="1">
        <w:r w:rsidR="00326023" w:rsidRPr="00476D2C">
          <w:rPr>
            <w:rStyle w:val="a8"/>
            <w:bCs/>
            <w:noProof/>
          </w:rPr>
          <w:t>2. Законодательные основы охраны труда</w:t>
        </w:r>
      </w:hyperlink>
    </w:p>
    <w:p w:rsidR="00326023" w:rsidRPr="00476D2C" w:rsidRDefault="00011D9B" w:rsidP="00476D2C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hyperlink w:anchor="_Toc150843017" w:history="1">
        <w:r w:rsidR="00326023" w:rsidRPr="00476D2C">
          <w:rPr>
            <w:rStyle w:val="a8"/>
            <w:bCs/>
            <w:noProof/>
          </w:rPr>
          <w:t xml:space="preserve">3. </w:t>
        </w:r>
        <w:r w:rsidR="00326023" w:rsidRPr="00476D2C">
          <w:rPr>
            <w:rStyle w:val="a8"/>
            <w:bCs/>
            <w:iCs/>
            <w:noProof/>
          </w:rPr>
          <w:t xml:space="preserve">Инструкции по охране труда </w:t>
        </w:r>
        <w:r w:rsidR="00326023" w:rsidRPr="00476D2C">
          <w:rPr>
            <w:rStyle w:val="a8"/>
            <w:bCs/>
            <w:noProof/>
          </w:rPr>
          <w:t>на предприятии</w:t>
        </w:r>
      </w:hyperlink>
    </w:p>
    <w:p w:rsidR="00326023" w:rsidRPr="00476D2C" w:rsidRDefault="00011D9B" w:rsidP="00476D2C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hyperlink w:anchor="_Toc150843018" w:history="1">
        <w:r w:rsidR="00326023" w:rsidRPr="00476D2C">
          <w:rPr>
            <w:rStyle w:val="a8"/>
            <w:bCs/>
            <w:noProof/>
          </w:rPr>
          <w:t>4. Государственный надзор и общественный контроль за охраной труда</w:t>
        </w:r>
      </w:hyperlink>
    </w:p>
    <w:p w:rsidR="00326023" w:rsidRPr="00476D2C" w:rsidRDefault="00011D9B" w:rsidP="00476D2C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hyperlink w:anchor="_Toc150843019" w:history="1">
        <w:r w:rsidR="00326023" w:rsidRPr="00476D2C">
          <w:rPr>
            <w:rStyle w:val="a8"/>
            <w:bCs/>
            <w:noProof/>
          </w:rPr>
          <w:t>Список литературы</w:t>
        </w:r>
      </w:hyperlink>
    </w:p>
    <w:p w:rsidR="007E781C" w:rsidRPr="00476D2C" w:rsidRDefault="00326023" w:rsidP="00476D2C">
      <w:pPr>
        <w:spacing w:line="360" w:lineRule="auto"/>
        <w:ind w:left="709"/>
        <w:jc w:val="both"/>
        <w:rPr>
          <w:b/>
        </w:rPr>
      </w:pPr>
      <w:r w:rsidRPr="00476D2C">
        <w:rPr>
          <w:bCs/>
        </w:rPr>
        <w:fldChar w:fldCharType="end"/>
      </w:r>
      <w:r w:rsidR="007E781C" w:rsidRPr="00476D2C">
        <w:br w:type="page"/>
      </w:r>
      <w:bookmarkStart w:id="0" w:name="_Toc150843015"/>
      <w:r w:rsidR="007E781C" w:rsidRPr="00476D2C">
        <w:rPr>
          <w:b/>
        </w:rPr>
        <w:t>1. Правовые основы безопасности жизнедеятельности</w:t>
      </w:r>
      <w:bookmarkEnd w:id="0"/>
      <w:r w:rsidR="007E781C" w:rsidRPr="00476D2C">
        <w:rPr>
          <w:b/>
        </w:rPr>
        <w:t xml:space="preserve"> </w:t>
      </w:r>
    </w:p>
    <w:p w:rsidR="00476D2C" w:rsidRPr="00476D2C" w:rsidRDefault="00476D2C" w:rsidP="00476D2C">
      <w:pPr>
        <w:spacing w:line="360" w:lineRule="auto"/>
        <w:ind w:firstLine="709"/>
        <w:jc w:val="both"/>
        <w:rPr>
          <w:lang w:val="en-US"/>
        </w:rPr>
      </w:pPr>
    </w:p>
    <w:p w:rsidR="00326023" w:rsidRPr="00476D2C" w:rsidRDefault="00326023" w:rsidP="00476D2C">
      <w:pPr>
        <w:spacing w:line="360" w:lineRule="auto"/>
        <w:ind w:firstLine="709"/>
        <w:jc w:val="both"/>
      </w:pPr>
      <w:r w:rsidRPr="00476D2C">
        <w:t xml:space="preserve">Правовые основы безопасности жизнедеятельности имеют иерархическое строение, то есть требования верхних уровней должны быть учтены при разработке нижних, конкретных подзаконных актов.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Государства, входящие в межгосударственные объединения (например, ООН), должны учитывать международные соглашения и декларации при разработке своего внутреннего правового поля. Так, например, в Конституции должны быть учтены такие статьи "Всеобщей декларации прав человека" как: </w:t>
      </w:r>
    </w:p>
    <w:p w:rsidR="007E781C" w:rsidRPr="00476D2C" w:rsidRDefault="007E781C" w:rsidP="00476D2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76D2C">
        <w:t xml:space="preserve">статья N 3 "Каждый человек имеет право на жизнь..."; </w:t>
      </w:r>
    </w:p>
    <w:p w:rsidR="007E781C" w:rsidRPr="00476D2C" w:rsidRDefault="007E781C" w:rsidP="00476D2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76D2C">
        <w:t xml:space="preserve">статья N 23 "Каждый человек имеет право на труд, на свободный выбор работы, на справедливые и благоприятные условия..." и т.п.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Упрощенно существующую иерархию в правовом пространстве БЖД можно представить следующим образом.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 xml:space="preserve">Высший уровень иерархии представлен Конституцией Российской Федерации, принятой 12 декабря 1993 года. Конституция РФ включает ряд статей, посвящённых охране труда, природы и здоровья человека.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 xml:space="preserve">Кодексы законов и отдельные законы РФ. Так, например, 9 декабря 1971 года был принят кодекс законов о труде Российской Федерации (КЗоТ РФ), а 23 июня 1999 года принят федеральный закон "Об основах охраны труда в Российской Федерации".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 xml:space="preserve">Указы и распоряжения Президента РФ.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 xml:space="preserve">Постановления и распоряжения Правительства РФ;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 xml:space="preserve">Система стандартов безопасности труда (ССБТ), строительные нормы и правила (СНиП), санитарные нормы (СН), санитарные правила (СП), гигиенические нормы (ГН), санитарные правила и нормы (СанПиН) и др. </w:t>
      </w:r>
    </w:p>
    <w:p w:rsidR="007E781C" w:rsidRPr="00476D2C" w:rsidRDefault="007E781C" w:rsidP="00476D2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76D2C">
        <w:t>Инструкции, правила, памятки, руководства, методические указания и т.п. Высшая судебная власть в России осуществляется Конституционным Судом РФ, Верховным Судом РФ и Высшим Арбитражным Судом РФ. Надзор за исполнением законности осуществляет институт прокуратуры РФ.</w:t>
      </w:r>
    </w:p>
    <w:p w:rsidR="007E781C" w:rsidRPr="008B12D1" w:rsidRDefault="007E781C" w:rsidP="00476D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6D2C">
        <w:rPr>
          <w:rFonts w:ascii="Times New Roman" w:hAnsi="Times New Roman" w:cs="Times New Roman"/>
          <w:sz w:val="28"/>
          <w:szCs w:val="28"/>
        </w:rPr>
        <w:br w:type="page"/>
      </w:r>
      <w:bookmarkStart w:id="1" w:name="2.2"/>
      <w:bookmarkStart w:id="2" w:name="_Toc150843016"/>
      <w:bookmarkEnd w:id="1"/>
      <w:r w:rsidRPr="00476D2C">
        <w:rPr>
          <w:rFonts w:ascii="Times New Roman" w:hAnsi="Times New Roman" w:cs="Times New Roman"/>
          <w:sz w:val="28"/>
          <w:szCs w:val="28"/>
        </w:rPr>
        <w:t>2. Законодательные основы охраны труда</w:t>
      </w:r>
      <w:bookmarkEnd w:id="2"/>
    </w:p>
    <w:p w:rsidR="00476D2C" w:rsidRDefault="00476D2C" w:rsidP="00476D2C">
      <w:pPr>
        <w:spacing w:line="360" w:lineRule="auto"/>
        <w:ind w:firstLine="709"/>
        <w:jc w:val="both"/>
        <w:rPr>
          <w:lang w:val="en-US"/>
        </w:rPr>
      </w:pPr>
    </w:p>
    <w:p w:rsidR="007E781C" w:rsidRPr="008B12D1" w:rsidRDefault="007E781C" w:rsidP="00476D2C">
      <w:pPr>
        <w:spacing w:line="360" w:lineRule="auto"/>
        <w:ind w:firstLine="709"/>
        <w:jc w:val="both"/>
      </w:pPr>
      <w:r w:rsidRPr="00476D2C">
        <w:t>В основном законе нашего государства. Конституции Российской Федерации, принцип охраны труда определён в статье 37: "...Каждый имеет право на труд в условиях, отвечающих требовани</w:t>
      </w:r>
      <w:r w:rsidR="008B12D1">
        <w:t>ям безопасности и гигиены...".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В "Кодексе законов о труде Российской Федерации" отражены следующие вопросы: </w:t>
      </w:r>
    </w:p>
    <w:p w:rsidR="007E781C" w:rsidRPr="00476D2C" w:rsidRDefault="007E781C" w:rsidP="00476D2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76D2C">
        <w:t xml:space="preserve">в главе Х - "Охрана труда"; </w:t>
      </w:r>
    </w:p>
    <w:p w:rsidR="007E781C" w:rsidRPr="00476D2C" w:rsidRDefault="007E781C" w:rsidP="00476D2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76D2C">
        <w:t xml:space="preserve">в главе XI - "Труд женщин"; </w:t>
      </w:r>
    </w:p>
    <w:p w:rsidR="007E781C" w:rsidRPr="00476D2C" w:rsidRDefault="007E781C" w:rsidP="00476D2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76D2C">
        <w:t xml:space="preserve">в главе XII - "Труд молодёжи".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Основные принципы государственной политики в области охраны труда представлены в федеральном законе РФ "Об основах охраны труда в Российской Федерации", принятом 23 июня 1999 года. В частности: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признание приоритета жизни и здоровья работника по отношению к результатам производственной деятельности;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государственное управление и координация деятельности в области охраны труда, государственный надзор и контроль за соблюдением требований охраны труда;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установление единых нормативных требований по охране труда для предприятий всех форм собственности;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обеспечение общественного контроля за соблюдением законодательства в области охраны труда;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обязательность расследования несчастных случаев на производстве и профессиональных заболеваний;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обучение безопасным методам труда и подготовка специалистов в области охраны труда; </w:t>
      </w:r>
    </w:p>
    <w:p w:rsidR="007E781C" w:rsidRPr="00476D2C" w:rsidRDefault="007E781C" w:rsidP="00476D2C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476D2C">
        <w:t xml:space="preserve">гарантирование компенсаций за вред, причинённый работникам другие принципы.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Дополнительные условия охраны труда рассматриваются при составлении коллективного договора и контракта, т.е. индивидуального трудового договора (КЗоТ РФ, глава 3).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Правительством Российской Федерации 12 августа 1994 года принято постановление N937 "О государственных нормативных требованиях по охране труда в Российской Федерация", которым утверждён перечень видов нормативных правовых актов, содержащих государственные нормативные требования по охране труда в Российской Федерации.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Этим же постановлением установлено, что в Российской Федерации действует система нормативных правовых актов, содержащих единые нормативные требования по охране труда, обязательные для применения при проектировании, строительстве (реконструкции) и эксплуатации объектов, конструировании машин, механизмов и оборудования, разработке технологических процессов, организации производства и труда.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Согласно постановлению, можно выделить следующие виды нормативных правовых актов по охране труда (в скобках приводятся сокращённые обозначения).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Государственные стандарты Системы Стандартов Безопасности Труда (ГОСТ Р ССБТ) - утверждают Госстандарт России и Минстрой России.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Отраслевые стандарты системы стандартов безопасности труда (ОСТ ССБТ) - утверждают федеральные органы исполнительной власти.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Санитарные правила (СП), санитарные нормы (СН), гигиенические нормативы (ГН) и санитарные правила и нормы (СанПиН) - утверждает Госкомсанэпиднадзор России.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Строительные нормы и правила (СНиП) - утверждает Минстрой России.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Правила безопасности (ПБ), правила устройства и безопасной эксплуатации (ПУБЭ), инструкции по безопасности (ИБ) - утверждают федеральные органы надзора в соответствии с их компетенцией.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Правила по охране труда межотраслевые (ПОТ М) - утверждает Минтруд России.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Межотраслевые организационно-методические документы (положения, рекомендации, указания) - утверждают Минтруд России и федеральные органы надзора.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Правила по охране труда отраслевые (ПОТ О) - утверждают федеральные органы исполнительной власти.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Типовые отраслевые инструкции по охране труда (ТОИ) - утверждают федеральные органы исполнительной власти. </w:t>
      </w:r>
    </w:p>
    <w:p w:rsidR="007E781C" w:rsidRPr="00476D2C" w:rsidRDefault="007E781C" w:rsidP="00476D2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76D2C">
        <w:t xml:space="preserve">Отраслевые организационно-методические документы (положения, указания, рекомендации) - утверждают федеральные органы исполнительной власти.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Органы исполнительной власти субъектов Российской Федерации на основе государственных нормативных правовых актов, содержащих требования по охране труда, разрабатывают и утверждают соответствующие нормативные правовые акты по охране труда.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Предприятия, учреждения и организации разрабатывают и утверждают стандарты предприятия системы стандартов безопасности труда (СТП ССБТ), инструкции по охране труда для работников и на отдельные виды работ (ИОТ) на основе государственных нормативных правовых актов и соответствующих нормативных правовых актов субъектов Российской Федерации.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>Профессиональные союзы и иные уполномоченные работниками представительные органы имеют право принимать участие в разработке и согласовании нормативных правовых актов по охране труда.</w:t>
      </w:r>
    </w:p>
    <w:p w:rsidR="007E781C" w:rsidRPr="00476D2C" w:rsidRDefault="007E781C" w:rsidP="00476D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2C">
        <w:rPr>
          <w:rFonts w:ascii="Times New Roman" w:hAnsi="Times New Roman" w:cs="Times New Roman"/>
          <w:sz w:val="28"/>
          <w:szCs w:val="28"/>
        </w:rPr>
        <w:br w:type="page"/>
      </w:r>
      <w:bookmarkStart w:id="3" w:name="2.4"/>
      <w:bookmarkStart w:id="4" w:name="_Toc150843017"/>
      <w:bookmarkEnd w:id="3"/>
      <w:r w:rsidR="00C645EB" w:rsidRPr="00476D2C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476D2C">
        <w:rPr>
          <w:rFonts w:ascii="Times New Roman" w:hAnsi="Times New Roman" w:cs="Times New Roman"/>
          <w:sz w:val="28"/>
          <w:szCs w:val="28"/>
        </w:rPr>
        <w:t xml:space="preserve">. </w:t>
      </w:r>
      <w:r w:rsidR="00C645EB" w:rsidRPr="00476D2C">
        <w:rPr>
          <w:rFonts w:ascii="Times New Roman" w:hAnsi="Times New Roman" w:cs="Times New Roman"/>
          <w:iCs/>
          <w:sz w:val="28"/>
          <w:szCs w:val="28"/>
        </w:rPr>
        <w:t>Инструкци</w:t>
      </w:r>
      <w:r w:rsidR="00C645EB" w:rsidRPr="00476D2C">
        <w:rPr>
          <w:rFonts w:ascii="Times New Roman" w:hAnsi="Times New Roman" w:cs="Times New Roman"/>
          <w:bCs w:val="0"/>
          <w:iCs/>
          <w:sz w:val="28"/>
          <w:szCs w:val="28"/>
        </w:rPr>
        <w:t>и</w:t>
      </w:r>
      <w:r w:rsidR="00C645EB" w:rsidRPr="00476D2C">
        <w:rPr>
          <w:rFonts w:ascii="Times New Roman" w:hAnsi="Times New Roman" w:cs="Times New Roman"/>
          <w:iCs/>
          <w:sz w:val="28"/>
          <w:szCs w:val="28"/>
        </w:rPr>
        <w:t xml:space="preserve"> по охране труда </w:t>
      </w:r>
      <w:r w:rsidRPr="00476D2C">
        <w:rPr>
          <w:rFonts w:ascii="Times New Roman" w:hAnsi="Times New Roman" w:cs="Times New Roman"/>
          <w:sz w:val="28"/>
          <w:szCs w:val="28"/>
        </w:rPr>
        <w:t>на предприятии</w:t>
      </w:r>
      <w:bookmarkEnd w:id="4"/>
    </w:p>
    <w:p w:rsidR="00476D2C" w:rsidRDefault="00476D2C" w:rsidP="00476D2C">
      <w:pPr>
        <w:spacing w:line="360" w:lineRule="auto"/>
        <w:ind w:firstLine="709"/>
        <w:jc w:val="both"/>
        <w:rPr>
          <w:lang w:val="en-US"/>
        </w:rPr>
      </w:pP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>Сложность современного производства требует комплексного подхода к охране труда. В этих условиях предприятие решает следующие задачи: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 xml:space="preserve">обучение работающих вопросам охраны труда; 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>обеспечение безопасности производственного оборудования;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 xml:space="preserve">обеспечение безопасности зданий и сооружений; 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>обеспечение работающих средствами индивидуальной защиты;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>обеспечение оптимальных режимов труда и отдыха;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>обеспечение безопасности производственных процессов;</w:t>
      </w:r>
    </w:p>
    <w:p w:rsidR="007E781C" w:rsidRPr="00476D2C" w:rsidRDefault="007E781C" w:rsidP="00476D2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76D2C">
        <w:t xml:space="preserve">нормализация условий труда и др.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Одним из важнейших направлений охраны труда на предприятиях является обеспечение работников инструкциями по охране труда. Данная работа должна осуществляться в соответствии с "Методическими указаниями по разработке правил и инструкций по охране труда", утверждёнными постановлением Минтруда РФ N 129 от 1 июля 1993 года.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rPr>
          <w:b/>
          <w:bCs/>
          <w:i/>
          <w:iCs/>
        </w:rPr>
        <w:t xml:space="preserve">Инструкция по охране труда </w:t>
      </w:r>
      <w:r w:rsidRPr="00476D2C">
        <w:t>- 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обязанности.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Инструкции по охране труда могут быть типовые (отраслевые) для работников предприятий, участков и конкретного рабочего места. Инструкции по охране труда разрабатываются на основе межотраслевых и отраслевых правил по охране труда и не должны им противоречить.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Утверждённые инструкции для работников учитываются службой охраны труда предприятия в журнале учёта. Надзор и контроль за соблюдением правил и инструкций по охране труда осуществляется федеральными органами надзора.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Инструкции для работников по профессиям и на отдельные виды работ разрабатываются в соответствии с утверждённым работодателем перечнем, который составляется при участии руководителей подразделений, служб главных специалистов и др. Разработка инструкций для работников осуществляется на основе приказа работодателя.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Инструкции для работников </w:t>
      </w:r>
      <w:r w:rsidRPr="00476D2C">
        <w:rPr>
          <w:b/>
          <w:bCs/>
          <w:i/>
          <w:iCs/>
        </w:rPr>
        <w:t xml:space="preserve">разрабатываются руководителями подразделений </w:t>
      </w:r>
      <w:r w:rsidRPr="00476D2C">
        <w:t xml:space="preserve">(цехов, отделов, лабораторий и др.).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Служба охраны труда организации осуществляет контроль за своевременной разработкой и пересмотром инструкций для работников, а также оказывает методическую помощь разработчикам.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Типовая инструкция и инструкция для работников должны содержать следующие разделы: </w:t>
      </w:r>
    </w:p>
    <w:p w:rsidR="007E781C" w:rsidRPr="00476D2C" w:rsidRDefault="007E781C" w:rsidP="00476D2C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76D2C">
        <w:t xml:space="preserve">общие требования безопасности; </w:t>
      </w:r>
    </w:p>
    <w:p w:rsidR="007E781C" w:rsidRPr="00476D2C" w:rsidRDefault="007E781C" w:rsidP="00476D2C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76D2C">
        <w:t xml:space="preserve">требования безопасности перед началом работ; </w:t>
      </w:r>
    </w:p>
    <w:p w:rsidR="007E781C" w:rsidRPr="00476D2C" w:rsidRDefault="007E781C" w:rsidP="00476D2C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76D2C">
        <w:t xml:space="preserve">требования безопасности во время работы; </w:t>
      </w:r>
    </w:p>
    <w:p w:rsidR="007E781C" w:rsidRPr="00476D2C" w:rsidRDefault="007E781C" w:rsidP="00476D2C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76D2C">
        <w:t xml:space="preserve">требования безопасности в аварийных ситуациях; </w:t>
      </w:r>
    </w:p>
    <w:p w:rsidR="007E781C" w:rsidRPr="00476D2C" w:rsidRDefault="007E781C" w:rsidP="00476D2C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76D2C">
        <w:t xml:space="preserve">требования безопасности по окончанию работы.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Инструкции для работников не должны содержать ссылок на какие-либо нормативные акты, кроме ссылок на другие инструкции для работников, действующие на данном предприятии. В инструкциях не должны применяться слова, подчёркивающие особое значение отдельных требований (например, "категорически", "особенно", "строго" и т.п.), так как все требования инструкции должны выполняться работниками в равной степени. Замена слов в тексте буквенным сокращением допускается при условии полной расшифровки.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Если безопасность выполнения работы обусловлена определёнными нормами, то они должны быть указаны в инструкции (величина зазора, расстояния и т.п.).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Проверка инструкций на соответствие требованиям действующих государственных стандартов, санитарных норм и правил должна проводиться не реже одного раза в 5 лет.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Проверка инструкций для работников по профессиям или по видам работ, связанным с повышенной опасностью, должна проводиться не реже одного раза в 3 года.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Если в течение срока действия инструкции условия труда работников на предприятии не изменились, то приказом работодателя действие инструкции продлевается на следующий год, о чём делается запись на первой странице инструкции (штамп "Пересмотрено", дата и подпись лица, ответственного за пересмотр инструкции).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Выдача инструкций руководителям подразделений организации производится службой охраны труда с регистрацией в журнале учёта выдачи инструкций.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У руководителя подразделения организации должен постоянно храниться комплект действующих в подразделении инструкций для работников всех профессий и по всем видам работ.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Инструкции работникам могут быть выданы на руки под расписку в личной карточке инструктажа для изучения при первичном инструктаже, либо вывешены на рабочих местах или участках, либо храниться в ином месте, доступном для работников.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>Контроль организации охраны труда на предприятии осуществляется: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работодателем и руководителями подразделений; 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через совместный административно-общественный контроль; 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через контроль вышестоящей организации; 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инспекторами государственного специального надзора (Госгортехнадзор, Госэнергонадзор, Госсанэпиднадзор, Госатомнадзор и др.); 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инспекторами государственной службы по охране труда (государственные инспекторы Рострудинспекции и работники подразделения по охране труда органа по труду субъекта Федерации); </w:t>
      </w:r>
    </w:p>
    <w:p w:rsidR="007E781C" w:rsidRPr="00476D2C" w:rsidRDefault="007E781C" w:rsidP="00476D2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76D2C">
        <w:t xml:space="preserve">через смотры по охране труда и технике безопасности. </w:t>
      </w:r>
    </w:p>
    <w:p w:rsidR="007E781C" w:rsidRPr="00476D2C" w:rsidRDefault="007E781C" w:rsidP="00476D2C">
      <w:pPr>
        <w:pStyle w:val="1"/>
        <w:spacing w:before="0"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6D2C">
        <w:rPr>
          <w:rFonts w:ascii="Times New Roman" w:hAnsi="Times New Roman" w:cs="Times New Roman"/>
          <w:sz w:val="28"/>
          <w:szCs w:val="28"/>
        </w:rPr>
        <w:br w:type="page"/>
      </w:r>
      <w:bookmarkStart w:id="5" w:name="2.6"/>
      <w:bookmarkStart w:id="6" w:name="_Toc150843018"/>
      <w:bookmarkEnd w:id="5"/>
      <w:r w:rsidR="00C645EB" w:rsidRPr="00476D2C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476D2C">
        <w:rPr>
          <w:rFonts w:ascii="Times New Roman" w:hAnsi="Times New Roman" w:cs="Times New Roman"/>
          <w:sz w:val="28"/>
          <w:szCs w:val="28"/>
        </w:rPr>
        <w:t>. Государственный надзор и общественный контроль за охраной труда</w:t>
      </w:r>
      <w:bookmarkEnd w:id="6"/>
    </w:p>
    <w:p w:rsidR="00476D2C" w:rsidRPr="00476D2C" w:rsidRDefault="00476D2C" w:rsidP="00476D2C">
      <w:pPr>
        <w:spacing w:line="360" w:lineRule="auto"/>
        <w:ind w:firstLine="709"/>
        <w:jc w:val="both"/>
      </w:pP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В основе государственного надзора и общественного контроля за охраной труда лежит законодательная база: "Конституция РФ", федеральный закон "Об основах охраны труда в РФ", "КЗоТ РФ", а также ряд указов Президента РФ, постановления Правительства РФ, Министерства труда РФ и др.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Общий надзор за исполнением законов о труде и охране труда в Российской Федерации осуществляет прокуратура.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Указом Президента РФ N850 от 4 мая 1994 года государственный надзор и контроль за соблюдением законодательства РФ о труде и охране труда возложен на Федеральную инспекцию труда при Министерстве труда РФ. В настоящее время Федеральная инспекция труда действует в соответствии с "Положением о Федеральной инспекции труда", утвержденным постановлением Правительства РФ N78 от 28 января 2000 года.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В соответствии с данным "Положением", государственные правовые инспекторы труда и государственные инспекторы по охране труда имеют право: </w:t>
      </w:r>
    </w:p>
    <w:p w:rsidR="007E781C" w:rsidRPr="00476D2C" w:rsidRDefault="007E781C" w:rsidP="00476D2C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76D2C">
        <w:t xml:space="preserve">беспрепятственно посещать любые предприятия, проводить расследования несчастных случаев на предприятиях; </w:t>
      </w:r>
    </w:p>
    <w:p w:rsidR="007E781C" w:rsidRPr="00476D2C" w:rsidRDefault="007E781C" w:rsidP="00476D2C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76D2C">
        <w:t xml:space="preserve">получать информацию, приостанавливать работу; </w:t>
      </w:r>
    </w:p>
    <w:p w:rsidR="007E781C" w:rsidRPr="00476D2C" w:rsidRDefault="007E781C" w:rsidP="00476D2C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476D2C">
        <w:t xml:space="preserve">выдавать должностным лицам предприятий обязательные для исполнения предписания и налагать штрафы на должностных лиц, виновных в нарушении законодательных и иных нормативных актов по охране труда.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Постановлением Министерства труда РФ N58 от 30 октября 1995 года утверждено "Примерное положение о подразделении по охране труда органа исполнительной власти по труду субъекта РФ". В соответствии с этим положением, работники данного подразделения осуществляют управление, руководство и организацию в области охраны труда на соответствующей территории субъекта Федерации. Для осуществления своих обязанностей эти работники имеют соответствующие права и полномочия: </w:t>
      </w:r>
    </w:p>
    <w:p w:rsidR="007E781C" w:rsidRPr="00476D2C" w:rsidRDefault="007E781C" w:rsidP="00476D2C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476D2C">
        <w:t xml:space="preserve">беспрепятственно посещать предприятия всех форм собственности независимо от сферы хозяйственной деятельности и ведомственной подчинённости; </w:t>
      </w:r>
    </w:p>
    <w:p w:rsidR="007E781C" w:rsidRPr="00476D2C" w:rsidRDefault="007E781C" w:rsidP="00476D2C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476D2C">
        <w:t xml:space="preserve">получать необходимую информацию. </w:t>
      </w:r>
    </w:p>
    <w:p w:rsidR="007E781C" w:rsidRPr="00476D2C" w:rsidRDefault="007E781C" w:rsidP="00476D2C">
      <w:pPr>
        <w:spacing w:line="360" w:lineRule="auto"/>
        <w:ind w:firstLine="709"/>
        <w:jc w:val="both"/>
      </w:pPr>
      <w:r w:rsidRPr="00476D2C">
        <w:t xml:space="preserve">Общественный контроль осуществляют профсоюзы или иные представительные органы коллектива и, в соответствии с федеральным законом "Об основах охраны труда в Российской Федерации" (ст. 22) и "Рекомендациями по организации работы уполномоченного (доверенного) лица по охране труда профессионального союза или трудового коллектива" (утверждёнными Постановлением Минтруда РФ N30 от 8 апреля 1994 года), имеют право: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 xml:space="preserve">контролировать выполнение работодателем законодательства по охране труда;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 xml:space="preserve">проводить независимую экспертизу условий труда и обеспечения безопасности работников предприятия;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 xml:space="preserve">принимать участие в расследовании несчастных случаев на производстве, а также осуществлять самостоятельное их расследование, получать информацию о состоянии условий и охраны труда на предприятии;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 xml:space="preserve">предъявлять требования о приостановке работ при угрозе жизни и здоровью работников, выдавать работодателю обязательные к рассмотрению представления по устранению выявленных нарушений законодательства об охране труда;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 xml:space="preserve">контролировать выполнение коллективного договора в пунктах, где отражены вопросы условий труда и охраны труда, принимать участие при разработке нормативных актов по охране труда; </w:t>
      </w:r>
    </w:p>
    <w:p w:rsidR="007E781C" w:rsidRPr="00476D2C" w:rsidRDefault="007E781C" w:rsidP="00476D2C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476D2C">
        <w:t>обращаться в соответствующие органы о привлечении к ответственности должностных лиц, виновных в нарушениях требований по охране труда, принимать участие в рассмотрении трудовых споров по охране труда.</w:t>
      </w:r>
    </w:p>
    <w:p w:rsidR="007E781C" w:rsidRDefault="007E781C" w:rsidP="00476D2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6D2C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50843019"/>
      <w:r w:rsidRPr="00476D2C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7"/>
    </w:p>
    <w:p w:rsidR="00476D2C" w:rsidRPr="00476D2C" w:rsidRDefault="00476D2C" w:rsidP="00476D2C">
      <w:pPr>
        <w:rPr>
          <w:lang w:val="en-US"/>
        </w:rPr>
      </w:pP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Безопасность</w:t>
      </w:r>
      <w:r w:rsidR="008B12D1">
        <w:t xml:space="preserve"> </w:t>
      </w:r>
      <w:r w:rsidRPr="00476D2C">
        <w:t>жизнедеятельности. Конспект лекций. Ч. 2/ П.Г. Белов, А.Ф. Козьяков. С.В. Белов и др.; Под ред. С.В. Белова. –М.: ВАСОТ. 1993.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Безопасность жизнедеятельности/ Н.Г. Занько. Г.А. Корсаков, К. Р. Малаян и др. Под ред. О.Н. Русака. –С.-П.: Изд-во Петербургской лесотехнической академии, 1996.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Белов С.В., Морозова Л.Л., Сивков В.П. Безопасность жизнедеятельности. Ч. 1.–-М. ВАСОТ, 1992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Белов С.В. Безопасность жизнедеятельности–наука о выживании в техносфсре –М.: ВИНИТИ, Обзорная информация. Проблемы безопасности при чрезвычайных ситуациях, 1996. вып. 1.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Белов С.В. Техносфера: аспекты безопасности и экологичности. – М.: Вестник МГТУ. 1998, сер. ЕН.№1.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Небел Б. Наука об окружающей среде. Как устроен мир. Т. 1: Пер с англ. – М.: Мир, 1993.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Рамад Ф. Основы прикладной экологии: Пер. с франц. –Л.: Гидрометеоиздат, 1981.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Реймерс Н.Ф. Надежды на выживание человечества. Концептуальная экология. –М.: изд-во ИЦ «Россия молодая» –Экология, 1992.</w:t>
      </w:r>
    </w:p>
    <w:p w:rsidR="00326023" w:rsidRPr="00476D2C" w:rsidRDefault="00326023" w:rsidP="00476D2C">
      <w:pPr>
        <w:numPr>
          <w:ilvl w:val="0"/>
          <w:numId w:val="12"/>
        </w:numPr>
        <w:spacing w:line="360" w:lineRule="auto"/>
        <w:ind w:left="1418" w:hanging="709"/>
        <w:jc w:val="both"/>
      </w:pPr>
      <w:r w:rsidRPr="00476D2C">
        <w:t>Русак О.Н. Введение в охрану труда. –Л.: изд-во Ленинград, лесотехнической академии, 1982.</w:t>
      </w:r>
      <w:bookmarkStart w:id="8" w:name="_GoBack"/>
      <w:bookmarkEnd w:id="8"/>
    </w:p>
    <w:sectPr w:rsidR="00326023" w:rsidRPr="00476D2C" w:rsidSect="00476D2C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43" w:rsidRDefault="00CE0043">
      <w:r>
        <w:separator/>
      </w:r>
    </w:p>
  </w:endnote>
  <w:endnote w:type="continuationSeparator" w:id="0">
    <w:p w:rsidR="00CE0043" w:rsidRDefault="00C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23" w:rsidRDefault="00326023" w:rsidP="00DF69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023" w:rsidRDefault="00326023" w:rsidP="003260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43" w:rsidRDefault="00CE0043">
      <w:r>
        <w:separator/>
      </w:r>
    </w:p>
  </w:footnote>
  <w:footnote w:type="continuationSeparator" w:id="0">
    <w:p w:rsidR="00CE0043" w:rsidRDefault="00CE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39D"/>
    <w:multiLevelType w:val="multilevel"/>
    <w:tmpl w:val="95E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5AF0"/>
    <w:multiLevelType w:val="multilevel"/>
    <w:tmpl w:val="061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BBA4171"/>
    <w:multiLevelType w:val="multilevel"/>
    <w:tmpl w:val="B12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728A0"/>
    <w:multiLevelType w:val="multilevel"/>
    <w:tmpl w:val="653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2444B"/>
    <w:multiLevelType w:val="multilevel"/>
    <w:tmpl w:val="58B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B3FAA"/>
    <w:multiLevelType w:val="multilevel"/>
    <w:tmpl w:val="31D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F7919"/>
    <w:multiLevelType w:val="multilevel"/>
    <w:tmpl w:val="0F96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877496"/>
    <w:multiLevelType w:val="multilevel"/>
    <w:tmpl w:val="D10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97D1A"/>
    <w:multiLevelType w:val="multilevel"/>
    <w:tmpl w:val="2AE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61449"/>
    <w:multiLevelType w:val="multilevel"/>
    <w:tmpl w:val="B124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D8328C"/>
    <w:multiLevelType w:val="multilevel"/>
    <w:tmpl w:val="D8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81C"/>
    <w:rsid w:val="00011D9B"/>
    <w:rsid w:val="000C238D"/>
    <w:rsid w:val="00152F38"/>
    <w:rsid w:val="00326023"/>
    <w:rsid w:val="003762D8"/>
    <w:rsid w:val="0041297E"/>
    <w:rsid w:val="00476D2C"/>
    <w:rsid w:val="005E6F88"/>
    <w:rsid w:val="00742A0A"/>
    <w:rsid w:val="007E781C"/>
    <w:rsid w:val="008B12D1"/>
    <w:rsid w:val="00B23CE2"/>
    <w:rsid w:val="00BE2858"/>
    <w:rsid w:val="00C14AA2"/>
    <w:rsid w:val="00C645EB"/>
    <w:rsid w:val="00CE0043"/>
    <w:rsid w:val="00CF0739"/>
    <w:rsid w:val="00DB446E"/>
    <w:rsid w:val="00DB794A"/>
    <w:rsid w:val="00DF69A5"/>
    <w:rsid w:val="00F76B45"/>
    <w:rsid w:val="00FA1EAB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623FBF-566C-4BED-B800-6E1A79D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E7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C645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2602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32602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26023"/>
  </w:style>
  <w:style w:type="character" w:styleId="a8">
    <w:name w:val="Hyperlink"/>
    <w:uiPriority w:val="99"/>
    <w:rsid w:val="0032602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76D2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476D2C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15833</CharactersWithSpaces>
  <SharedDoc>false</SharedDoc>
  <HLinks>
    <vt:vector size="30" baseType="variant"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_Toc150843019</vt:lpwstr>
      </vt:variant>
      <vt:variant>
        <vt:i4>1572917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_Toc150843018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_Toc150843017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_Toc150843016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_Toc150843015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</dc:creator>
  <cp:keywords/>
  <dc:description/>
  <cp:lastModifiedBy>Irina</cp:lastModifiedBy>
  <cp:revision>2</cp:revision>
  <dcterms:created xsi:type="dcterms:W3CDTF">2014-08-13T13:31:00Z</dcterms:created>
  <dcterms:modified xsi:type="dcterms:W3CDTF">2014-08-13T13:31:00Z</dcterms:modified>
</cp:coreProperties>
</file>