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87" w:rsidRPr="00393B26" w:rsidRDefault="0029037E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93B26">
        <w:rPr>
          <w:rFonts w:ascii="Times New Roman" w:hAnsi="Times New Roman"/>
          <w:b/>
          <w:sz w:val="28"/>
          <w:szCs w:val="24"/>
        </w:rPr>
        <w:t>Введение</w:t>
      </w:r>
    </w:p>
    <w:p w:rsidR="0029037E" w:rsidRPr="00393B26" w:rsidRDefault="0029037E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Процесс регулирования и развития, а также состояние современной правовой базы контрольно</w:t>
      </w:r>
      <w:r w:rsidR="003F1A08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-</w:t>
      </w:r>
      <w:r w:rsidR="003F1A08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счетной деятельности до сих пор не отвечают потребностям экономического развития страны и ее регионов. Это выражается в первую очередь в отсутствии необходимых правовых актов и несогласованности имеющихся, в противоречивости содержащихся в них норм и нечеткости формулировок прав и обязанностей, принципов и дефиниций.</w:t>
      </w:r>
    </w:p>
    <w:p w:rsidR="00CC7BDF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Эти явления продолжают иметь место даже в условиях увеличивающегося количества нормативных актов, так или иначе затрагивающих или касающихся вопросов контрольно-счетной деятельности. По утверждению A.M. Тарасова, «на федеральном уровне принято более 260 различных нормативных правовых актов, в частности, законов Российской Федерации, указов Президента РФ постановлений, распоряжений Правительства РФ, в которых определены субъекты, объекты контроля. их цели, задачи, права, обязанности, функции. Это свидетел</w:t>
      </w:r>
      <w:r w:rsidR="00AB3089" w:rsidRPr="00393B26">
        <w:rPr>
          <w:rFonts w:ascii="Times New Roman" w:hAnsi="Times New Roman"/>
          <w:bCs/>
          <w:sz w:val="28"/>
          <w:szCs w:val="24"/>
        </w:rPr>
        <w:t>ьствует об их многочисленности»</w:t>
      </w:r>
      <w:r w:rsidRPr="00393B26">
        <w:rPr>
          <w:rFonts w:ascii="Times New Roman" w:hAnsi="Times New Roman"/>
          <w:bCs/>
          <w:sz w:val="28"/>
          <w:szCs w:val="24"/>
        </w:rPr>
        <w:t xml:space="preserve">. Наблюдается парадокс, суть которого заключается в том, что количество нормативных актов растет, а качество правового регулирования падает. 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связи с этим возникает необходимость выявить причины, устранить их и предложить более эффективные модели и варианты правового регулирования и осуществления контрольно-счетной деятельности. Объективности ради следует подчеркнуть, что аналогичные картины наблюдаются не только в сфере правового регулирования контрольной деятельности, но и в других сферах. Однако это не освобождает от обязанности решать обозначенную проблему.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br w:type="page"/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393B26">
        <w:rPr>
          <w:rFonts w:ascii="Times New Roman" w:hAnsi="Times New Roman"/>
          <w:b/>
          <w:bCs/>
          <w:sz w:val="28"/>
          <w:szCs w:val="24"/>
        </w:rPr>
        <w:t>1</w:t>
      </w:r>
      <w:r w:rsidR="0029037E" w:rsidRPr="00393B26">
        <w:rPr>
          <w:rFonts w:ascii="Times New Roman" w:hAnsi="Times New Roman"/>
          <w:b/>
          <w:bCs/>
          <w:sz w:val="28"/>
          <w:szCs w:val="24"/>
        </w:rPr>
        <w:t>.</w:t>
      </w:r>
      <w:r w:rsidRPr="00393B26">
        <w:rPr>
          <w:rFonts w:ascii="Times New Roman" w:hAnsi="Times New Roman"/>
          <w:b/>
          <w:bCs/>
          <w:sz w:val="28"/>
          <w:szCs w:val="24"/>
        </w:rPr>
        <w:t xml:space="preserve"> Необходимость теоретической концепции финансового контроля в госуда</w:t>
      </w:r>
      <w:r w:rsidR="0029037E" w:rsidRPr="00393B26">
        <w:rPr>
          <w:rFonts w:ascii="Times New Roman" w:hAnsi="Times New Roman"/>
          <w:b/>
          <w:bCs/>
          <w:sz w:val="28"/>
          <w:szCs w:val="24"/>
        </w:rPr>
        <w:t>рстве</w:t>
      </w:r>
    </w:p>
    <w:p w:rsidR="0029037E" w:rsidRPr="00393B26" w:rsidRDefault="0029037E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последние годы идет интенсивное обсуждение вопросов создания механизмов контроля над финансовыми потоками и распоряжением собственностью на уровне муниципальных образований, процесс юридического оформления которых в стране еще не завершен.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Существующая в стране система органов и служб, на которые возложены функции финансового контроля, не отвечает требованиям и условиям дальнейшего экономического развития государства. Наблюдается разобщенность и несогласованность во взаимодействии различных контролирующих инстанций, что приводит, с одной стороны, к дублированию и параллелизму в осуществлении контрольных проверок, с другой — к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тому, что отдельные получатели бюджетных средств длительное время не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подвергаются финансовому контролю. В результате создаются благоприятные условия для нарушения принципов и правил финансового контроля, для совершения финансовых правонарушений и безответственности лиц, их совершивших.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связи с этим мы разделяем мнение В. В. Бурцева о том, что «отсутствие обшей для всех ветвей власти единой концепции Г'ФК в Российской Федерации, неразработанность основных направлений формирования методологической базы и методического обеспечения контроля, неурегулированность многих организационных вопросов взаимодействия и координации контрольных органов, неразработанность основных направлений развития внутреннего, ведомственного и регионального контроля (контроля на региональном уровне), отсутствие единого подхода к основным понятиям ГФК и многое другое (споры по поводу определения основных субъектов ГФК — «межведомственная борьба», — отсутствие концепции стандартизации ГФК и т. д.) не позволяет придать нормативному обеспечению ГФК в системе исполнительной власти цельный, системн</w:t>
      </w:r>
      <w:r w:rsidR="00CC7BDF" w:rsidRPr="00393B26">
        <w:rPr>
          <w:rFonts w:ascii="Times New Roman" w:hAnsi="Times New Roman"/>
          <w:bCs/>
          <w:sz w:val="28"/>
          <w:szCs w:val="24"/>
        </w:rPr>
        <w:t>ый и завершенный характер»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Необходимо добавить, что перечисленные аргументы в равной степени относятся не только к контролирующим структурам в системе исполнительной власти, но обнаруживаются и в регулировании деятельности органов независимого финансового контроля, и, может быть, даже в большей степени в силу его молодого возраста в современной России.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Таким образом, становится очевидным, что в юридической литературе проблема правового регулирования организации и деятельности органов ГФК в настоящее время стоит необычайно остро. Ученые озабочены тем, что контрольная деятельность в России дезорганизована и малоэффективна. Законодательная база финансового контроля еще не сложилась. Она представляет собой хаотичный и спонтанный конгломерат разноуровневых правоу</w:t>
      </w:r>
      <w:r w:rsidR="00CC7BDF" w:rsidRPr="00393B26">
        <w:rPr>
          <w:rFonts w:ascii="Times New Roman" w:hAnsi="Times New Roman"/>
          <w:bCs/>
          <w:sz w:val="28"/>
          <w:szCs w:val="24"/>
        </w:rPr>
        <w:t>ст</w:t>
      </w:r>
      <w:r w:rsidRPr="00393B26">
        <w:rPr>
          <w:rFonts w:ascii="Times New Roman" w:hAnsi="Times New Roman"/>
          <w:bCs/>
          <w:sz w:val="28"/>
          <w:szCs w:val="24"/>
        </w:rPr>
        <w:t>ановлений, не складывающихся в более или менее организованную систему. Даже официальная концепция осуществления ГФК в России лосих пор не сформулирована.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Как справедливо отмечает по этому поводу Н. Д. Погосян, «государство не предприняло практически никаких усилий для изменения форм и методов осуществления государственного контроля» |6).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Поэтому первоочередной задачей предлагается разработка и принятие на уровне постановления Государственной Думы или указа Президента Российской Федерации общефедерал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ьной </w:t>
      </w:r>
      <w:r w:rsidRPr="00393B26">
        <w:rPr>
          <w:rFonts w:ascii="Times New Roman" w:hAnsi="Times New Roman"/>
          <w:bCs/>
          <w:sz w:val="28"/>
          <w:szCs w:val="24"/>
        </w:rPr>
        <w:t>концепции государственного контроля. Составной частью и продолжением этой концепции должны стать основополагающие теоретические положения, предназначенные для осуществления региональной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контрольно-счетной деятельности субъектов Российской Федерации.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 учетом изложенного становится очевидной необходимость теоретического обоснования концепции финансового контроля в государстве в целом, а также в его субъектах, которая должна основываться на постулатах контрольной политики России и служить основой для формирования и совершенствования -законодательной базы контрольно-счетной деятельности. Особое звучание эта проблема приобретает в субъектах страны.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Уже неоднократно поднимался вопрос о разработке концепции контрольной деятельности в разных </w:t>
      </w:r>
      <w:r w:rsidR="00CC7BDF" w:rsidRPr="00393B26">
        <w:rPr>
          <w:rFonts w:ascii="Times New Roman" w:hAnsi="Times New Roman"/>
          <w:bCs/>
          <w:sz w:val="28"/>
          <w:szCs w:val="24"/>
        </w:rPr>
        <w:t>ее</w:t>
      </w:r>
      <w:r w:rsidRPr="00393B26">
        <w:rPr>
          <w:rFonts w:ascii="Times New Roman" w:hAnsi="Times New Roman"/>
          <w:bCs/>
          <w:sz w:val="28"/>
          <w:szCs w:val="24"/>
        </w:rPr>
        <w:t xml:space="preserve"> вариациях. Как было сказано ранее, В. В. Бурцев указывает на необходимость разработки концепции ГФК: «необходим документ, комплексно и системно решающий все основные вопросы ГФК, правовое обеспечение которых в действующих нормативно-правовых актах отсутствует либо разработано л ишь частично» |7|. В ином, обобщенно-расширенном варианте идея концептуального обеспечения высказана A.M. Тарасовым. «Таким образом, пишет автор, в настоящее время накопился комплекс проблем, связанных с недостатками в обеспечении эффективного государственного контроля, в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том числе обусловленных отсутствием базового Федерального закона «О государственном контроле в РФ», а также «Концепции о государственном контроле в РФ» |8|.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Обсуждаются также вопросы концептуального обеспечения системы нормативно-правовых актов о ГФК и другие аспекты концептуальной проблематики. Таким образом, мы имеем дело с несколькими видами концепций. Применительно к контрольной деятельности речь идет о концепции государственного контроля в широком смысле этого слова и о концепции ГФК. Продолжая этот ряд, необходимо дополнить его предложением о разработке концепции правового регулирования и осуществления региональной контрольно-счетной деятельности в субъектах Российской Федерации, поскольку она имеет весьма существенные особенности и отличительные черты не только в сравнении с федеральным уровнем, но и в отдельных субъектах России.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Следует отмстить, что в настоящий момент уже разработаны концептуальные основы в различных сферах управленческой жизни. Правительством РФ принимались определенные меры и по разработке концепции государственного контроля еще в 1997 - 1998гг. Однако они не были доведены до конца. Вместе с тем данный вопрос по-прежнему не утрачивает своей актуальности.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В этой связи мы согласны с мнением Ю. А. Тихомирова о необходимости разработки и принятия Федерального закона «О государственном контроле в РФ», поскольку именно в нем найдут отражение нормы о региональной </w:t>
      </w:r>
      <w:r w:rsidR="00CC7BDF" w:rsidRPr="00393B26">
        <w:rPr>
          <w:rFonts w:ascii="Times New Roman" w:hAnsi="Times New Roman"/>
          <w:bCs/>
          <w:sz w:val="28"/>
          <w:szCs w:val="24"/>
        </w:rPr>
        <w:t>конт</w:t>
      </w:r>
      <w:r w:rsidRPr="00393B26">
        <w:rPr>
          <w:rFonts w:ascii="Times New Roman" w:hAnsi="Times New Roman"/>
          <w:bCs/>
          <w:sz w:val="28"/>
          <w:szCs w:val="24"/>
        </w:rPr>
        <w:t>рольно-сч</w:t>
      </w:r>
      <w:r w:rsidR="00CC7BDF" w:rsidRPr="00393B26">
        <w:rPr>
          <w:rFonts w:ascii="Times New Roman" w:hAnsi="Times New Roman"/>
          <w:bCs/>
          <w:sz w:val="28"/>
          <w:szCs w:val="24"/>
        </w:rPr>
        <w:t>е</w:t>
      </w:r>
      <w:r w:rsidRPr="00393B26">
        <w:rPr>
          <w:rFonts w:ascii="Times New Roman" w:hAnsi="Times New Roman"/>
          <w:bCs/>
          <w:sz w:val="28"/>
          <w:szCs w:val="24"/>
        </w:rPr>
        <w:t>тной деятельности ранее, чем в других федеральных законах.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 xml:space="preserve">A.M. Тарасовым обоснованы и достаточно подробно охарактеризованы основные положения концепции государственного контроля, которая построена на сравнительно-сопоставительном анализе различных институтов власти, наделенных контрольными полномочиями. При разработке концепции и проекта Федерального закона «О </w:t>
      </w:r>
      <w:r w:rsidR="00CC7BDF" w:rsidRPr="00393B26">
        <w:rPr>
          <w:rFonts w:ascii="Times New Roman" w:hAnsi="Times New Roman"/>
          <w:bCs/>
          <w:sz w:val="28"/>
          <w:szCs w:val="24"/>
        </w:rPr>
        <w:t>госу</w:t>
      </w:r>
      <w:r w:rsidRPr="00393B26">
        <w:rPr>
          <w:rFonts w:ascii="Times New Roman" w:hAnsi="Times New Roman"/>
          <w:bCs/>
          <w:sz w:val="28"/>
          <w:szCs w:val="24"/>
        </w:rPr>
        <w:t>дарственном контроле в РФ» целесообразно учесть ряд общих положений (требований), таких как:</w:t>
      </w:r>
    </w:p>
    <w:p w:rsidR="00670F37" w:rsidRPr="00393B26" w:rsidRDefault="00670F37" w:rsidP="00AB3089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правовые, организационные и методические основы функционирования системы государственного контроля (данный пункт вряд ли следует предлагать в качестве требования, подлежащего учету, поскольку сама концепция должна содержать такие основы, поэтому ее формирование и есть не что иное, как создание таких основ);</w:t>
      </w:r>
    </w:p>
    <w:p w:rsidR="00670F37" w:rsidRPr="00393B26" w:rsidRDefault="00670F37" w:rsidP="0029037E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приоритеты развития и совершенствования государственного контроля в части оптимизации механизма координации и взаимодействия всех элементов системы госконтроля;</w:t>
      </w:r>
    </w:p>
    <w:p w:rsidR="00670F37" w:rsidRPr="00393B26" w:rsidRDefault="00670F37" w:rsidP="0029037E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создание действенного правового и организационного механизма взаимоотношений государственных контрольных органов с Генеральной прокуратурой Российской Федерации, налоговыми, финансовыми и правоохранительными органами исполнительной власти (данная позиция нуждается в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более масштабном подходе, она должна быть сориентирована и на другие государственные органы);</w:t>
      </w:r>
    </w:p>
    <w:p w:rsidR="00670F37" w:rsidRPr="00393B26" w:rsidRDefault="00670F37" w:rsidP="0029037E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определение общих и частных процедур административного и финансового контроля с учетом таких </w:t>
      </w:r>
      <w:r w:rsidR="00CC7BDF" w:rsidRPr="00393B26">
        <w:rPr>
          <w:rFonts w:ascii="Times New Roman" w:hAnsi="Times New Roman"/>
          <w:bCs/>
          <w:sz w:val="28"/>
          <w:szCs w:val="24"/>
        </w:rPr>
        <w:t>норм</w:t>
      </w:r>
      <w:r w:rsidRPr="00393B26">
        <w:rPr>
          <w:rFonts w:ascii="Times New Roman" w:hAnsi="Times New Roman"/>
          <w:bCs/>
          <w:sz w:val="28"/>
          <w:szCs w:val="24"/>
        </w:rPr>
        <w:t xml:space="preserve"> контроля, как проверка, ревизия, инспектирование, надзорные мероприятия (представляется недопустимым упускать из виду процедуры другой отраслевой направленности, а также процессуальное обеспечение других видов финансового контроля, применяемого в 1хэсударствс);</w:t>
      </w:r>
    </w:p>
    <w:p w:rsidR="00670F37" w:rsidRPr="00393B26" w:rsidRDefault="00670F37" w:rsidP="0029037E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исторический опыт государственного контроля в России и апробированный опыт зарубежных стран;</w:t>
      </w:r>
    </w:p>
    <w:p w:rsidR="00670F37" w:rsidRPr="00393B26" w:rsidRDefault="00670F37" w:rsidP="0029037E">
      <w:pPr>
        <w:numPr>
          <w:ilvl w:val="0"/>
          <w:numId w:val="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конкретное и научно обоснованное применение правовых и других терминов и понятий, связанных с контрольной деятельностью.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Последние два пункта возражений не вызывают. Кроме перечисленных обстоятельств цитируемый автор предлагает при формировании концепции учесть признаки, принципы, функции, задачи и цели государственного контроля, т.е. все, что касается его содержания. Однако предлагаемая конструкция концепции не охватывает некоторых сущностных моментов, от которых зависят эффективность и качество контрольной деятельности и потому нуждается в совершенствовании.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Следует также отмстить, что, хотя фрагменты концепции, предлагаемой А. М. Тарасовым, предназначены для общего государственного контроля, они не охватывают своим содержанием всех видов контроля, которые предварительно были описаны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автором, и потому концепция в целом не может претендовать на завершенность.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отличие от A.M. Тарасова. В. В. Бурцев обосновывает методологию формирования правовой концепции государственного финансового контроля, задачами которой, по мнению автора, являются: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определить терминологию и понятийный аппарат ГФК;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разработать методологию ГФК (цели, задачи, принципы и т.д.); определить организационную структуру системы ГФК;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определить органы правового регулирования ГФК. их права и обязанности; определить субъекты права ГФК;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определить предмет, отношения регулирования, пели и задачи системы нормативно-правовых актов (законодательства) ГФК;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определить основные источники права ГФК (нормативно-правовые акты) и уровни нормативно-правового регулирования;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определить порядок построения системы нормативно-правовых актов ГФК, </w:t>
      </w:r>
      <w:r w:rsidR="00CC7BDF" w:rsidRPr="00393B26">
        <w:rPr>
          <w:rFonts w:ascii="Times New Roman" w:hAnsi="Times New Roman"/>
          <w:bCs/>
          <w:sz w:val="28"/>
          <w:szCs w:val="24"/>
        </w:rPr>
        <w:t>ее</w:t>
      </w:r>
      <w:r w:rsidRPr="00393B26">
        <w:rPr>
          <w:rFonts w:ascii="Times New Roman" w:hAnsi="Times New Roman"/>
          <w:bCs/>
          <w:sz w:val="28"/>
          <w:szCs w:val="24"/>
        </w:rPr>
        <w:t xml:space="preserve"> структуру (части, разделы, подразделы и т.д., их расположение в определенной последовательности) и содержание;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разработат</w:t>
      </w:r>
      <w:r w:rsidR="00CC7BDF" w:rsidRPr="00393B26">
        <w:rPr>
          <w:rFonts w:ascii="Times New Roman" w:hAnsi="Times New Roman"/>
          <w:bCs/>
          <w:sz w:val="28"/>
          <w:szCs w:val="24"/>
        </w:rPr>
        <w:t>ь по</w:t>
      </w:r>
      <w:r w:rsidRPr="00393B26">
        <w:rPr>
          <w:rFonts w:ascii="Times New Roman" w:hAnsi="Times New Roman"/>
          <w:bCs/>
          <w:sz w:val="28"/>
          <w:szCs w:val="24"/>
        </w:rPr>
        <w:t>рядок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сист</w:t>
      </w:r>
      <w:r w:rsidR="00CC7BDF" w:rsidRPr="00393B26">
        <w:rPr>
          <w:rFonts w:ascii="Times New Roman" w:hAnsi="Times New Roman"/>
          <w:bCs/>
          <w:sz w:val="28"/>
          <w:szCs w:val="24"/>
        </w:rPr>
        <w:t>е</w:t>
      </w:r>
      <w:r w:rsidRPr="00393B26">
        <w:rPr>
          <w:rFonts w:ascii="Times New Roman" w:hAnsi="Times New Roman"/>
          <w:bCs/>
          <w:sz w:val="28"/>
          <w:szCs w:val="24"/>
        </w:rPr>
        <w:t>матиза</w:t>
      </w:r>
      <w:r w:rsidR="00CC7BDF" w:rsidRPr="00393B26">
        <w:rPr>
          <w:rFonts w:ascii="Times New Roman" w:hAnsi="Times New Roman"/>
          <w:bCs/>
          <w:sz w:val="28"/>
          <w:szCs w:val="24"/>
        </w:rPr>
        <w:t>ции</w:t>
      </w:r>
      <w:r w:rsidRPr="00393B26">
        <w:rPr>
          <w:rFonts w:ascii="Times New Roman" w:hAnsi="Times New Roman"/>
          <w:bCs/>
          <w:sz w:val="28"/>
          <w:szCs w:val="24"/>
        </w:rPr>
        <w:t xml:space="preserve"> нормативно-правовых актов ГФК (учет, инкорпорация - издание сборников и т.д., консолидация);</w:t>
      </w:r>
    </w:p>
    <w:p w:rsidR="00670F37" w:rsidRPr="00393B26" w:rsidRDefault="00670F37" w:rsidP="0029037E">
      <w:pPr>
        <w:numPr>
          <w:ilvl w:val="0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отметить основные аспекты взаимосвязи правовых актов ГФК с актами иных подотраслей (сфер) финансового права, а </w:t>
      </w:r>
      <w:r w:rsidR="00CC7BDF" w:rsidRPr="00393B26">
        <w:rPr>
          <w:rFonts w:ascii="Times New Roman" w:hAnsi="Times New Roman"/>
          <w:bCs/>
          <w:sz w:val="28"/>
          <w:szCs w:val="24"/>
        </w:rPr>
        <w:t>также с другими отраслями прапа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Кроме того, В. В. Бурцев называет требования, которым должна соответствовать система нормативных актов о ГФК, которые в совокупности имеют в своей основе институциональные характеристики ГФК. Главная идея, которая заложена в суждениях данного автора, состоит в том, что он предлагает обособить нормативно-правовой массив, предназначенный для регулирования государственного контроля, в самостоятельное правовое образование, применяемое на собственном автономном правовом пространстве. И хотя автор ведет речь преимущественно о федеральном законе, но, судя по формулировкам целей и задач правового регулирования и определения значения этого закона, цель преследуется более масштабная, нежели всего лишь закон. И сам автор это подтверждает, говоря, что его цель - «установление нормативной основы (фундамента) функционирования, развитая и совершенствования системы ГФК в Российской Федерации и ее субъектах. обеспечивающей сохранение и эффективное использование национальной собственности </w:t>
      </w:r>
      <w:r w:rsidR="00CC7BDF" w:rsidRPr="00393B26">
        <w:rPr>
          <w:rFonts w:ascii="Times New Roman" w:hAnsi="Times New Roman"/>
          <w:bCs/>
          <w:sz w:val="28"/>
          <w:szCs w:val="24"/>
        </w:rPr>
        <w:t>и роста благосостояния граждан».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Третья позиция - представлена суждениями Е. Н. Синевой, которые не имеют принципиальных отличий от приведенных ранее, а отличаются лишь более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углубленной характеристикой отдельных концептуальных положений и ме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ньшей схематичностью изложения. </w:t>
      </w:r>
      <w:r w:rsidRPr="00393B26">
        <w:rPr>
          <w:rFonts w:ascii="Times New Roman" w:hAnsi="Times New Roman"/>
          <w:bCs/>
          <w:sz w:val="28"/>
          <w:szCs w:val="24"/>
        </w:rPr>
        <w:t>Не умаляя значения приведенных мнений, необходимо сформулировать и предложить иное видение обозначенной проблемы.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Обоснование научной концепции контрольно-счетной деятельности на региональном уровне должно быть сориентировано как на создание единой системы органов финансового контроля в Российской Федерации, включающей федеральный, региональный и муниципальный уровни, так и на разработку и принятие федерального и региональных законов о ГФК. Разработка концепции именно по этим двум магистральным направлениям способна обесп</w:t>
      </w:r>
      <w:r w:rsidR="00CC7BDF" w:rsidRPr="00393B26">
        <w:rPr>
          <w:rFonts w:ascii="Times New Roman" w:hAnsi="Times New Roman"/>
          <w:bCs/>
          <w:sz w:val="28"/>
          <w:szCs w:val="24"/>
        </w:rPr>
        <w:t>е</w:t>
      </w:r>
      <w:r w:rsidRPr="00393B26">
        <w:rPr>
          <w:rFonts w:ascii="Times New Roman" w:hAnsi="Times New Roman"/>
          <w:bCs/>
          <w:sz w:val="28"/>
          <w:szCs w:val="24"/>
        </w:rPr>
        <w:t>чить организацию действенного финансового контроля не только за своевременным формированием и поступлением доходной части бюджета, но и за правильностью использования бюджетных средств и распоряжением государственной собственностью на всех уровнях хозяйствования.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393B26">
        <w:rPr>
          <w:rFonts w:ascii="Times New Roman" w:hAnsi="Times New Roman"/>
          <w:b/>
          <w:bCs/>
          <w:sz w:val="28"/>
          <w:szCs w:val="24"/>
        </w:rPr>
        <w:t>2</w:t>
      </w:r>
      <w:r w:rsidR="0029037E" w:rsidRPr="00393B26">
        <w:rPr>
          <w:rFonts w:ascii="Times New Roman" w:hAnsi="Times New Roman"/>
          <w:b/>
          <w:bCs/>
          <w:sz w:val="28"/>
          <w:szCs w:val="24"/>
        </w:rPr>
        <w:t>.</w:t>
      </w:r>
      <w:r w:rsidRPr="00393B26">
        <w:rPr>
          <w:rFonts w:ascii="Times New Roman" w:hAnsi="Times New Roman"/>
          <w:b/>
          <w:bCs/>
          <w:sz w:val="28"/>
          <w:szCs w:val="24"/>
        </w:rPr>
        <w:t xml:space="preserve"> Теоретические основы концепции контрольно</w:t>
      </w:r>
      <w:r w:rsidR="00CC7BDF" w:rsidRPr="00393B2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29037E" w:rsidRPr="00393B26">
        <w:rPr>
          <w:rFonts w:ascii="Times New Roman" w:hAnsi="Times New Roman"/>
          <w:b/>
          <w:bCs/>
          <w:sz w:val="28"/>
          <w:szCs w:val="24"/>
        </w:rPr>
        <w:t>- счетной деятельности</w:t>
      </w:r>
    </w:p>
    <w:p w:rsidR="0029037E" w:rsidRPr="00A61262" w:rsidRDefault="008B6936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FFFFFF"/>
          <w:sz w:val="28"/>
          <w:szCs w:val="24"/>
        </w:rPr>
      </w:pPr>
      <w:r w:rsidRPr="00A61262">
        <w:rPr>
          <w:rFonts w:ascii="Times New Roman" w:hAnsi="Times New Roman"/>
          <w:bCs/>
          <w:color w:val="FFFFFF"/>
          <w:sz w:val="28"/>
          <w:szCs w:val="24"/>
        </w:rPr>
        <w:t>финансовый контроль государство нормативный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Теоретические основы концепции контрольно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- счетной деятельности на современном этапе должны базироваться на собственном историческом опыте и опыте зарубежных государств. В России финансовый контроль относится к числу институтов, исторически формировавшихся на разных этапах развития государственности и впитавших в себя специфику каждого из них: дооктябрьский, советский и современный российский этапы. Такая обусловленность имеет принципиальное значение в первую очередь для финансового контроля регионального уровня, что подтверждается состоянием законодательной базы региональной контрольно- счетной деятельности.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Начиная с 1996 г. в отдельных субъектах России, наряду с законами о контрольно-счетных палатах субъектов, уже предприняты попытки принятия самостоятельных законов о финансовом контроле и о контрольных функциях региональных законодательных органов: Свердловская область — 19% г. |12|; Кал</w:t>
      </w:r>
      <w:r w:rsidR="00CC7BDF" w:rsidRPr="00393B26">
        <w:rPr>
          <w:rFonts w:ascii="Times New Roman" w:hAnsi="Times New Roman"/>
          <w:bCs/>
          <w:sz w:val="28"/>
          <w:szCs w:val="24"/>
        </w:rPr>
        <w:t>ининградская область - 1997 г.;</w:t>
      </w:r>
      <w:r w:rsidRPr="00393B26">
        <w:rPr>
          <w:rFonts w:ascii="Times New Roman" w:hAnsi="Times New Roman"/>
          <w:bCs/>
          <w:sz w:val="28"/>
          <w:szCs w:val="24"/>
        </w:rPr>
        <w:t xml:space="preserve">Волгоградская область - 2002 г.; Алтайский край - 2005 г.; Республика Саха (Якутия) - 2006г. 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настоящее время эта тенденция набирает свои темпы, авторитет ее заметно усиливается. Но по своему концептуальному обеспечению и, следовательно, по форме и по содержанию соответствующие нормативные акты регионального законодательства о финансовом контроле заметно различаются.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Именно по этой причине необходимо предложить общую концепцию правового регулирования и осуществления контрольно-счетной деятельности в субъектах Российской Федерации. Это тем более необходимо, поскольку до сегодняшнего дня основные концептуальные положения подавляющего большинства региональных законов о контрольно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счетной деятельности сформировались в определенной степени стихийно, на основе принципа «копирования», с учетом степени давления законодательной и исполнительной власти конкретного субъекта России, под влиянием лоббирования «местечковых» интересов и показателей жизни каждого региона, без должного контроля и заинтересованных методических рекомендаций со стороны федерального центра.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Но, несмотря на это</w:t>
      </w:r>
      <w:r w:rsidR="00393B26" w:rsidRPr="00393B26">
        <w:rPr>
          <w:rFonts w:ascii="Times New Roman" w:hAnsi="Times New Roman"/>
          <w:bCs/>
          <w:sz w:val="28"/>
          <w:szCs w:val="24"/>
        </w:rPr>
        <w:t>,</w:t>
      </w:r>
      <w:r w:rsidRPr="00393B26">
        <w:rPr>
          <w:rFonts w:ascii="Times New Roman" w:hAnsi="Times New Roman"/>
          <w:bCs/>
          <w:sz w:val="28"/>
          <w:szCs w:val="24"/>
        </w:rPr>
        <w:t xml:space="preserve"> крайне необходимо концепцию правового регулирования и осуществления контрольно-счетной деятельности в субъектах Российской Федерации формировать на основе следующих трех информационных каналов:</w:t>
      </w:r>
    </w:p>
    <w:p w:rsidR="00670F37" w:rsidRPr="00393B26" w:rsidRDefault="00670F37" w:rsidP="00393B26">
      <w:pPr>
        <w:numPr>
          <w:ilvl w:val="1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юридического анализа уже имеющейся региональной правовой базы;</w:t>
      </w:r>
    </w:p>
    <w:p w:rsidR="00670F37" w:rsidRPr="00393B26" w:rsidRDefault="00670F37" w:rsidP="0029037E">
      <w:pPr>
        <w:numPr>
          <w:ilvl w:val="1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практики применения региональных законов о контрольно-счетной деятельности;</w:t>
      </w:r>
    </w:p>
    <w:p w:rsidR="00670F37" w:rsidRPr="00393B26" w:rsidRDefault="00670F37" w:rsidP="0029037E">
      <w:pPr>
        <w:numPr>
          <w:ilvl w:val="1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обобщения общетеоретических концептуальных приемов.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Основные положения концепции должны учитывать возможности влияния разнообразных факторов, обстоятельств и условий и обеспечивать учет определен</w:t>
      </w:r>
      <w:r w:rsidR="00393B26" w:rsidRPr="00393B26">
        <w:rPr>
          <w:rFonts w:ascii="Times New Roman" w:hAnsi="Times New Roman"/>
          <w:bCs/>
          <w:sz w:val="28"/>
          <w:szCs w:val="24"/>
        </w:rPr>
        <w:t>ны</w:t>
      </w:r>
      <w:r w:rsidRPr="00393B26">
        <w:rPr>
          <w:rFonts w:ascii="Times New Roman" w:hAnsi="Times New Roman"/>
          <w:bCs/>
          <w:sz w:val="28"/>
          <w:szCs w:val="24"/>
        </w:rPr>
        <w:t>х требова</w:t>
      </w:r>
      <w:r w:rsidR="00CC7BDF" w:rsidRPr="00393B26">
        <w:rPr>
          <w:rFonts w:ascii="Times New Roman" w:hAnsi="Times New Roman"/>
          <w:bCs/>
          <w:sz w:val="28"/>
          <w:szCs w:val="24"/>
        </w:rPr>
        <w:t>н</w:t>
      </w:r>
      <w:r w:rsidRPr="00393B26">
        <w:rPr>
          <w:rFonts w:ascii="Times New Roman" w:hAnsi="Times New Roman"/>
          <w:bCs/>
          <w:sz w:val="28"/>
          <w:szCs w:val="24"/>
        </w:rPr>
        <w:t>ий. Стремясь не повториться с высказываниями ранее названных авторов, в их числе мы предлагаем следующие:</w:t>
      </w:r>
    </w:p>
    <w:p w:rsidR="00670F37" w:rsidRPr="00393B26" w:rsidRDefault="00670F37" w:rsidP="00393B26">
      <w:pPr>
        <w:numPr>
          <w:ilvl w:val="2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 xml:space="preserve">Учет основных направлений общегосударственной и региональной политики, составной частью которой </w:t>
      </w:r>
      <w:r w:rsidR="00CC7BDF" w:rsidRPr="00393B26">
        <w:rPr>
          <w:rFonts w:ascii="Times New Roman" w:hAnsi="Times New Roman"/>
          <w:bCs/>
          <w:sz w:val="28"/>
          <w:szCs w:val="24"/>
        </w:rPr>
        <w:t>является политика в сфере финан</w:t>
      </w:r>
      <w:r w:rsidRPr="00393B26">
        <w:rPr>
          <w:rFonts w:ascii="Times New Roman" w:hAnsi="Times New Roman"/>
          <w:bCs/>
          <w:sz w:val="28"/>
          <w:szCs w:val="24"/>
        </w:rPr>
        <w:t>сово-контрольной деятельности.</w:t>
      </w:r>
    </w:p>
    <w:p w:rsidR="00670F37" w:rsidRPr="00393B26" w:rsidRDefault="00670F37" w:rsidP="0029037E">
      <w:pPr>
        <w:numPr>
          <w:ilvl w:val="2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Соответствие основных принципов региональной контрольно-счетной деятельности федеральной концепции финансового контроля, проект которой уже находится в стадии апробации и которая получает свое выражение в различных вариантах проекта Федерального закона «О государственном финансовом контроле в Российской Федерации».</w:t>
      </w:r>
    </w:p>
    <w:p w:rsidR="00670F37" w:rsidRPr="00393B26" w:rsidRDefault="00670F37" w:rsidP="0029037E">
      <w:pPr>
        <w:numPr>
          <w:ilvl w:val="2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Учет разнообразных федеральных и региональных программ, предназначенных в том числе и для реализации приоритетных национальных проектов, утвержденных нормативными актами федеральной и региональной государственной власти. Например, Правительством Москвы принято постановление о порядке разработки городских программ, согласно которому без заключения региональной КСП ни одна про</w:t>
      </w:r>
      <w:r w:rsidR="00CC7BDF" w:rsidRPr="00393B26">
        <w:rPr>
          <w:rFonts w:ascii="Times New Roman" w:hAnsi="Times New Roman"/>
          <w:bCs/>
          <w:sz w:val="28"/>
          <w:szCs w:val="24"/>
        </w:rPr>
        <w:t>грамма не может рассматриваться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numPr>
          <w:ilvl w:val="2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Обеспечение региональной концепции расстановки приоритетов контрольно-счетной деятельности на планируемый период и на долгосрочную перспективу, при этом должна быть учтена общественно-политическая и социально- экономическая ситуация в конкретном субъекте, а также в отдельном регионе — федеральном округе и в стране в целом.</w:t>
      </w:r>
    </w:p>
    <w:p w:rsidR="00670F37" w:rsidRPr="00393B26" w:rsidRDefault="00670F37" w:rsidP="00393B26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Разработка и принятие нормативной базы для осуществления контрольно-счетной деятельности на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уровне муниципальных образований субъектов Российской Федерации, в равной степени, как и совершенствование имеющихся правовых актов о деятельности КСП субъектов РФ. о финансовом контроле на территории субъекта, о контрольных функциях органов законодательной власти при строгом соблюдении принципа соответствия норм регионального законодательства нормам федеральных законов.</w:t>
      </w:r>
    </w:p>
    <w:p w:rsidR="00670F37" w:rsidRPr="00393B26" w:rsidRDefault="00670F37" w:rsidP="0029037E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Учет планируемых важнейших государственно-политических мероприятий - проведение выборов, референдумов разного уровня, государственное финансирование политических партий, средств массовой информации и т. п.</w:t>
      </w:r>
    </w:p>
    <w:p w:rsidR="00670F37" w:rsidRPr="00393B26" w:rsidRDefault="00670F37" w:rsidP="0029037E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На эффективность и результативность контрольно-счетной деятельности в том или ином регионе страны могут оказать существенное влияние такие явления, как возможные чрезвычайные ситуации, экологические, техногенные, природные катаклизмы, которые также требуют учета в общей концепции.</w:t>
      </w:r>
    </w:p>
    <w:p w:rsidR="00670F37" w:rsidRPr="00393B26" w:rsidRDefault="00670F37" w:rsidP="0029037E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Учитывая всс возрастающее значение новейших информационных технологий, уровень их развития и возможности использования в каждом конкретном регионе, необходимо, чтобы это нашло отражение в содержании концепции правового регулирования и осуществления контрольно-счетной деятельности субъектов Российской Федерации;</w:t>
      </w:r>
    </w:p>
    <w:p w:rsidR="00670F37" w:rsidRPr="00393B26" w:rsidRDefault="00670F37" w:rsidP="0029037E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Эмпирическую базу концепции должны составлять итоги опыта работы контрольно-счетных органов всех уровней за предыдущие периоды, поэтому анализ этого опыта, представленный в итоговом отчетном документе контрольно-счетного органа, должен проводиться по единообразной методике, единым правилам и способам обобщения, быть объективным и достоверным.</w:t>
      </w:r>
    </w:p>
    <w:p w:rsidR="00670F37" w:rsidRPr="00393B26" w:rsidRDefault="00670F37" w:rsidP="0029037E">
      <w:pPr>
        <w:numPr>
          <w:ilvl w:val="2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Важное значение для повышения эффективности концептуальной основы имеет тот факт, как будут складываться взаимоотношения контрольно- счетных органов в субъекте Федерации с органами федеральной и региональной власти, а также участие контрольно-счетных органов в деятельности профессиональных общественных объединений и в периодически проводимых массовых мероприятиях по обмену опытом (учеба) иди обсуждению назревших проблем. Выстраивание этих взаимоотношений как всегда несет на себе отпечаток того, какая кадровая политика проводится в субъекте Федерации, и какова роль субъективного фактора.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Второй информационный канал, как было отмечено ранее, посвящен непосредственной практике работы контрольно-счетных органов и результатам правоприменительной деятельности. Необходимость учета этой информации может быть подтверждена данными.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Последние десять лет работы контрольно-счетных органов страны показали, что разница между затратами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на их содержание и суммами возвращенных в казну средств составляет десятки раз. Счетная палата РФ за первые 10 лет своей работы получила из федерального бюджета 2,757 млрд руб., а вернула в казну государства - 66,6 млрд руб., что в 24 раза превышает расходы на ее содержание.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 отчету об итогах работы КСП Ростовской области за 2005 г. было проверено 13 главных распорядителей средств областного бюджета и 45 муниципальных образований. Общий объем проверенных средств составил 7 640 738,1 тыс. руб., сумма же выявленных нарушений в финансовом выражении составила 659 115,8тыс. руб., что на 187,8 млн руб. превысило одноименный показатель 2004 г. В ходе проверок счетной палатой установлены потери, допущенные при исполнении доходной части областного и местных бюджетов, в сумме 33 668,2 тыс. руб. Выявлены резервы роста доходной базы в сумме 66 352,5тыс. руб.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Более 90 % потерь и резервов установлены при проверках бюджетов муниципальных образований области, что свидетельствует о недостаточном внимании глав муниципальных образований проверенных территорий к вопросам пополнения собственной доходной базы. Проверки исполнения доходной части местных бюджетов выявили нарушения, связанные в основном с несоблюдением порядка и методики расчета арендной платы за землю и нежилые помещения, несвоевременным или неполным перечислением средств от распоряжения муниципальной собственностью, неотражением в доходах бюджета средств от предпринимательской и иной приносящей доход деятельности на общую сумму 17 935,1 тыс. руб. Наибольший объем таких нарушений у</w:t>
      </w:r>
      <w:r w:rsidR="00CC7BDF" w:rsidRPr="00393B26">
        <w:rPr>
          <w:rFonts w:ascii="Times New Roman" w:hAnsi="Times New Roman"/>
          <w:bCs/>
          <w:sz w:val="28"/>
          <w:szCs w:val="24"/>
        </w:rPr>
        <w:t>становлен в Мартыновском, Моро</w:t>
      </w:r>
      <w:r w:rsidRPr="00393B26">
        <w:rPr>
          <w:rFonts w:ascii="Times New Roman" w:hAnsi="Times New Roman"/>
          <w:bCs/>
          <w:sz w:val="28"/>
          <w:szCs w:val="24"/>
        </w:rPr>
        <w:t>зовеком и Пролетарском районах. За допущенные нарушения прив</w:t>
      </w:r>
      <w:r w:rsidR="00CC7BDF" w:rsidRPr="00393B26">
        <w:rPr>
          <w:rFonts w:ascii="Times New Roman" w:hAnsi="Times New Roman"/>
          <w:bCs/>
          <w:sz w:val="28"/>
          <w:szCs w:val="24"/>
        </w:rPr>
        <w:t>лечены к дисциплинарной ответс</w:t>
      </w:r>
      <w:r w:rsidRPr="00393B26">
        <w:rPr>
          <w:rFonts w:ascii="Times New Roman" w:hAnsi="Times New Roman"/>
          <w:bCs/>
          <w:sz w:val="28"/>
          <w:szCs w:val="24"/>
        </w:rPr>
        <w:t>твенности 263 должностных лица, 6 из которых освобо</w:t>
      </w:r>
      <w:r w:rsidR="00CC7BDF" w:rsidRPr="00393B26">
        <w:rPr>
          <w:rFonts w:ascii="Times New Roman" w:hAnsi="Times New Roman"/>
          <w:bCs/>
          <w:sz w:val="28"/>
          <w:szCs w:val="24"/>
        </w:rPr>
        <w:t>ждены от занимаемых должностей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 мнению председателя Счетной палаты г. Волгограда В. И. Гордина, «государственнаяказна в удельной составляющей органов местного самоуправления не менее чем на сумму 2,3 трлн руб. находится вне контроля государства, что больше доходной части бюджета Российской Федерации 2002 г.».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Приведенные и другие статистические данные позволяют сделать следующие выводы. Контрольно- счетная деятельность построена и осуществляется на основе принципа эпизодичности проводимых проверочных мероприятий, что лишает возможности с</w:t>
      </w:r>
      <w:r w:rsidR="00CC7BDF" w:rsidRPr="00393B26">
        <w:rPr>
          <w:rFonts w:ascii="Times New Roman" w:hAnsi="Times New Roman"/>
          <w:bCs/>
          <w:sz w:val="28"/>
          <w:szCs w:val="24"/>
        </w:rPr>
        <w:t>фо</w:t>
      </w:r>
      <w:r w:rsidRPr="00393B26">
        <w:rPr>
          <w:rFonts w:ascii="Times New Roman" w:hAnsi="Times New Roman"/>
          <w:bCs/>
          <w:sz w:val="28"/>
          <w:szCs w:val="24"/>
        </w:rPr>
        <w:t>рмировать общую картину допускаемых нарушений. Учитывая достаточно большой объем работы при проведении проверок контрольно счетными органами, следует обосновать необходимость введения принципа поэтапности их осуществления в сочетании собязательностью проведения всеобщего контроля. Нельзя допускать ситуаций, при которых отдельные хозяйствующие субъекты или муниципальные образования выходили из-под контроля. Контроль должен быть систематически-поэтапным. Поэтому фактическое состояние результатов контрольно-счетной деятельности в субъекте за определенный плановый период (как правило, это бюджетный год), отраженное в отчетных докладах, должно быть положено в основу плана работы на очередной период и потому концептуально обосновано.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Третий информационный канал включает состояние нормативно-правовой базы, в соответствии с которой осуществляется контрольно-счетная деятельность в субъектах Российской Федерации, которое позволяет обозначить проблемы ее применения и обосновать предложения по совершенствованию. 11о главное значение этого информационного канала для построения обшей концепции правового регулирования и осуществления контрольно-счетной деятельности в субъектах РФ состоит в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том, что в самих законах отображаются основные концептуальные положения, и состояние закона свидетельствует о качестве этих положений.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подтверждение предлагается аргумент, вытекающий из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анализа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федерального законодательства. Так ФЗ № 120 от 22.08.2004 в гл. 16 БК РФ были внесены изменения, согласно которым региональные контрольно-счетные органы были лишены права проверять состояние бюджетов муниципальных образований - получателей бюджетных трансфертов. В связи с этим, по мнению Е. Н. Синевой, «в бюджетной системе может образоваться огромная «черная дыра» бесконтрольного расходования до 40% средств консолидированного бюджета страны, или более 2 трлн руб. Ведь на муниципальном уровне система государственного финансового контроля еще не создана, а органы внешнего государственного финансового контроля вышестоящих уровней бюджетной системы лишены возможности контролировать работу муниципалитетов».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Понимая нелогичность такого положения, федеральный законодатель поспешил восстановить право КСП субъектов по контролю нал бюджетами муниципальных образований, и в декабре 2005 г. в ст. 157 БК РФ были внесены дополнения, даюшне право органам государственного финансового контроля проводить проверки нижестоящих бюджетов- получателей межбюдж</w:t>
      </w:r>
      <w:r w:rsidR="00CC7BDF" w:rsidRPr="00393B26">
        <w:rPr>
          <w:rFonts w:ascii="Times New Roman" w:hAnsi="Times New Roman"/>
          <w:bCs/>
          <w:sz w:val="28"/>
          <w:szCs w:val="24"/>
        </w:rPr>
        <w:t>етных трансфертов.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Анализ нормативных правовых актов субъектов РФ свидетельствует о том, что на первом этапе создания собственной законодательной базы контрольно-счетной деятельности (до введения в действие БК РФ) региональным законодателем были предложены следующие концептуальные составляющие законов о финансовом контроле в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субъектах, о контрольно-счетных палатах субъектов России и других актов: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принципы осуществления бюджетно-финансового контроля (законность, плановость, полнота и достоверность информации, целевое использование финансовых ресурсов, эффективность контрольной деятельности, се гласность);</w:t>
      </w:r>
    </w:p>
    <w:p w:rsidR="00670F37" w:rsidRPr="00393B26" w:rsidRDefault="00670F37" w:rsidP="00393B26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цель бюджетно-финансового контроля - обеспечение устойчивости бюджетно-финансовой системы субъекта;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объекты финансового контроля в лице регионального бюджета, собственности субъекта, договоров и соглашений, заключенных в сфере финансов, займов и кредитов, государственных целевых федеральных и региональных программ, бюджетов территориальных государственных внебюджетных фондов: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виды контроля - предварительный, текущий, разовый целевой;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формы контроля - ревизии и проверки, а также сроки, объемы и способы их проведения;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информационное обеспечение контрольной деятельности;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взаимодействие органов законодательной Власти субъекта с контролирующими и правоохранительными органами;</w:t>
      </w:r>
    </w:p>
    <w:p w:rsidR="00670F37" w:rsidRPr="00393B26" w:rsidRDefault="00670F37" w:rsidP="0029037E">
      <w:pPr>
        <w:numPr>
          <w:ilvl w:val="3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основы контрольной компетенции законодательного органа, включая рассмотрение итогов контрольной деятельности.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На последующих этапах законотворческой деятельности субъектов РФ по созданию региональных законов о финансовом контроле и о контрольно-счетной деятельности предмет правового регулирования был заметно расширен. В него были включены:</w:t>
      </w:r>
    </w:p>
    <w:p w:rsidR="00670F37" w:rsidRPr="00393B26" w:rsidRDefault="00670F37" w:rsidP="00393B26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дефиниции важнейших категорий (в том числе финансового контроля, форм и видов контроля и др.);</w:t>
      </w:r>
    </w:p>
    <w:p w:rsidR="00670F37" w:rsidRPr="00393B26" w:rsidRDefault="00670F37" w:rsidP="0029037E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правовые основы осуществления финансового контроля;</w:t>
      </w:r>
    </w:p>
    <w:p w:rsidR="00670F37" w:rsidRPr="00393B26" w:rsidRDefault="00670F37" w:rsidP="0029037E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система органов финансового контроля в субъекте Федерации;</w:t>
      </w:r>
    </w:p>
    <w:p w:rsidR="00670F37" w:rsidRPr="00393B26" w:rsidRDefault="00670F37" w:rsidP="0029037E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задачи и функции контрольно-счетного органа;</w:t>
      </w:r>
    </w:p>
    <w:p w:rsidR="00670F37" w:rsidRPr="00393B26" w:rsidRDefault="00670F37" w:rsidP="0029037E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механизм осуществления финансового контроля;</w:t>
      </w:r>
    </w:p>
    <w:p w:rsidR="00670F37" w:rsidRPr="00393B26" w:rsidRDefault="00670F37" w:rsidP="0029037E">
      <w:pPr>
        <w:numPr>
          <w:ilvl w:val="4"/>
          <w:numId w:val="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ответственность и гарантии правового статуса органов финансового контроля и их должностных ли</w:t>
      </w:r>
      <w:r w:rsidR="00CC7BDF" w:rsidRPr="00393B26">
        <w:rPr>
          <w:rFonts w:ascii="Times New Roman" w:hAnsi="Times New Roman"/>
          <w:bCs/>
          <w:sz w:val="28"/>
          <w:szCs w:val="24"/>
        </w:rPr>
        <w:t>ц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Следует также отметить дальнейшее совершенствование отдельных, ранее учрежденных концептуальных компонентов в анализируемых законах. Так, произошло четкое разграничение трех ветвей контроля: внешний финансовый контроль, осуществляемый контрольно-счетными органами субъекта; контроль, осуществляемый контрольно-счетными органами, создаваемыми на уровне местного самоуправления; административно-финансовый контроль, осуществляемый органами исполнительной власти субъекта РФ. Замелю были расширены формы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осуществления финансового контроля, в их число, кроме ревизий и разного рода проверок, включены обследования и экспертизы.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Особое значение законодатель придает вопросам процедуры проведения финансового контроля, что объясняется, скорее всего, появившейся практикой обжаловании действий проверяющих, в т.ч. и в судебном порядке. Предметом особого внимания становится порядок реализации материалов проверок органов финансового контроля. Так. правом применения мер принуждения к нарушителям бюджетного законодательства по материалам проверок органов финансового контроля в Волгоградской области наделен начальник (заместитель начальника) Комитета бюджетно-финансовой политики и казначейства Администрации Волгоградской области (Закон Волгоградской области «О финансовом контроле на территории Волгоградской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области» от 6 декабря 2002 г.)</w:t>
      </w:r>
      <w:r w:rsidRPr="00393B26">
        <w:rPr>
          <w:rFonts w:ascii="Times New Roman" w:hAnsi="Times New Roman"/>
          <w:bCs/>
          <w:sz w:val="28"/>
          <w:szCs w:val="24"/>
        </w:rPr>
        <w:t>|.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числе гарантий правового статуса должностных лип органов финансового контроля закрепляется недопустимость воздействия на должностных лиц органов финансового контроля с целью воспрепятствовать исполнению ими служебных обязанностей либо добиться принятия решения в чьих-либо интересах. За совершение насильственных действий, нанесение оскорблений или клевету, распространение искаженной информации о выполнении должностным лицом служебных обязанностей в сфере финансового контроля виновные привлекаются к ответственности, установленной законодательством Российской Федерации. Наряду с этим в законодательстве появляются положения об ответственности и самих должностных лиц органов финансового контроля, что свидетельствует о выстраивании взаимоотношений между проверяющими и проверяемыми на цивилизованных началах.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Отдельного внимания заслуживает вопрос о внешнем формальном выражении концепции финансового контроля в субъектах Федерации. Речь идет о трех разновидностях форм и их особенностях, применяемых в разных субъектах Российской Федерации. Первоначально это были законы о контрольных функциях или самого субъекта Федерации, или его законодательного органа (н</w:t>
      </w:r>
      <w:r w:rsidR="00CC7BDF" w:rsidRPr="00393B26">
        <w:rPr>
          <w:rFonts w:ascii="Times New Roman" w:hAnsi="Times New Roman"/>
          <w:bCs/>
          <w:sz w:val="28"/>
          <w:szCs w:val="24"/>
        </w:rPr>
        <w:t>апример. Свердловская обл</w:t>
      </w:r>
      <w:r w:rsidRPr="00393B26">
        <w:rPr>
          <w:rFonts w:ascii="Times New Roman" w:hAnsi="Times New Roman"/>
          <w:bCs/>
          <w:sz w:val="28"/>
          <w:szCs w:val="24"/>
        </w:rPr>
        <w:t>. В некоторых субъектах идеи финансового контроля были формализованы в законах о бюджетном устройстве и бюджетном процессе в соответствующем субъекте Федера</w:t>
      </w:r>
      <w:r w:rsidR="00CC7BDF" w:rsidRPr="00393B26">
        <w:rPr>
          <w:rFonts w:ascii="Times New Roman" w:hAnsi="Times New Roman"/>
          <w:bCs/>
          <w:sz w:val="28"/>
          <w:szCs w:val="24"/>
        </w:rPr>
        <w:t>ции (например, в Алтайском крае</w:t>
      </w:r>
      <w:r w:rsidRPr="00393B26">
        <w:rPr>
          <w:rFonts w:ascii="Times New Roman" w:hAnsi="Times New Roman"/>
          <w:bCs/>
          <w:sz w:val="28"/>
          <w:szCs w:val="24"/>
        </w:rPr>
        <w:t>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Предпочтительной формой должны стать законы субъектов Российской Федерации о финансовом контроле на соответствующей территории, как это имеет м</w:t>
      </w:r>
      <w:r w:rsidR="00CC7BDF" w:rsidRPr="00393B26">
        <w:rPr>
          <w:rFonts w:ascii="Times New Roman" w:hAnsi="Times New Roman"/>
          <w:bCs/>
          <w:sz w:val="28"/>
          <w:szCs w:val="24"/>
        </w:rPr>
        <w:t>есто в Волгоградской области, Республике Саха (Якутия)</w:t>
      </w:r>
      <w:r w:rsidRPr="00393B26">
        <w:rPr>
          <w:rFonts w:ascii="Times New Roman" w:hAnsi="Times New Roman"/>
          <w:bCs/>
          <w:sz w:val="28"/>
          <w:szCs w:val="24"/>
        </w:rPr>
        <w:t>. Именно в таких законах возможно наиболее полно и обстоятельно на основе</w:t>
      </w:r>
      <w:r w:rsidRPr="00393B26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393B26">
        <w:rPr>
          <w:rFonts w:ascii="Times New Roman" w:hAnsi="Times New Roman"/>
          <w:bCs/>
          <w:sz w:val="28"/>
          <w:szCs w:val="24"/>
        </w:rPr>
        <w:t>теоретической концепции урегулировать все отношения, возникающие в сфере финансового контроля, согласовав их с федеральным уровнем. Помимо этих законов должны быть приняты или усовершенствованы действующие законы субъектов о контрольно-счетных органах.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br w:type="page"/>
      </w:r>
    </w:p>
    <w:p w:rsidR="00670F37" w:rsidRPr="00393B26" w:rsidRDefault="0029037E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393B26">
        <w:rPr>
          <w:rFonts w:ascii="Times New Roman" w:hAnsi="Times New Roman"/>
          <w:b/>
          <w:bCs/>
          <w:sz w:val="28"/>
          <w:szCs w:val="24"/>
        </w:rPr>
        <w:t>Заключение</w:t>
      </w:r>
    </w:p>
    <w:p w:rsidR="0029037E" w:rsidRPr="00393B26" w:rsidRDefault="0029037E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Таким образом, можно резюмировать, что первоначальные основные компоненты концепции финансового контроля, осуществляемого на уровне субъектов Российской Федерации, обозначились в течение десяти лет. Однако по ряду причин нельзя считать этот процесс завершенным, а концепцию - сформированной. Во-первых, далеко не во всех субъектах приняты соответствующие законы (возможно, это связано с отсутствием соответствующего закона на</w:t>
      </w:r>
      <w:r w:rsidR="00CC7BDF" w:rsidRPr="00393B26">
        <w:rPr>
          <w:rFonts w:ascii="Times New Roman" w:hAnsi="Times New Roman"/>
          <w:bCs/>
          <w:sz w:val="28"/>
          <w:szCs w:val="24"/>
        </w:rPr>
        <w:t xml:space="preserve"> федеральном уровне</w:t>
      </w:r>
      <w:r w:rsidRPr="00393B26">
        <w:rPr>
          <w:rFonts w:ascii="Times New Roman" w:hAnsi="Times New Roman"/>
          <w:bCs/>
          <w:sz w:val="28"/>
          <w:szCs w:val="24"/>
        </w:rPr>
        <w:t>. Во-вторых, и это главное, в принятых законах имеются многочисленные противоречия, несогласованность, пробелы, по-разному определяются одни и тс же категории, присутствует различие в трактовках норм федерального законодательства, в частности, норм об ответственности и возможностях их применения, имеются и другие недостатки.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В итоге, следует отметить, что в нормативно- правовых актах, обеспечивающих правовое регулирование и осуществление контрольно-счетной деятельности в субъектах России, должно быть в достаточной степени обозначено концептуально правовое пространство государственного и муниципального финансового контроля, должны быть в полной мере учтены все социально-экономические и политические условия, сложившиеся не только в регионе, но и в стране в целом в настоящий момент, а их концептуальная основа должна полностью отвечать требованиям нынешнего этапа государственного строительства и проводимой в государстве политики в области финансово-экономической стабилизации в обществе.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Итак, общая концепция правового регулирования и осуществления контрольно-счетной деятельности в субъектах РФ должна увязывать общегосударственные процессы с региональными, обеспечивать их гармоничное сочетание и развитие. Она должна иметь конкретно-исторические рамки, т.е. быть рассчитанной на текущий период, среднесрочную и долгосрочную перспективу. Кроме того, в концепции должны быть аккумулированы современные требования информационно-технологического характера, направленные на решение задач первостепенной важности и обеспечения стабильности.</w:t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br w:type="page"/>
      </w:r>
    </w:p>
    <w:p w:rsidR="00670F37" w:rsidRPr="00393B26" w:rsidRDefault="00670F37" w:rsidP="0029037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393B26">
        <w:rPr>
          <w:rFonts w:ascii="Times New Roman" w:hAnsi="Times New Roman"/>
          <w:b/>
          <w:bCs/>
          <w:sz w:val="28"/>
          <w:szCs w:val="24"/>
        </w:rPr>
        <w:t>С</w:t>
      </w:r>
      <w:r w:rsidR="0029037E" w:rsidRPr="00393B26">
        <w:rPr>
          <w:rFonts w:ascii="Times New Roman" w:hAnsi="Times New Roman"/>
          <w:b/>
          <w:bCs/>
          <w:sz w:val="28"/>
          <w:szCs w:val="24"/>
        </w:rPr>
        <w:t>писок использованной литературы</w:t>
      </w:r>
    </w:p>
    <w:p w:rsidR="0029037E" w:rsidRPr="00393B26" w:rsidRDefault="0029037E" w:rsidP="0029037E">
      <w:pPr>
        <w:suppressAutoHyphens/>
        <w:spacing w:after="0" w:line="360" w:lineRule="auto"/>
        <w:contextualSpacing/>
        <w:rPr>
          <w:rFonts w:ascii="Times New Roman" w:hAnsi="Times New Roman"/>
          <w:b/>
          <w:bCs/>
          <w:sz w:val="28"/>
          <w:szCs w:val="24"/>
        </w:rPr>
      </w:pP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Тарасов А. М. Проблемы законодательного обеспечения государственного контроля // Государство и право. 2009. № 10. С. 15.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Степашин С. В. Давайте беречь бюджетную копейку // Финансовый контроль. - 2008. № 10(12). С. 28 - 29.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Нуриев В. В. Государственный контроль: аспекты развития нормативно-правовой базы// Российская юстиция. 2009. N? 4. С. 41.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Бурцев В. В. Государственный контроль: аспекты развития нормативно-правовой базы // Российская юстиция. - 2010. - № 4. - С. 40 - 44.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Синева Е. И. Законодательное обеспечение деятельности органов внешнего государственного и муниципального контроля // Государство и право. 2006. № 3. С. 90 - 93.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Погосям И.Д. Счетная палата Российской Федерации. М.: Юристь, 1998. С. 106.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Бурцев В. В. Государственный контроль: аспекты развития нормативно-правовой базы// Российская юстиция. 2009. N? 4. С. 40.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Тарасов А. А/. Проблемы законодательного обеспечения государственного контроля // Государство и право. 2010. № 10. С. 15- 16.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Бурцев В. В. Государственный контроль: аспекты развития нормативно-правовой базы // Российская юстиция. 2009. № 4. С. 42.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Синева Е. Н. Законодательное обеспечение деятельности органов внешнего государственного и муниципального контроля // Государство и право. 2006. №3. С. 90-93.</w:t>
      </w:r>
    </w:p>
    <w:p w:rsidR="00670F37" w:rsidRPr="00393B26" w:rsidRDefault="00670F37" w:rsidP="0029037E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Областной закон от 14.10.1996№42-03 «О контрольных функциях Законодательного Собрания Свердловской области в сфере бюджета и финансов», в редакции областных законов от 19.11.1998 № 36-03 и от 28.12.2001 № 88-03 //Областная газета. 19%. № 156.</w:t>
      </w:r>
    </w:p>
    <w:p w:rsidR="00670F37" w:rsidRPr="00393B26" w:rsidRDefault="00670F37" w:rsidP="008B6936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Закон Калининградской области от 20.04.1998 № 54 «О контрольных функциях Калининградской областной Думы в сфере бюджета и финансов» (Электронный ресурс]. Доступ из справ.-правовой системы «КонсультантПлюс».</w:t>
      </w:r>
    </w:p>
    <w:p w:rsidR="00670F37" w:rsidRPr="00393B26" w:rsidRDefault="00670F37" w:rsidP="008B6936">
      <w:pPr>
        <w:pStyle w:val="a3"/>
        <w:numPr>
          <w:ilvl w:val="3"/>
          <w:numId w:val="3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393B26">
        <w:rPr>
          <w:rFonts w:ascii="Times New Roman" w:hAnsi="Times New Roman"/>
          <w:bCs/>
          <w:sz w:val="28"/>
          <w:szCs w:val="24"/>
        </w:rPr>
        <w:t>Двурече</w:t>
      </w:r>
      <w:r w:rsidR="00175276" w:rsidRPr="00393B26">
        <w:rPr>
          <w:rFonts w:ascii="Times New Roman" w:hAnsi="Times New Roman"/>
          <w:bCs/>
          <w:sz w:val="28"/>
          <w:szCs w:val="24"/>
        </w:rPr>
        <w:t>н</w:t>
      </w:r>
      <w:r w:rsidRPr="00393B26">
        <w:rPr>
          <w:rFonts w:ascii="Times New Roman" w:hAnsi="Times New Roman"/>
          <w:bCs/>
          <w:sz w:val="28"/>
          <w:szCs w:val="24"/>
        </w:rPr>
        <w:t>ских В. А. Выступление // Седьмая Конференция Ассоциации контрольно-счетных органов Российской Федерации. М., 2005. С. 64.</w:t>
      </w:r>
    </w:p>
    <w:p w:rsidR="00670F37" w:rsidRPr="00A61262" w:rsidRDefault="00670F37" w:rsidP="0029037E">
      <w:pPr>
        <w:suppressAutoHyphens/>
        <w:spacing w:after="0" w:line="360" w:lineRule="auto"/>
        <w:contextualSpacing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670F37" w:rsidRPr="00A61262" w:rsidSect="008B6936">
      <w:headerReference w:type="default" r:id="rId7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AF" w:rsidRDefault="00FF5DAF" w:rsidP="00670F37">
      <w:pPr>
        <w:spacing w:after="0" w:line="240" w:lineRule="auto"/>
      </w:pPr>
      <w:r>
        <w:separator/>
      </w:r>
    </w:p>
  </w:endnote>
  <w:endnote w:type="continuationSeparator" w:id="0">
    <w:p w:rsidR="00FF5DAF" w:rsidRDefault="00FF5DAF" w:rsidP="006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AF" w:rsidRDefault="00FF5DAF" w:rsidP="00670F37">
      <w:pPr>
        <w:spacing w:after="0" w:line="240" w:lineRule="auto"/>
      </w:pPr>
      <w:r>
        <w:separator/>
      </w:r>
    </w:p>
  </w:footnote>
  <w:footnote w:type="continuationSeparator" w:id="0">
    <w:p w:rsidR="00FF5DAF" w:rsidRDefault="00FF5DAF" w:rsidP="0067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36" w:rsidRPr="008B6936" w:rsidRDefault="008B6936" w:rsidP="008B6936">
    <w:pPr>
      <w:pStyle w:val="a4"/>
      <w:suppressAutoHyphens/>
      <w:spacing w:line="360" w:lineRule="auto"/>
      <w:ind w:firstLine="709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6DE4"/>
    <w:multiLevelType w:val="multilevel"/>
    <w:tmpl w:val="E52EA40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4">
      <w:start w:val="1"/>
      <w:numFmt w:val="decimal"/>
      <w:lvlText w:val="%5)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7C39FB"/>
    <w:multiLevelType w:val="multilevel"/>
    <w:tmpl w:val="B9E04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1863C8"/>
    <w:multiLevelType w:val="multilevel"/>
    <w:tmpl w:val="32DA3950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7"/>
        <w:szCs w:val="1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737"/>
    <w:rsid w:val="00175276"/>
    <w:rsid w:val="00264076"/>
    <w:rsid w:val="0029037E"/>
    <w:rsid w:val="002A24DD"/>
    <w:rsid w:val="00393B26"/>
    <w:rsid w:val="003B66E2"/>
    <w:rsid w:val="003F1A08"/>
    <w:rsid w:val="00643E42"/>
    <w:rsid w:val="00670F37"/>
    <w:rsid w:val="007A037A"/>
    <w:rsid w:val="0084534D"/>
    <w:rsid w:val="008B6936"/>
    <w:rsid w:val="00A61262"/>
    <w:rsid w:val="00AB3089"/>
    <w:rsid w:val="00C17187"/>
    <w:rsid w:val="00CC7BDF"/>
    <w:rsid w:val="00E90737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CD03DE-D7D0-49DA-B2A6-C75CE71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E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70F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70F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Гаитбек</dc:creator>
  <cp:keywords/>
  <dc:description/>
  <cp:lastModifiedBy>admin</cp:lastModifiedBy>
  <cp:revision>2</cp:revision>
  <dcterms:created xsi:type="dcterms:W3CDTF">2014-03-26T20:24:00Z</dcterms:created>
  <dcterms:modified xsi:type="dcterms:W3CDTF">2014-03-26T20:24:00Z</dcterms:modified>
</cp:coreProperties>
</file>