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64D5" w:rsidRDefault="00FD64D5">
      <w:pPr>
        <w:pStyle w:val="3"/>
        <w:jc w:val="both"/>
        <w:rPr>
          <w:rFonts w:ascii="Arial" w:hAnsi="Arial" w:cs="Arial"/>
          <w:sz w:val="20"/>
        </w:rPr>
      </w:pPr>
      <w:r>
        <w:rPr>
          <w:rFonts w:ascii="Arial" w:hAnsi="Arial" w:cs="Arial"/>
          <w:sz w:val="20"/>
        </w:rPr>
        <w:t>1. Источники правового регулирования отношений по внешнеэкономическим сделкам.</w:t>
      </w:r>
    </w:p>
    <w:p w:rsidR="00FD64D5" w:rsidRDefault="00FD64D5">
      <w:pPr>
        <w:jc w:val="both"/>
        <w:rPr>
          <w:rFonts w:ascii="Arial" w:hAnsi="Arial" w:cs="Arial"/>
          <w:sz w:val="20"/>
        </w:rPr>
      </w:pPr>
    </w:p>
    <w:p w:rsidR="00FD64D5" w:rsidRDefault="00FD64D5">
      <w:pPr>
        <w:jc w:val="both"/>
        <w:rPr>
          <w:rFonts w:ascii="Arial" w:eastAsia="Arial Unicode MS" w:hAnsi="Arial" w:cs="Arial"/>
          <w:sz w:val="20"/>
          <w:szCs w:val="27"/>
        </w:rPr>
      </w:pPr>
      <w:r>
        <w:rPr>
          <w:rFonts w:ascii="Arial" w:hAnsi="Arial" w:cs="Arial"/>
          <w:sz w:val="20"/>
          <w:szCs w:val="27"/>
        </w:rPr>
        <w:t>1.1. Сущность, принципы и цели внешнеторговой политики России</w:t>
      </w:r>
    </w:p>
    <w:p w:rsidR="00FD64D5" w:rsidRDefault="00FD64D5">
      <w:pPr>
        <w:pStyle w:val="a3"/>
        <w:jc w:val="both"/>
        <w:rPr>
          <w:rFonts w:ascii="Arial" w:hAnsi="Arial" w:cs="Arial"/>
          <w:sz w:val="20"/>
        </w:rPr>
      </w:pPr>
      <w:r>
        <w:rPr>
          <w:rFonts w:ascii="Arial" w:hAnsi="Arial" w:cs="Arial"/>
          <w:sz w:val="20"/>
        </w:rPr>
        <w:t xml:space="preserve">Государственное регулирование внешнеэкономической деятельности (ВЭД) представляет собой систему типовых мер законодательного, исполнительного и контролирующего характера, осуществляемых правомочными государственными учреждениями в целях поддержания внешнеэкономического равновесия, стимулирования прогрессивных сдвигов в структуре экспорта и импорта, поощрения притока иностранного капитала. </w:t>
      </w:r>
      <w:r>
        <w:rPr>
          <w:rFonts w:ascii="Arial" w:hAnsi="Arial" w:cs="Arial"/>
          <w:sz w:val="20"/>
        </w:rPr>
        <w:br/>
      </w:r>
      <w:r>
        <w:rPr>
          <w:rFonts w:ascii="Arial" w:hAnsi="Arial" w:cs="Arial"/>
          <w:sz w:val="20"/>
        </w:rPr>
        <w:br/>
        <w:t>Для формирования эффективного государственного регулирования ВЭД необходимо определить его сущность</w:t>
      </w:r>
      <w:r>
        <w:rPr>
          <w:rFonts w:ascii="Arial" w:hAnsi="Arial" w:cs="Arial"/>
          <w:i/>
          <w:iCs/>
          <w:sz w:val="20"/>
        </w:rPr>
        <w:t>,</w:t>
      </w:r>
      <w:r>
        <w:rPr>
          <w:rFonts w:ascii="Arial" w:hAnsi="Arial" w:cs="Arial"/>
          <w:sz w:val="20"/>
        </w:rPr>
        <w:t xml:space="preserve"> конкретные направления, формы и масштабы государственного вмешательства в эту сферу, которые определяются характером и остротой мирохозяйственных проблем России. </w:t>
      </w:r>
      <w:r>
        <w:rPr>
          <w:rFonts w:ascii="Arial" w:hAnsi="Arial" w:cs="Arial"/>
          <w:sz w:val="20"/>
        </w:rPr>
        <w:br/>
      </w:r>
      <w:r>
        <w:rPr>
          <w:rFonts w:ascii="Arial" w:hAnsi="Arial" w:cs="Arial"/>
          <w:sz w:val="20"/>
        </w:rPr>
        <w:br/>
        <w:t xml:space="preserve">Кардинальное изменение геополитического положения России после распада СССР существенно повысили роль внешнеэкономического фактора в развитии страны. Внешнеэкономическими для России стали хозяйственные и торговые связи с ближним зарубежьем. В результате зависимость России от внешних рынков более чем удвоилась. </w:t>
      </w:r>
      <w:r>
        <w:rPr>
          <w:rFonts w:ascii="Arial" w:hAnsi="Arial" w:cs="Arial"/>
          <w:sz w:val="20"/>
        </w:rPr>
        <w:br/>
      </w:r>
      <w:r>
        <w:rPr>
          <w:rFonts w:ascii="Arial" w:hAnsi="Arial" w:cs="Arial"/>
          <w:sz w:val="20"/>
        </w:rPr>
        <w:br/>
        <w:t xml:space="preserve">Усиление внешнеэкономического фактора объективно диктуется и проводимыми рыночными преобразованиями, формирующими качественно новые основы для взаимодействия отечественной экономики с мировой, внутреннего рынка с внешним. </w:t>
      </w:r>
      <w:r>
        <w:rPr>
          <w:rFonts w:ascii="Arial" w:hAnsi="Arial" w:cs="Arial"/>
          <w:sz w:val="20"/>
        </w:rPr>
        <w:br/>
      </w:r>
      <w:r>
        <w:rPr>
          <w:rFonts w:ascii="Arial" w:hAnsi="Arial" w:cs="Arial"/>
          <w:sz w:val="20"/>
        </w:rPr>
        <w:br/>
        <w:t xml:space="preserve">Системное обобщение требований к государственному регулированию ВЭД предполагает разработку концепции, соответствующую проблемам, условиям, целям и возможностям, имеющимся в стране. Обычно концепция зарождается и формулируется в научных кругах как реакция на осознанную потребность в изменении внешнеэкономической ситуации. Концепция государственного регулирования ВЭД основывается на анализе применимости инструментов государственного регулирования. Сюда относятся выяснение условий применимости отдельных регулирующих средств, их соответствия целям, степени совместимости отдельных средств, побочных эффектов их применения, эффективности средств регулирования и достаточности обоснования необходимости их применения. </w:t>
      </w:r>
      <w:r>
        <w:rPr>
          <w:rFonts w:ascii="Arial" w:hAnsi="Arial" w:cs="Arial"/>
          <w:sz w:val="20"/>
        </w:rPr>
        <w:br/>
      </w:r>
      <w:r>
        <w:rPr>
          <w:rFonts w:ascii="Arial" w:hAnsi="Arial" w:cs="Arial"/>
          <w:sz w:val="20"/>
        </w:rPr>
        <w:br/>
        <w:t xml:space="preserve">Концепция государственного регулирования ВЭД не может носить бесконфликтный характер, так как каждая регулирующая акция неизбежно задевает чьи-либо интересы, изменяет мотивацию внешнеэкономического поведения субъектов. Поэтому разрабатываемая концепция должна учитывать, какие группы участников ВЭД выиграют, а какие проиграют от осуществления этой концепции, какие новые проблемы могут возникнуть и как они отразятся на социально-экономическом положении страны. </w:t>
      </w:r>
      <w:r>
        <w:rPr>
          <w:rFonts w:ascii="Arial" w:hAnsi="Arial" w:cs="Arial"/>
          <w:sz w:val="20"/>
        </w:rPr>
        <w:br/>
      </w:r>
      <w:r>
        <w:rPr>
          <w:rFonts w:ascii="Arial" w:hAnsi="Arial" w:cs="Arial"/>
          <w:sz w:val="20"/>
        </w:rPr>
        <w:br/>
        <w:t xml:space="preserve">Разработка концепции государственного регулирования ВЭД может обгонять реальную практику государственного регулирования, то есть формироваться как осознанная необходимость изменения положения в мирохозяйственных связях еще до начала постановки конкретных целей и их осуществления. Возможно и отставание концепции от практики, когда концепция складывается в процессе экономико-политических экспериментов государственного регулирующего аппарата. </w:t>
      </w:r>
      <w:r>
        <w:rPr>
          <w:rFonts w:ascii="Arial" w:hAnsi="Arial" w:cs="Arial"/>
          <w:sz w:val="20"/>
        </w:rPr>
        <w:br/>
      </w:r>
      <w:r>
        <w:rPr>
          <w:rFonts w:ascii="Arial" w:hAnsi="Arial" w:cs="Arial"/>
          <w:sz w:val="20"/>
        </w:rPr>
        <w:br/>
        <w:t xml:space="preserve">Примером отставания концепции государственного регулирования ВЭД от потребностей в ней является переходный период в России. С середины 80-х гг. в нашей стране противоречиво и часто неэффективно происходило формирование концепции государственного регулирования ВЭД. </w:t>
      </w:r>
      <w:r>
        <w:rPr>
          <w:rFonts w:ascii="Arial" w:hAnsi="Arial" w:cs="Arial"/>
          <w:sz w:val="20"/>
        </w:rPr>
        <w:br/>
      </w:r>
      <w:r>
        <w:rPr>
          <w:rFonts w:ascii="Arial" w:hAnsi="Arial" w:cs="Arial"/>
          <w:sz w:val="20"/>
        </w:rPr>
        <w:br/>
        <w:t xml:space="preserve">Концепция со временем становится правительственной доктриной, которая трансформируется во внешнеторговую политику. Внешнеторговая политика (ВТП) - это целенаправленные действия государства и его органов по определению режима регулирования внешнеэкономической деятельности и оптимизации участия страны в международном разделении труда. Основными составляющими ВТП являются экспортная и импортная политика, валютная политика, политика в области привлечения иностранных инвестиций и регулирования национальных капиталовложений за рубежом. Кроме того, ВТП решает и задачи географической сбалансированности внешнеэкономических операций с отдельными государствами и регионами, что связано с обеспечением экономической безопасности страны. Существующий у государства обширный арсенал инструментов ВТП позволяет ему оказывать активное влияние на формирование структуры и направлений развития отечественной экономики. </w:t>
      </w:r>
      <w:r>
        <w:rPr>
          <w:rFonts w:ascii="Arial" w:hAnsi="Arial" w:cs="Arial"/>
          <w:sz w:val="20"/>
        </w:rPr>
        <w:br/>
      </w:r>
      <w:r>
        <w:rPr>
          <w:rFonts w:ascii="Arial" w:hAnsi="Arial" w:cs="Arial"/>
          <w:sz w:val="20"/>
        </w:rPr>
        <w:br/>
        <w:t xml:space="preserve">Центральное место во ВТП уделяется экономико-правовому регулированию поведения участников ВЭД, с тем чтобы оно отвечало общенациональным интересам. Государство при осуществлении регулирования ВЭД не может исходить из индивидуальной или групповой позиции отдельных хозяйствующих субъектов. Задача государственного регулирования - это компромисс между многочисленными и разнообразными интересами участников ВЭД. </w:t>
      </w:r>
      <w:r>
        <w:rPr>
          <w:rFonts w:ascii="Arial" w:hAnsi="Arial" w:cs="Arial"/>
          <w:sz w:val="20"/>
        </w:rPr>
        <w:br/>
      </w:r>
      <w:r>
        <w:rPr>
          <w:rFonts w:ascii="Arial" w:hAnsi="Arial" w:cs="Arial"/>
          <w:sz w:val="20"/>
        </w:rPr>
        <w:br/>
        <w:t xml:space="preserve">Раньше, в условиях государственной монополии на ВЭД, когда в СССР господствовала государственная собственность, а число участников ВЭД не превышало несколько десятков, практически вся эта деятельность управлялась из одного центра на базе государственного плана, что и приводило к незаинтересованности непосредственных производителей в экспорте, к закупкам продукции, в которой нет особой нужды, и в результате к огромной массе неустановленного импортного оборудования и другим негативным последствиям. </w:t>
      </w:r>
      <w:r>
        <w:rPr>
          <w:rFonts w:ascii="Arial" w:hAnsi="Arial" w:cs="Arial"/>
          <w:sz w:val="20"/>
        </w:rPr>
        <w:br/>
      </w:r>
      <w:r>
        <w:rPr>
          <w:rFonts w:ascii="Arial" w:hAnsi="Arial" w:cs="Arial"/>
          <w:sz w:val="20"/>
        </w:rPr>
        <w:br/>
        <w:t xml:space="preserve">В условиях перехода к рынку и плюрализму форм собственности, предоставления всем предприятиям независимо от форм собственности права заниматься ВЭД, экономические интересы в области ВЭД зачастую не только различные, но и диаметрально противоположные. Например, экспортер хочет государственных заказов, налоговых льгот, экспортных кредитов и снижения курса национальной валюты, а импортер его повышения. </w:t>
      </w:r>
      <w:r>
        <w:rPr>
          <w:rFonts w:ascii="Arial" w:hAnsi="Arial" w:cs="Arial"/>
          <w:sz w:val="20"/>
        </w:rPr>
        <w:br/>
      </w:r>
      <w:r>
        <w:rPr>
          <w:rFonts w:ascii="Arial" w:hAnsi="Arial" w:cs="Arial"/>
          <w:sz w:val="20"/>
        </w:rPr>
        <w:br/>
        <w:t xml:space="preserve">Очевидно, индивидуальные внешнеэкономические интересы преследуют эгоистические цели и устремлены против других участников ВЭД. Есть устремления и в отношении государства, так как каждый хозяйственный субъект хотел бы как можно меньше платить внешнеэкономических налогов и сборов, но в то же время как можно больше получать от государства льгот. </w:t>
      </w:r>
      <w:r>
        <w:rPr>
          <w:rFonts w:ascii="Arial" w:hAnsi="Arial" w:cs="Arial"/>
          <w:sz w:val="20"/>
        </w:rPr>
        <w:br/>
      </w:r>
      <w:r>
        <w:rPr>
          <w:rFonts w:ascii="Arial" w:hAnsi="Arial" w:cs="Arial"/>
          <w:sz w:val="20"/>
        </w:rPr>
        <w:br/>
        <w:t xml:space="preserve">Участники ВЭД выражают свои индивидуальные интересы в средствах массовой информации, обращаются с протестами, требованиями и петициями в центральные и местные органы государственного управления, ответственные за регулирование ВЭД. Чем могущественнее участник ВЭД, стремящийся оказать воздействие на государственные регулирующие органы, тем вероятнее осуществление его стремлений. </w:t>
      </w:r>
      <w:r>
        <w:rPr>
          <w:rFonts w:ascii="Arial" w:hAnsi="Arial" w:cs="Arial"/>
          <w:sz w:val="20"/>
        </w:rPr>
        <w:br/>
      </w:r>
      <w:r>
        <w:rPr>
          <w:rFonts w:ascii="Arial" w:hAnsi="Arial" w:cs="Arial"/>
          <w:sz w:val="20"/>
        </w:rPr>
        <w:br/>
        <w:t xml:space="preserve">Однако, во-первых, эти пожелания и требования чаще всего противоречат друг другу. Во-вторых, они могут противоречить целям внешнеэкономического равновесия, сбалансированности бюджета, финансовым возможностям правительства. </w:t>
      </w:r>
      <w:r>
        <w:rPr>
          <w:rFonts w:ascii="Arial" w:hAnsi="Arial" w:cs="Arial"/>
          <w:sz w:val="20"/>
        </w:rPr>
        <w:br/>
      </w:r>
      <w:r>
        <w:rPr>
          <w:rFonts w:ascii="Arial" w:hAnsi="Arial" w:cs="Arial"/>
          <w:sz w:val="20"/>
        </w:rPr>
        <w:br/>
        <w:t xml:space="preserve">Понимая, что в одиночку участники ВЭД не смогут добиться успехов в борьбе с конкурентами и отстаивать свои интересы перед государственным аппаратом, они образовывают группы, отличающиеся друг от друга индивидуальными экономическими интересами. У каждой из этих групп есть свои типовые внешнеэкономические интересы, обусловленные их экономическим положением, а также отношением к тому или иному виду деятельности. </w:t>
      </w:r>
      <w:r>
        <w:rPr>
          <w:rFonts w:ascii="Arial" w:hAnsi="Arial" w:cs="Arial"/>
          <w:sz w:val="20"/>
        </w:rPr>
        <w:br/>
      </w:r>
      <w:r>
        <w:rPr>
          <w:rFonts w:ascii="Arial" w:hAnsi="Arial" w:cs="Arial"/>
          <w:sz w:val="20"/>
        </w:rPr>
        <w:br/>
        <w:t xml:space="preserve">Группы по внешнеэкономическим интересам носят самые различные названия: союзы, объединения, ассоциации экспортеров и импортеров различных видов продукции, предприятий с иностранными инвестициями и т.д. Наиболее устойчивы и многочисленны те группы, которые имеют жизненно важные для них и долгосрочные внешнеэкономические интересы. Они имеют четкую организационную структуру, профессиональные кадры, оказывают постоянное воздействие на методы государственного регулирования ВЭД. </w:t>
      </w:r>
      <w:r>
        <w:rPr>
          <w:rFonts w:ascii="Arial" w:hAnsi="Arial" w:cs="Arial"/>
          <w:sz w:val="20"/>
        </w:rPr>
        <w:br/>
      </w:r>
      <w:r>
        <w:rPr>
          <w:rFonts w:ascii="Arial" w:hAnsi="Arial" w:cs="Arial"/>
          <w:sz w:val="20"/>
        </w:rPr>
        <w:br/>
        <w:t xml:space="preserve">Объединения участников ВЭД не просто отражают сумму интересов своих членов; они выполняют значительно более сложные задачи. Во-первых, унифицируют самые общие и важные интересы. Руководство объединения должно их выявить, обобщить и сформулировать. </w:t>
      </w:r>
      <w:r>
        <w:rPr>
          <w:rFonts w:ascii="Arial" w:hAnsi="Arial" w:cs="Arial"/>
          <w:sz w:val="20"/>
        </w:rPr>
        <w:br/>
      </w:r>
      <w:r>
        <w:rPr>
          <w:rFonts w:ascii="Arial" w:hAnsi="Arial" w:cs="Arial"/>
          <w:sz w:val="20"/>
        </w:rPr>
        <w:br/>
        <w:t xml:space="preserve">Во-вторых, объединения превращают обобщенные интересы в программу действий. Стратегия и тактика осуществления интересов разрабатываются в трех направлениях: </w:t>
      </w:r>
    </w:p>
    <w:p w:rsidR="00FD64D5" w:rsidRDefault="00FD64D5">
      <w:pPr>
        <w:numPr>
          <w:ilvl w:val="0"/>
          <w:numId w:val="1"/>
        </w:numPr>
        <w:spacing w:before="100" w:beforeAutospacing="1" w:after="100" w:afterAutospacing="1"/>
        <w:jc w:val="both"/>
        <w:rPr>
          <w:rFonts w:ascii="Arial" w:hAnsi="Arial" w:cs="Arial"/>
          <w:sz w:val="20"/>
        </w:rPr>
      </w:pPr>
      <w:r>
        <w:rPr>
          <w:rFonts w:ascii="Arial" w:hAnsi="Arial" w:cs="Arial"/>
          <w:sz w:val="20"/>
        </w:rPr>
        <w:t xml:space="preserve">Против объединений по интересам их антагонистов. </w:t>
      </w:r>
    </w:p>
    <w:p w:rsidR="00FD64D5" w:rsidRDefault="00FD64D5">
      <w:pPr>
        <w:numPr>
          <w:ilvl w:val="0"/>
          <w:numId w:val="1"/>
        </w:numPr>
        <w:spacing w:before="100" w:beforeAutospacing="1" w:after="100" w:afterAutospacing="1"/>
        <w:jc w:val="both"/>
        <w:rPr>
          <w:rFonts w:ascii="Arial" w:hAnsi="Arial" w:cs="Arial"/>
          <w:sz w:val="20"/>
        </w:rPr>
      </w:pPr>
      <w:r>
        <w:rPr>
          <w:rFonts w:ascii="Arial" w:hAnsi="Arial" w:cs="Arial"/>
          <w:sz w:val="20"/>
        </w:rPr>
        <w:t xml:space="preserve">В ряде случаев национальные отраслевые ассоциации экспортеров, банкиров, судовладельцев и др. выступают в качестве организаторов и координаторов продвижения своих товаров, услуг и капиталов на мировых рынках, то есть в качестве негласных общенациональных картелей, хотя это и запрещено законами. </w:t>
      </w:r>
    </w:p>
    <w:p w:rsidR="00FD64D5" w:rsidRDefault="00FD64D5">
      <w:pPr>
        <w:numPr>
          <w:ilvl w:val="0"/>
          <w:numId w:val="1"/>
        </w:numPr>
        <w:spacing w:before="100" w:beforeAutospacing="1" w:after="100" w:afterAutospacing="1"/>
        <w:jc w:val="both"/>
        <w:rPr>
          <w:rFonts w:ascii="Arial" w:hAnsi="Arial" w:cs="Arial"/>
          <w:sz w:val="20"/>
        </w:rPr>
      </w:pPr>
      <w:r>
        <w:rPr>
          <w:rFonts w:ascii="Arial" w:hAnsi="Arial" w:cs="Arial"/>
          <w:sz w:val="20"/>
        </w:rPr>
        <w:t xml:space="preserve">Для претворения требований своих объединений в законодательные акты, постановления правительства, судебные решения, для предоставления различных льгот, кредитов, субсидий.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Крупнейшие выразители внешнеэкономических интересов имеют свои исследовательские учреждения, печатные издания, значительные финансовые ресурсы, центры подготовки кадров и связи с общественностью. </w:t>
      </w:r>
      <w:r>
        <w:rPr>
          <w:rFonts w:ascii="Arial" w:hAnsi="Arial" w:cs="Arial"/>
          <w:sz w:val="20"/>
        </w:rPr>
        <w:br/>
      </w:r>
      <w:r>
        <w:rPr>
          <w:rFonts w:ascii="Arial" w:hAnsi="Arial" w:cs="Arial"/>
          <w:sz w:val="20"/>
        </w:rPr>
        <w:br/>
        <w:t xml:space="preserve">Одним из инструментов воздействия организованных внешнеэкономических интересов на принятие решений и их исполнение государственными органами власти является лоббизм. Лоббисты стремятся предоставить профессиональным политикам и чиновникам информацию, аргументы и проекты решений, выгодные тем, кого эти лоббисты представляют. </w:t>
      </w:r>
      <w:r>
        <w:rPr>
          <w:rFonts w:ascii="Arial" w:hAnsi="Arial" w:cs="Arial"/>
          <w:sz w:val="20"/>
        </w:rPr>
        <w:br/>
      </w:r>
      <w:r>
        <w:rPr>
          <w:rFonts w:ascii="Arial" w:hAnsi="Arial" w:cs="Arial"/>
          <w:sz w:val="20"/>
        </w:rPr>
        <w:br/>
        <w:t xml:space="preserve">Не менее важным, чем лоббизм, средством воздействия групп по интересам на государственное регулирование ВЭД является личное замещение представителями таких групп должностей в законодательных, исполнительных, судебных органах и государственных банках. Представителю объединения, пользующемуся его финансовой и организационной поддержкой, голосами сторонников, значительно легче занять место в государственном аппарате. </w:t>
      </w:r>
      <w:r>
        <w:rPr>
          <w:rFonts w:ascii="Arial" w:hAnsi="Arial" w:cs="Arial"/>
          <w:sz w:val="20"/>
        </w:rPr>
        <w:br/>
      </w:r>
      <w:r>
        <w:rPr>
          <w:rFonts w:ascii="Arial" w:hAnsi="Arial" w:cs="Arial"/>
          <w:sz w:val="20"/>
        </w:rPr>
        <w:br/>
        <w:t xml:space="preserve">По мере того как эти группы набирают силу, государственный аппарат вынужден сотрудничать с ними. Во-первых, им удобно, когда с самого начала подготовки закона, постановления, любого другого документа, мероприятия квалифицированные эксперты предоставляют информацию, помощь, берут на себя черновую работу. </w:t>
      </w:r>
      <w:r>
        <w:rPr>
          <w:rFonts w:ascii="Arial" w:hAnsi="Arial" w:cs="Arial"/>
          <w:sz w:val="20"/>
        </w:rPr>
        <w:br/>
      </w:r>
      <w:r>
        <w:rPr>
          <w:rFonts w:ascii="Arial" w:hAnsi="Arial" w:cs="Arial"/>
          <w:sz w:val="20"/>
        </w:rPr>
        <w:br/>
        <w:t xml:space="preserve">Во-вторых, жизненная необходимость превращает государственные органы управления в естественных партнеров объединений и ассоциаций. Так, министерство внешних экономических связей и торговли не может обойтись без постоянного контакта с объединениями экспортеров и импортеров. </w:t>
      </w:r>
      <w:r>
        <w:rPr>
          <w:rFonts w:ascii="Arial" w:hAnsi="Arial" w:cs="Arial"/>
          <w:sz w:val="20"/>
        </w:rPr>
        <w:br/>
      </w:r>
      <w:r>
        <w:rPr>
          <w:rFonts w:ascii="Arial" w:hAnsi="Arial" w:cs="Arial"/>
          <w:sz w:val="20"/>
        </w:rPr>
        <w:br/>
        <w:t xml:space="preserve">Объединения по внешнеэкономическим интересам связаны с политическими партиями и и оказывают определенное влияние на их успех на выборах, поскольку являются одними из их спонсоров. В случае успеха партии на выборах элементы ее партийной программы, в том числе и раздел по концепции государственного регулирования ВЭД, находят отражение в правительственной программе, проводить которую в жизнь будут субъекты государственного регулирования ВЭД - исполнители групповых внешнеэкономических интересов. </w:t>
      </w:r>
      <w:r>
        <w:rPr>
          <w:rFonts w:ascii="Arial" w:hAnsi="Arial" w:cs="Arial"/>
          <w:sz w:val="20"/>
        </w:rPr>
        <w:br/>
      </w:r>
      <w:r>
        <w:rPr>
          <w:rFonts w:ascii="Arial" w:hAnsi="Arial" w:cs="Arial"/>
          <w:sz w:val="20"/>
        </w:rPr>
        <w:br/>
        <w:t xml:space="preserve">Главная задача государства в современных условиях - выработка ВТП, адекватной рыночным принципам функционирования российской экономики и ее последовательной интеграции в мировое хозяйство. </w:t>
      </w:r>
      <w:r>
        <w:rPr>
          <w:rFonts w:ascii="Arial" w:hAnsi="Arial" w:cs="Arial"/>
          <w:sz w:val="20"/>
        </w:rPr>
        <w:br/>
      </w:r>
      <w:r>
        <w:rPr>
          <w:rFonts w:ascii="Arial" w:hAnsi="Arial" w:cs="Arial"/>
          <w:sz w:val="20"/>
        </w:rPr>
        <w:br/>
        <w:t xml:space="preserve">В принципиальном плане выбор в России модели &lt;открытой&gt; экономики и либерализации ВЭД явился, безусловно, правильным. Однако в толковании самой сути открытости, определении стратегии и тактики ее достижения с самого начала осуществления реформ не было достаточной ясности и четкости. Сформировалось два подхода, две точки зрения: понимание ее как быстрой &lt;шоковой&gt; либерализации ВЭД и, наоборот, как процесса, имеющего этапность и требующего активной, преобразующей роли государства. </w:t>
      </w:r>
      <w:r>
        <w:rPr>
          <w:rFonts w:ascii="Arial" w:hAnsi="Arial" w:cs="Arial"/>
          <w:sz w:val="20"/>
        </w:rPr>
        <w:br/>
      </w:r>
      <w:r>
        <w:rPr>
          <w:rFonts w:ascii="Arial" w:hAnsi="Arial" w:cs="Arial"/>
          <w:sz w:val="20"/>
        </w:rPr>
        <w:br/>
        <w:t xml:space="preserve">В реальной политике российского руководства эти два подхода постоянно смешивались и сталкивались. Меры по &lt;шоковому&gt; открытию внутреннего рынка и либерализации ВЭД неупорядоченно чередовались с жесткими административными мерами, тарифные методы регулирования экспорта и импорта - с нетарифными. Нескоординированными были действия в области ценовой, валютной и экспортно-импортной политики, а также практические решения, принимаемые различными ведомствами, центрами и регионами. В результате обострилась иностранная конкуренция на отечественном рынке, по ряду направлений неоправданно подрывая позиции российских производителей. Кроме того, оказались кардинально ослаблены их конкурентные возможности на внешних рынках, что негативно сказалось на объеме российского экспорта. </w:t>
      </w:r>
      <w:r>
        <w:rPr>
          <w:rFonts w:ascii="Arial" w:hAnsi="Arial" w:cs="Arial"/>
          <w:sz w:val="20"/>
        </w:rPr>
        <w:br/>
      </w:r>
      <w:r>
        <w:rPr>
          <w:rFonts w:ascii="Arial" w:hAnsi="Arial" w:cs="Arial"/>
          <w:sz w:val="20"/>
        </w:rPr>
        <w:br/>
        <w:t xml:space="preserve">Все это заставило отказаться от шоковых методов и прорабатывать приближенную к реальным условиям России модель ВТП. Основой регулирования иностранной конкуренции на внутреннем рынке становится таможенный тариф на базе современного таможенного законодательства России. Это позволяет нашей стране интегрироваться в международную торгово-экономическую систему по общепринятым правилам, открывает ей путь в Генеральное соглашение по тарифам и торговле (ГАТТ) и Всемирную торговую организацию (ВТО). Тем самым существенно расширяются каналы для перенесения через ВЭД рыночных методов и механизмов внутрь российской экономики. </w:t>
      </w:r>
      <w:r>
        <w:rPr>
          <w:rFonts w:ascii="Arial" w:hAnsi="Arial" w:cs="Arial"/>
          <w:sz w:val="20"/>
        </w:rPr>
        <w:br/>
      </w:r>
      <w:r>
        <w:rPr>
          <w:rFonts w:ascii="Arial" w:hAnsi="Arial" w:cs="Arial"/>
          <w:sz w:val="20"/>
        </w:rPr>
        <w:br/>
        <w:t>Следовательно, в сложных отечественных условиях раскрытие национальной экономики вовне должно быть постепенным, селективным и опирающимся на продуманную структурную и промышленную политику, при тонком индивидуальном сочетании мер либерализации и протекционизма. Накопление опыта в процессе формирования системы регулирования внешнеэкономической деятельности позволило обобщить практику в этой области и, с учетом мирового опыта, подготовить Закон "0 государственном регулировании внешнеторговой деятельности”, вступивший в силу в полном объеме с 1 июня 1996 г. Этот Закон содержит основные принципы регулирования внешнеэкономической деятельности:</w:t>
      </w:r>
      <w:r>
        <w:rPr>
          <w:rFonts w:ascii="Arial" w:hAnsi="Arial" w:cs="Arial"/>
          <w:b/>
          <w:bCs/>
          <w:sz w:val="20"/>
        </w:rPr>
        <w:t xml:space="preserve"> </w:t>
      </w:r>
      <w:r>
        <w:rPr>
          <w:rFonts w:ascii="Arial" w:hAnsi="Arial" w:cs="Arial"/>
          <w:b/>
          <w:bCs/>
          <w:sz w:val="20"/>
        </w:rPr>
        <w:br/>
      </w:r>
      <w:r>
        <w:rPr>
          <w:rFonts w:ascii="Arial" w:hAnsi="Arial" w:cs="Arial"/>
          <w:b/>
          <w:bCs/>
          <w:sz w:val="20"/>
        </w:rPr>
        <w:br/>
        <w:t>1)</w:t>
      </w:r>
      <w:r>
        <w:rPr>
          <w:rFonts w:ascii="Arial" w:hAnsi="Arial" w:cs="Arial"/>
          <w:sz w:val="20"/>
        </w:rPr>
        <w:t xml:space="preserve"> преобразующая (а не только сугубо регулирующая) деятельность государства, вырабатывающего политику развития отраслей и регионов, под которую подстраивается вся системы государственного регулирования внешнеторговой деятельности и контроля за ее осуществлением. На современном этапе развития государство стремится регулировать развитие внешней торговли не административными запретами и ограничениями, а путем создания благоприятных экономических условий для осуществления тех внешнеэкономических операций, которые способствуют повышению эффективности национальной экономики, реализации тех или иных задач социально-экономического развития страны. В то же время для операций, которые могут оказать неблагоприятное воздействие на экономику страны, создаются менее благоприятные экономические условия. Административные меры могут использоваться только в том случае, если с помощью иных (т.е. экономических) методов невозможно достигнуть поставленных целей. Рыночной системе хозяйства в принципе больше соответствуют экономические инструменты регулирования ВЭД. Но эффективность их использования имеет определенные рамки. В периоды значительного ухудшения состояния экономики, инфляции и резких различий между внутренними и мировыми ценами правительства (и об этом свидетельствует зарубежный опыт) в интересах мобилизации и лучшего использования ограниченных ресурсов вынуждены прибегать к административным инструментам регулирования экспортно-импортных операций. </w:t>
      </w:r>
      <w:r>
        <w:rPr>
          <w:rFonts w:ascii="Arial" w:hAnsi="Arial" w:cs="Arial"/>
          <w:sz w:val="20"/>
        </w:rPr>
        <w:br/>
      </w:r>
      <w:r>
        <w:rPr>
          <w:rFonts w:ascii="Arial" w:hAnsi="Arial" w:cs="Arial"/>
          <w:sz w:val="20"/>
        </w:rPr>
        <w:br/>
        <w:t xml:space="preserve">Однако активное применение административного регулирования ни в коем случае не должно сводиться к использованию наиболее жестких инструментов репрессивного характера. Важно задействовать весь разработанный мировой практикой арсенал таких средств (в зарубежных странах применяются десятки видов лишь квотирования и лицензирования) и создать с их помощью комплексную систему управления внешнеэкономическими операциями. Ее целью должно быть не столько ограничение торговли, сколько контроль за ее развитием. </w:t>
      </w:r>
      <w:r>
        <w:rPr>
          <w:rFonts w:ascii="Arial" w:hAnsi="Arial" w:cs="Arial"/>
          <w:sz w:val="20"/>
        </w:rPr>
        <w:br/>
      </w:r>
      <w:r>
        <w:rPr>
          <w:rFonts w:ascii="Arial" w:hAnsi="Arial" w:cs="Arial"/>
          <w:sz w:val="20"/>
        </w:rPr>
        <w:br/>
        <w:t xml:space="preserve">Поэтому использование административных инструментов сочетается в России с общепринятыми в мире правилами регулирования ВЭД. В частности, в России декларировано установление таких инструментов в качестве временных; предусмотрены распространение положений соответствующих документов на </w:t>
      </w:r>
      <w:r>
        <w:rPr>
          <w:rFonts w:ascii="Arial" w:hAnsi="Arial" w:cs="Arial"/>
          <w:sz w:val="20"/>
        </w:rPr>
        <w:br/>
      </w:r>
      <w:r>
        <w:rPr>
          <w:rFonts w:ascii="Arial" w:hAnsi="Arial" w:cs="Arial"/>
          <w:sz w:val="20"/>
        </w:rPr>
        <w:br/>
        <w:t xml:space="preserve">всех торговых партнеров (исключения возможны лишь в отношении развивающихся стран) и возможность изменять процедуру регулирования только на основе публикуемых законодательных актов. </w:t>
      </w:r>
      <w:r>
        <w:rPr>
          <w:rFonts w:ascii="Arial" w:hAnsi="Arial" w:cs="Arial"/>
          <w:sz w:val="20"/>
        </w:rPr>
        <w:br/>
      </w:r>
      <w:r>
        <w:rPr>
          <w:rFonts w:ascii="Arial" w:hAnsi="Arial" w:cs="Arial"/>
          <w:sz w:val="20"/>
        </w:rPr>
        <w:br/>
        <w:t>По мере укрепления рыночных отношений основными субъектами ВЭД должны стать самостоятельные предприятия любых форм собственности, действующие в рамках закона под свою ответственность. Главная же задача государства - всемерное содействие и облегчение ВЭД этих субъектов. Без мощной поддержки государства - торгово-политической, кредитно-финансовой, налоговых и иных льгот - молодым, начинающим российским предпринимателям не вписаться без огромных потерь для себя и для страны в международные экономические отношения. Именно это направление - содействие и поддержка - должно стать главным в деятельности государственных органов при усовершенствовании регулирования ВЭД;</w:t>
      </w:r>
      <w:r>
        <w:rPr>
          <w:rFonts w:ascii="Arial" w:hAnsi="Arial" w:cs="Arial"/>
          <w:b/>
          <w:bCs/>
          <w:sz w:val="20"/>
        </w:rPr>
        <w:t xml:space="preserve"> </w:t>
      </w:r>
      <w:r>
        <w:rPr>
          <w:rFonts w:ascii="Arial" w:hAnsi="Arial" w:cs="Arial"/>
          <w:b/>
          <w:bCs/>
          <w:sz w:val="20"/>
        </w:rPr>
        <w:br/>
      </w:r>
      <w:r>
        <w:rPr>
          <w:rFonts w:ascii="Arial" w:hAnsi="Arial" w:cs="Arial"/>
          <w:b/>
          <w:bCs/>
          <w:sz w:val="20"/>
        </w:rPr>
        <w:br/>
        <w:t>2)</w:t>
      </w:r>
      <w:r>
        <w:rPr>
          <w:rFonts w:ascii="Arial" w:hAnsi="Arial" w:cs="Arial"/>
          <w:sz w:val="20"/>
        </w:rPr>
        <w:t xml:space="preserve"> изменение ВЭД российских фирм в направлении от преимущественно разовых внешнеэкономических сделок к ВЭД как постоянной и органической части их общей хозяйственной деятельности с долгосрочной ориентацией на удержание и расширение внешних рынков;</w:t>
      </w:r>
      <w:r>
        <w:rPr>
          <w:rFonts w:ascii="Arial" w:hAnsi="Arial" w:cs="Arial"/>
          <w:b/>
          <w:bCs/>
          <w:sz w:val="20"/>
        </w:rPr>
        <w:t xml:space="preserve"> </w:t>
      </w:r>
      <w:r>
        <w:rPr>
          <w:rFonts w:ascii="Arial" w:hAnsi="Arial" w:cs="Arial"/>
          <w:b/>
          <w:bCs/>
          <w:sz w:val="20"/>
        </w:rPr>
        <w:br/>
      </w:r>
      <w:r>
        <w:rPr>
          <w:rFonts w:ascii="Arial" w:hAnsi="Arial" w:cs="Arial"/>
          <w:b/>
          <w:bCs/>
          <w:sz w:val="20"/>
        </w:rPr>
        <w:br/>
        <w:t>3)</w:t>
      </w:r>
      <w:r>
        <w:rPr>
          <w:rFonts w:ascii="Arial" w:hAnsi="Arial" w:cs="Arial"/>
          <w:sz w:val="20"/>
        </w:rPr>
        <w:t xml:space="preserve"> четкое разделение функций осуществления ВТП между ветвями власти, ведомствами, а также Федерацией и ее субъектами. Действие системы внешнеэкономического регулирования, определенной федеральными законами и иными нормативными правовыми актами РФ, распространяется на всю территорию Российской Федерации. Президент осуществляет руководство государственной внешнеторговой политикой. Правительство обеспечивает проведение единой государственной внешнеторговой политики и осуществляет меры по ее реализации. В соответствии с Законом разработка предложений по государственной внешнеторговой политике Российской Федерации, регулированию внешнеторговой деятельности ее участников, заключению международных договоров Российской Федерации в области внешнеторговых связей осуществляется Федеральным органом исполнительной власти, на который Правительством Российской Федерации непосредственно возложены координация и регулирование внешнеторговой деятельности, совместно с другими федеральными органами исполнительной власти в пределах их компетенции.</w:t>
      </w:r>
      <w:r>
        <w:rPr>
          <w:rFonts w:ascii="Arial" w:hAnsi="Arial" w:cs="Arial"/>
          <w:b/>
          <w:bCs/>
          <w:sz w:val="20"/>
        </w:rPr>
        <w:t xml:space="preserve"> </w:t>
      </w:r>
      <w:r>
        <w:rPr>
          <w:rFonts w:ascii="Arial" w:hAnsi="Arial" w:cs="Arial"/>
          <w:b/>
          <w:bCs/>
          <w:sz w:val="20"/>
        </w:rPr>
        <w:br/>
      </w:r>
      <w:r>
        <w:rPr>
          <w:rFonts w:ascii="Arial" w:hAnsi="Arial" w:cs="Arial"/>
          <w:b/>
          <w:bCs/>
          <w:sz w:val="20"/>
        </w:rPr>
        <w:br/>
        <w:t>4)</w:t>
      </w:r>
      <w:r>
        <w:rPr>
          <w:rFonts w:ascii="Arial" w:hAnsi="Arial" w:cs="Arial"/>
          <w:sz w:val="20"/>
        </w:rPr>
        <w:t xml:space="preserve"> внешнеторговая политика является составной частью внешней политики Российской Федерации. Она подчинена требованиям внешней политики государства и не может входить в противоречие с ней. Поэтому конкретные решения в области внешнеторговой политики должны в полной мере согласовываться с политикой внешней. Если, скажем, Россия присоединяется к международным санкциям в отношении какого-либо государства, это должно находить отражение и в прекращении внешнеторговых операций с данной страной, какими бы выгодными они не являлись. Поэтому создание благоприятных условий для российских экспортеров на мировом рынке призвано стать одной из центральных задач российской внешней политики;</w:t>
      </w:r>
      <w:r>
        <w:rPr>
          <w:rFonts w:ascii="Arial" w:hAnsi="Arial" w:cs="Arial"/>
          <w:b/>
          <w:bCs/>
          <w:sz w:val="20"/>
        </w:rPr>
        <w:t xml:space="preserve"> </w:t>
      </w:r>
      <w:r>
        <w:rPr>
          <w:rFonts w:ascii="Arial" w:hAnsi="Arial" w:cs="Arial"/>
          <w:b/>
          <w:bCs/>
          <w:sz w:val="20"/>
        </w:rPr>
        <w:br/>
      </w:r>
      <w:r>
        <w:rPr>
          <w:rFonts w:ascii="Arial" w:hAnsi="Arial" w:cs="Arial"/>
          <w:b/>
          <w:bCs/>
          <w:sz w:val="20"/>
        </w:rPr>
        <w:br/>
        <w:t>5)</w:t>
      </w:r>
      <w:r>
        <w:rPr>
          <w:rFonts w:ascii="Arial" w:hAnsi="Arial" w:cs="Arial"/>
          <w:b/>
          <w:bCs/>
          <w:i/>
          <w:iCs/>
          <w:sz w:val="20"/>
        </w:rPr>
        <w:t xml:space="preserve"> </w:t>
      </w:r>
      <w:r>
        <w:rPr>
          <w:rFonts w:ascii="Arial" w:hAnsi="Arial" w:cs="Arial"/>
          <w:sz w:val="20"/>
        </w:rPr>
        <w:t xml:space="preserve">единство политики экспортного контроля, осуществляемой в интересах реализации государственных задач обеспечения национальной безопасности, политических, экономических и военных интересов, а также выполнения международных обязательств Российской Федерации по недопущению вывоза оружия массового уничтожения и иных наиболее опасных видов оружия. </w:t>
      </w:r>
      <w:r>
        <w:rPr>
          <w:rFonts w:ascii="Arial" w:hAnsi="Arial" w:cs="Arial"/>
          <w:sz w:val="20"/>
        </w:rPr>
        <w:br/>
      </w:r>
      <w:r>
        <w:rPr>
          <w:rFonts w:ascii="Arial" w:hAnsi="Arial" w:cs="Arial"/>
          <w:sz w:val="20"/>
        </w:rPr>
        <w:br/>
        <w:t>Экспортный контроль находится в компетенции федеральных властей и определяется исключительно на основе обеспечения безопасности страны, ее экономических, политических и военных интересов. Перечни товаров, подлежащих экспортному контролю, утверждаются Президентом РФ;</w:t>
      </w:r>
      <w:r>
        <w:rPr>
          <w:rFonts w:ascii="Arial" w:hAnsi="Arial" w:cs="Arial"/>
          <w:b/>
          <w:bCs/>
          <w:sz w:val="20"/>
        </w:rPr>
        <w:t xml:space="preserve"> </w:t>
      </w:r>
      <w:r>
        <w:rPr>
          <w:rFonts w:ascii="Arial" w:hAnsi="Arial" w:cs="Arial"/>
          <w:b/>
          <w:bCs/>
          <w:sz w:val="20"/>
        </w:rPr>
        <w:br/>
      </w:r>
      <w:r>
        <w:rPr>
          <w:rFonts w:ascii="Arial" w:hAnsi="Arial" w:cs="Arial"/>
          <w:b/>
          <w:bCs/>
          <w:sz w:val="20"/>
        </w:rPr>
        <w:br/>
        <w:t>6)</w:t>
      </w:r>
      <w:r>
        <w:rPr>
          <w:rFonts w:ascii="Arial" w:hAnsi="Arial" w:cs="Arial"/>
          <w:sz w:val="20"/>
        </w:rPr>
        <w:t xml:space="preserve"> на всей территории Российской Федерации действует единый таможенный режим; по отношению ко всем ввозимым на нее и вывозимым с нее товарам применяются единые таможенные правила. В соответствии с Законом таможенно-тарифное и нетарифное регулирование внешнеторговой деятельности, политика в области сертификации товаров, установление стандартов и принципов безопасности и/или безвредности для человека при ввозе товаров и т.д. находится в компетенции федеральных властей, которые устанавливают единые правила и нормы на всей территории Российской Федерации. Отметим, что принцип единства таможенной территории зафиксирован также и в Таможенном кодексе РФ;</w:t>
      </w:r>
      <w:r>
        <w:rPr>
          <w:rFonts w:ascii="Arial" w:hAnsi="Arial" w:cs="Arial"/>
          <w:b/>
          <w:bCs/>
          <w:sz w:val="20"/>
        </w:rPr>
        <w:t xml:space="preserve"> </w:t>
      </w:r>
      <w:r>
        <w:rPr>
          <w:rFonts w:ascii="Arial" w:hAnsi="Arial" w:cs="Arial"/>
          <w:b/>
          <w:bCs/>
          <w:sz w:val="20"/>
        </w:rPr>
        <w:br/>
      </w:r>
      <w:r>
        <w:rPr>
          <w:rFonts w:ascii="Arial" w:hAnsi="Arial" w:cs="Arial"/>
          <w:b/>
          <w:bCs/>
          <w:sz w:val="20"/>
        </w:rPr>
        <w:br/>
        <w:t>7)</w:t>
      </w:r>
      <w:r>
        <w:rPr>
          <w:rFonts w:ascii="Arial" w:hAnsi="Arial" w:cs="Arial"/>
          <w:sz w:val="20"/>
        </w:rPr>
        <w:t xml:space="preserve"> равенство участников внешнеторговой деятельности и их недискриминация. Этот принцип провозглашает равенство прав и обязанностей всех участвующих во внешнеэкономической деятельности. В отношении них применяются одинаковые нормы и правила. Все хозяйствующие субъекты ведут внешнеэкономическую деятельность на равных основаниях, выполняя одни и те же таможенные процедуры и выплачивая таможенные платежи и налоги. Легко понять, что практика предоставления таможенных льгот для отдельных участников внешнеторговых операций противоречит Закону о государственном регулировании внешнеторговой деятельности;</w:t>
      </w:r>
      <w:r>
        <w:rPr>
          <w:rFonts w:ascii="Arial" w:hAnsi="Arial" w:cs="Arial"/>
          <w:b/>
          <w:bCs/>
          <w:sz w:val="20"/>
        </w:rPr>
        <w:t xml:space="preserve"> </w:t>
      </w:r>
      <w:r>
        <w:rPr>
          <w:rFonts w:ascii="Arial" w:hAnsi="Arial" w:cs="Arial"/>
          <w:b/>
          <w:bCs/>
          <w:sz w:val="20"/>
        </w:rPr>
        <w:br/>
      </w:r>
      <w:r>
        <w:rPr>
          <w:rFonts w:ascii="Arial" w:hAnsi="Arial" w:cs="Arial"/>
          <w:b/>
          <w:bCs/>
          <w:sz w:val="20"/>
        </w:rPr>
        <w:br/>
        <w:t>8)</w:t>
      </w:r>
      <w:r>
        <w:rPr>
          <w:rFonts w:ascii="Arial" w:hAnsi="Arial" w:cs="Arial"/>
          <w:sz w:val="20"/>
        </w:rPr>
        <w:t xml:space="preserve"> защита государством прав и законных интересов участников внешнеторговой деятельности. Государство стоит на страже прав и законных интересов юридических и физических лиц, участвующих во внешнеэкономических операциях. В том случае, если интересы участников внешней торговли пострадали в результате участия России в международных санкциях, они имеют право на возмещение убытков в судебном порядке за счет средств федерального бюджета (ст. 21 Закона). Закон предусматривает, что для защиты экономических интересов российских лиц, пострадавших от действий зарубежных государств, Россия может вводить ответные меры. Специальный раздел ежегодной Федеральной программы развития внешнеторговой деятельности должен содержать перечень случаев дискриминации и нарушения обязательств в отношении российских лиц, а также перечень принятых или намечаемых ответных мер;</w:t>
      </w:r>
      <w:r>
        <w:rPr>
          <w:rFonts w:ascii="Arial" w:hAnsi="Arial" w:cs="Arial"/>
          <w:b/>
          <w:bCs/>
          <w:sz w:val="20"/>
        </w:rPr>
        <w:t xml:space="preserve"> </w:t>
      </w:r>
      <w:r>
        <w:rPr>
          <w:rFonts w:ascii="Arial" w:hAnsi="Arial" w:cs="Arial"/>
          <w:b/>
          <w:bCs/>
          <w:sz w:val="20"/>
        </w:rPr>
        <w:br/>
      </w:r>
      <w:r>
        <w:rPr>
          <w:rFonts w:ascii="Arial" w:hAnsi="Arial" w:cs="Arial"/>
          <w:b/>
          <w:bCs/>
          <w:sz w:val="20"/>
        </w:rPr>
        <w:br/>
        <w:t>9)</w:t>
      </w:r>
      <w:r>
        <w:rPr>
          <w:rFonts w:ascii="Arial" w:hAnsi="Arial" w:cs="Arial"/>
          <w:sz w:val="20"/>
        </w:rPr>
        <w:t xml:space="preserve"> исключение неоправданного вмешательства государства и его органов во внешнеторговую деятельность, нанесения ущерба ее участникам и экономике Российской Федерации в целом. Этот принцип предполагает, что в рамках установленных законами и подзаконными актами РФ правил участники внешнеторговых операций пользуются полной свободой деятельности. Следует подчеркнуть, что на внешнеэкономическую сферу распространяются общие принципы гражданского права, зафиксированные в первой части Гражданского кодекса: равенство участников регулируемых кодексом отношений, неприкосновенность собственности, свобода договора, равенство сторон гражданских отношений, недопустимость постороннего вмешательства в отношения сторон (в том числе со стороны государственных органов), необходимость беспрепятственного осуществления прав, обеспечение восстановления нарушенных прав, их судебная защита. </w:t>
      </w:r>
      <w:r>
        <w:rPr>
          <w:rFonts w:ascii="Arial" w:hAnsi="Arial" w:cs="Arial"/>
          <w:sz w:val="20"/>
        </w:rPr>
        <w:br/>
      </w:r>
      <w:r>
        <w:rPr>
          <w:rFonts w:ascii="Arial" w:hAnsi="Arial" w:cs="Arial"/>
          <w:sz w:val="20"/>
        </w:rPr>
        <w:br/>
        <w:t xml:space="preserve">Важным принципом регулирования внешнеторговой деятельности является зафиксированное в Законе содействие развитию этой деятельности и ее стимулирование. Это содействие осуществляется, в частности, путем разработки и реализации федеральных программ развития внешнеторговой деятельности. </w:t>
      </w:r>
      <w:r>
        <w:rPr>
          <w:rFonts w:ascii="Arial" w:hAnsi="Arial" w:cs="Arial"/>
          <w:sz w:val="20"/>
        </w:rPr>
        <w:br/>
      </w:r>
      <w:r>
        <w:rPr>
          <w:rFonts w:ascii="Arial" w:hAnsi="Arial" w:cs="Arial"/>
          <w:sz w:val="20"/>
        </w:rPr>
        <w:br/>
        <w:t xml:space="preserve">Правительство Российской Федерации ежегодно разрабатывает и представляет такую программу на утверждение в Федеральное Собрание РФ одновременно с проектом Федерального бюджета. </w:t>
      </w:r>
      <w:r>
        <w:rPr>
          <w:rFonts w:ascii="Arial" w:hAnsi="Arial" w:cs="Arial"/>
          <w:sz w:val="20"/>
        </w:rPr>
        <w:br/>
      </w:r>
      <w:r>
        <w:rPr>
          <w:rFonts w:ascii="Arial" w:hAnsi="Arial" w:cs="Arial"/>
          <w:sz w:val="20"/>
        </w:rPr>
        <w:br/>
        <w:t xml:space="preserve">В Федеральной программе содержится: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прогноз торгового баланса, как составная часть платежного баланса Российской Федерации;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оценка современного состояния и проблем торгово-экономических отношений России с другими государствами;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план внешних заимствований Российской Федерации с детальным описанием целевого использования иностранных кредитов;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план экспортных кредитов, предоставленных с использованием средств федерального бюджета или под гарантии правительства РФ;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план обслуживания внешнего долга России;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план поступлений от обслуживания долгов других государств Российской Федерации;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перечень мер государственного внешнеторгового регулирования, принимаемых или намечаемых в соответствующем году, ставки пошлин таможенного тарифа и правил их возможного изменения, количественные ограничения экспорта и импорта, а также перечень мер по защите внутреннего рынка и валютного регулирования; </w:t>
      </w:r>
    </w:p>
    <w:p w:rsidR="00FD64D5" w:rsidRDefault="00FD64D5">
      <w:pPr>
        <w:numPr>
          <w:ilvl w:val="0"/>
          <w:numId w:val="2"/>
        </w:numPr>
        <w:spacing w:before="100" w:beforeAutospacing="1" w:after="100" w:afterAutospacing="1"/>
        <w:jc w:val="both"/>
        <w:rPr>
          <w:rFonts w:ascii="Arial" w:hAnsi="Arial" w:cs="Arial"/>
          <w:sz w:val="20"/>
        </w:rPr>
      </w:pPr>
      <w:r>
        <w:rPr>
          <w:rFonts w:ascii="Arial" w:hAnsi="Arial" w:cs="Arial"/>
          <w:sz w:val="20"/>
        </w:rPr>
        <w:t xml:space="preserve">перечень мер стимулирования промышленного экспорта на соответствующий период и др.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В настоящее время требования Закона о государственном регулировании внешнеторговой деятельности, содействии и стимулировании ее реализуется еще не в полной мере. </w:t>
      </w:r>
      <w:r>
        <w:rPr>
          <w:rFonts w:ascii="Arial" w:hAnsi="Arial" w:cs="Arial"/>
          <w:sz w:val="20"/>
        </w:rPr>
        <w:br/>
        <w:t xml:space="preserve">Первоочередными целями современной ВТП России являются: </w:t>
      </w:r>
    </w:p>
    <w:p w:rsidR="00FD64D5" w:rsidRDefault="00FD64D5">
      <w:pPr>
        <w:numPr>
          <w:ilvl w:val="0"/>
          <w:numId w:val="3"/>
        </w:numPr>
        <w:spacing w:before="100" w:beforeAutospacing="1" w:after="100" w:afterAutospacing="1"/>
        <w:jc w:val="both"/>
        <w:rPr>
          <w:rFonts w:ascii="Arial" w:hAnsi="Arial" w:cs="Arial"/>
          <w:sz w:val="20"/>
        </w:rPr>
      </w:pPr>
      <w:r>
        <w:rPr>
          <w:rFonts w:ascii="Arial" w:hAnsi="Arial" w:cs="Arial"/>
          <w:sz w:val="20"/>
        </w:rPr>
        <w:t xml:space="preserve">обеспечение доступа отечественным предприятиям к мировым рынкам машин и оборудования, технологий и информации, капиталов, минерально-сырьевых ресурсов, к транспортным коммуникациям. Особое значение здесь имеет оказание политической, финансовой, информационной поддержки в продвижении продукции российских предприятий на рынки, контролируемые транснациональными корпорациями или защищенные протекционистскими барьерами зарубежных государств и их союзов; </w:t>
      </w:r>
    </w:p>
    <w:p w:rsidR="00FD64D5" w:rsidRDefault="00FD64D5">
      <w:pPr>
        <w:numPr>
          <w:ilvl w:val="0"/>
          <w:numId w:val="3"/>
        </w:numPr>
        <w:spacing w:before="100" w:beforeAutospacing="1" w:after="100" w:afterAutospacing="1"/>
        <w:jc w:val="both"/>
        <w:rPr>
          <w:rFonts w:ascii="Arial" w:hAnsi="Arial" w:cs="Arial"/>
          <w:sz w:val="20"/>
        </w:rPr>
      </w:pPr>
      <w:r>
        <w:rPr>
          <w:rFonts w:ascii="Arial" w:hAnsi="Arial" w:cs="Arial"/>
          <w:sz w:val="20"/>
        </w:rPr>
        <w:t xml:space="preserve">достижение благоприятного торгово-политического режима в отношениях с зарубежными странами и их торгово-экономическими группировками, организациями и союзами, снятие имеющихся и потенциальных дискриминационных ограничений. Особую роль здесь играет устранение различных торгово-экономических барьеров в отношениях с республиками бывшего СССР; </w:t>
      </w:r>
    </w:p>
    <w:p w:rsidR="00FD64D5" w:rsidRDefault="00FD64D5">
      <w:pPr>
        <w:numPr>
          <w:ilvl w:val="0"/>
          <w:numId w:val="3"/>
        </w:numPr>
        <w:spacing w:before="100" w:beforeAutospacing="1" w:after="100" w:afterAutospacing="1"/>
        <w:jc w:val="both"/>
        <w:rPr>
          <w:rFonts w:ascii="Arial" w:hAnsi="Arial" w:cs="Arial"/>
          <w:sz w:val="20"/>
        </w:rPr>
      </w:pPr>
      <w:r>
        <w:rPr>
          <w:rFonts w:ascii="Arial" w:hAnsi="Arial" w:cs="Arial"/>
          <w:sz w:val="20"/>
        </w:rPr>
        <w:t xml:space="preserve">долгосрочное урегулирование валютно-финансовых проблем во взаимоотношениях со странами-кредиторами, международными организациями и должниками России; </w:t>
      </w:r>
    </w:p>
    <w:p w:rsidR="00FD64D5" w:rsidRDefault="00FD64D5">
      <w:pPr>
        <w:numPr>
          <w:ilvl w:val="0"/>
          <w:numId w:val="3"/>
        </w:numPr>
        <w:spacing w:before="100" w:beforeAutospacing="1" w:after="100" w:afterAutospacing="1"/>
        <w:jc w:val="both"/>
        <w:rPr>
          <w:rFonts w:ascii="Arial" w:hAnsi="Arial" w:cs="Arial"/>
          <w:sz w:val="20"/>
        </w:rPr>
      </w:pPr>
      <w:r>
        <w:rPr>
          <w:rFonts w:ascii="Arial" w:hAnsi="Arial" w:cs="Arial"/>
          <w:sz w:val="20"/>
        </w:rPr>
        <w:t xml:space="preserve">формирование эффективной системы защиты внешнеэкономических интересов Российской Федерации (валютный, экспортный, таможенный контроль и др.).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Мировой опыт использования ВЭД для преодоления отставания от стран-лидеров дает две базовые модели ВТП. Первая предполагает преимущественную ориентацию на экспорт, вторая - на замещение импорта. Первой модели следовали в конце прошлого века США, после Второй мировой войны - западноевропейские страны, Япония, а за ними - новые индустриальные государства. Вторую модель выбрали в последние два десятилетия некоторые латиноамериканские страны. Многие ее черты были свойственны ВЭД СССР, что привело к глубокой зависимости отечественной промышленности от импорта оборудования и запчастей, некоторых видов сырья, материалов и компонентов. </w:t>
      </w:r>
      <w:r>
        <w:rPr>
          <w:rFonts w:ascii="Arial" w:hAnsi="Arial" w:cs="Arial"/>
          <w:sz w:val="20"/>
        </w:rPr>
        <w:br/>
      </w:r>
      <w:r>
        <w:rPr>
          <w:rFonts w:ascii="Arial" w:hAnsi="Arial" w:cs="Arial"/>
          <w:sz w:val="20"/>
        </w:rPr>
        <w:br/>
        <w:t xml:space="preserve">Наиболее действенной и эффективной стратегией интеграции России в мировую экономику является сочетание структурной перестройки экономики с ее ориентацией на активный рост экспорта. </w:t>
      </w:r>
      <w:r>
        <w:rPr>
          <w:rFonts w:ascii="Arial" w:hAnsi="Arial" w:cs="Arial"/>
          <w:sz w:val="20"/>
        </w:rPr>
        <w:br/>
      </w:r>
      <w:r>
        <w:rPr>
          <w:rFonts w:ascii="Arial" w:hAnsi="Arial" w:cs="Arial"/>
          <w:sz w:val="20"/>
        </w:rPr>
        <w:br/>
        <w:t>Как показывает мировой опыт, основой эффективной ВЭД и залогом экономической безопасности страны в условиях движения к открытой рыночной экономике является развитие экспортного потенциала и всемерное содействие национальным экспортерам. Для России это имеет особую важность, так как только через развитие экспорта возможно положительное сальдо торгового баланса без сокращения импорта жизненно важных товаров и тем самым решение проблем погашения внешней задолженности и укрепления курса рубля.</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eastAsia="Arial Unicode MS" w:hAnsi="Arial" w:cs="Arial"/>
          <w:sz w:val="20"/>
          <w:szCs w:val="27"/>
        </w:rPr>
      </w:pPr>
      <w:r>
        <w:rPr>
          <w:rFonts w:ascii="Arial" w:hAnsi="Arial" w:cs="Arial"/>
          <w:sz w:val="20"/>
          <w:szCs w:val="27"/>
        </w:rPr>
        <w:t xml:space="preserve">1.2.Организационные основы регулирования внешнеэкономической деятельности </w:t>
      </w:r>
    </w:p>
    <w:p w:rsidR="00FD64D5" w:rsidRDefault="00FD64D5">
      <w:pPr>
        <w:pStyle w:val="a3"/>
        <w:jc w:val="both"/>
        <w:rPr>
          <w:rFonts w:ascii="Arial" w:hAnsi="Arial" w:cs="Arial"/>
          <w:sz w:val="20"/>
        </w:rPr>
      </w:pPr>
      <w:r>
        <w:rPr>
          <w:rFonts w:ascii="Arial" w:hAnsi="Arial" w:cs="Arial"/>
          <w:sz w:val="20"/>
        </w:rPr>
        <w:t xml:space="preserve">Организационную основу для исполнения индивидуальных, групповых и общегосударственных внешнеэкономических интересов составляют прежде всего органы трех ветвей власти. В обязанности государства при регулировании ВЭД входит выполнение внутренних и внешних функций. Понимание внутренних функций государства можно классифицировать следующим образом: </w:t>
      </w:r>
    </w:p>
    <w:p w:rsidR="00FD64D5" w:rsidRDefault="00FD64D5">
      <w:pPr>
        <w:numPr>
          <w:ilvl w:val="0"/>
          <w:numId w:val="4"/>
        </w:numPr>
        <w:spacing w:before="100" w:beforeAutospacing="1" w:after="100" w:afterAutospacing="1"/>
        <w:jc w:val="both"/>
        <w:rPr>
          <w:rFonts w:ascii="Arial" w:hAnsi="Arial" w:cs="Arial"/>
          <w:sz w:val="20"/>
        </w:rPr>
      </w:pPr>
      <w:r>
        <w:rPr>
          <w:rFonts w:ascii="Arial" w:hAnsi="Arial" w:cs="Arial"/>
          <w:sz w:val="20"/>
        </w:rPr>
        <w:t xml:space="preserve">Хозяйственно-организаторская функция, подразумевающая организацию производства товаров и услуг, могущих быть предметом внешнеторговых отношений государства, а также оказание помощи в их продвижении на внешний рынок. </w:t>
      </w:r>
    </w:p>
    <w:p w:rsidR="00FD64D5" w:rsidRDefault="00FD64D5">
      <w:pPr>
        <w:numPr>
          <w:ilvl w:val="0"/>
          <w:numId w:val="4"/>
        </w:numPr>
        <w:spacing w:before="100" w:beforeAutospacing="1" w:after="100" w:afterAutospacing="1"/>
        <w:jc w:val="both"/>
        <w:rPr>
          <w:rFonts w:ascii="Arial" w:hAnsi="Arial" w:cs="Arial"/>
          <w:sz w:val="20"/>
        </w:rPr>
      </w:pPr>
      <w:r>
        <w:rPr>
          <w:rFonts w:ascii="Arial" w:hAnsi="Arial" w:cs="Arial"/>
          <w:sz w:val="20"/>
        </w:rPr>
        <w:t xml:space="preserve">Взимание налогов, сборов и иных обязательных платежей в бюджет от внешнеэкономической деятельности. </w:t>
      </w:r>
    </w:p>
    <w:p w:rsidR="00FD64D5" w:rsidRDefault="00FD64D5">
      <w:pPr>
        <w:numPr>
          <w:ilvl w:val="0"/>
          <w:numId w:val="4"/>
        </w:numPr>
        <w:spacing w:before="100" w:beforeAutospacing="1" w:after="100" w:afterAutospacing="1"/>
        <w:jc w:val="both"/>
        <w:rPr>
          <w:rFonts w:ascii="Arial" w:hAnsi="Arial" w:cs="Arial"/>
          <w:sz w:val="20"/>
        </w:rPr>
      </w:pPr>
      <w:r>
        <w:rPr>
          <w:rFonts w:ascii="Arial" w:hAnsi="Arial" w:cs="Arial"/>
          <w:sz w:val="20"/>
        </w:rPr>
        <w:t xml:space="preserve">Защита прав и интересов субъектов внешнеэкономической деятельности. </w:t>
      </w:r>
    </w:p>
    <w:p w:rsidR="00FD64D5" w:rsidRDefault="00FD64D5">
      <w:pPr>
        <w:jc w:val="both"/>
        <w:rPr>
          <w:rFonts w:ascii="Arial" w:hAnsi="Arial" w:cs="Arial"/>
          <w:sz w:val="20"/>
        </w:rPr>
      </w:pPr>
      <w:r>
        <w:rPr>
          <w:rFonts w:ascii="Arial" w:hAnsi="Arial" w:cs="Arial"/>
          <w:sz w:val="20"/>
        </w:rPr>
        <w:t xml:space="preserve">В состав внешних функций входят следующие позиции: </w:t>
      </w:r>
    </w:p>
    <w:p w:rsidR="00FD64D5" w:rsidRDefault="00FD64D5">
      <w:pPr>
        <w:numPr>
          <w:ilvl w:val="0"/>
          <w:numId w:val="5"/>
        </w:numPr>
        <w:spacing w:before="100" w:beforeAutospacing="1" w:after="100" w:afterAutospacing="1"/>
        <w:jc w:val="both"/>
        <w:rPr>
          <w:rFonts w:ascii="Arial" w:hAnsi="Arial" w:cs="Arial"/>
          <w:sz w:val="20"/>
        </w:rPr>
      </w:pPr>
      <w:r>
        <w:rPr>
          <w:rFonts w:ascii="Arial" w:hAnsi="Arial" w:cs="Arial"/>
          <w:sz w:val="20"/>
        </w:rPr>
        <w:t xml:space="preserve">Установление торгово-экономических отношений с зарубежными странами. </w:t>
      </w:r>
    </w:p>
    <w:p w:rsidR="00FD64D5" w:rsidRDefault="00FD64D5">
      <w:pPr>
        <w:numPr>
          <w:ilvl w:val="0"/>
          <w:numId w:val="5"/>
        </w:numPr>
        <w:spacing w:before="100" w:beforeAutospacing="1" w:after="100" w:afterAutospacing="1"/>
        <w:jc w:val="both"/>
        <w:rPr>
          <w:rFonts w:ascii="Arial" w:hAnsi="Arial" w:cs="Arial"/>
          <w:sz w:val="20"/>
        </w:rPr>
      </w:pPr>
      <w:r>
        <w:rPr>
          <w:rFonts w:ascii="Arial" w:hAnsi="Arial" w:cs="Arial"/>
          <w:sz w:val="20"/>
        </w:rPr>
        <w:t xml:space="preserve">Защита государственной границы, включая организацию таможенной системы. </w:t>
      </w:r>
    </w:p>
    <w:p w:rsidR="00FD64D5" w:rsidRDefault="00FD64D5">
      <w:pPr>
        <w:numPr>
          <w:ilvl w:val="0"/>
          <w:numId w:val="5"/>
        </w:numPr>
        <w:spacing w:before="100" w:beforeAutospacing="1" w:after="100" w:afterAutospacing="1"/>
        <w:jc w:val="both"/>
        <w:rPr>
          <w:rFonts w:ascii="Arial" w:hAnsi="Arial" w:cs="Arial"/>
          <w:sz w:val="20"/>
        </w:rPr>
      </w:pPr>
      <w:r>
        <w:rPr>
          <w:rFonts w:ascii="Arial" w:hAnsi="Arial" w:cs="Arial"/>
          <w:sz w:val="20"/>
        </w:rPr>
        <w:t xml:space="preserve">Создание и применение мер для защиты внутреннего рынка при осуществлении внешнеэкономической деятельности. </w:t>
      </w:r>
    </w:p>
    <w:p w:rsidR="00FD64D5" w:rsidRDefault="00FD64D5">
      <w:pPr>
        <w:numPr>
          <w:ilvl w:val="0"/>
          <w:numId w:val="5"/>
        </w:numPr>
        <w:spacing w:before="100" w:beforeAutospacing="1" w:after="100" w:afterAutospacing="1"/>
        <w:jc w:val="both"/>
        <w:rPr>
          <w:rFonts w:ascii="Arial" w:hAnsi="Arial" w:cs="Arial"/>
          <w:sz w:val="20"/>
        </w:rPr>
      </w:pPr>
      <w:r>
        <w:rPr>
          <w:rFonts w:ascii="Arial" w:hAnsi="Arial" w:cs="Arial"/>
          <w:sz w:val="20"/>
        </w:rPr>
        <w:t xml:space="preserve">Участие в международных и межгосударственных организациях, деятельность которых оказывает непосредственное воздействие на систему государственного регулирования ВЭД.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Государство, при осуществлении своей регулирующей роли, должно соблюдать установленные международные правила поведения в этой области. Эти правила носят наднациональный характер и являются право устанавливающими для всех государств, при условии их присоединения к выполнению данных правил, согласно их внутренним законодательствам. </w:t>
      </w:r>
      <w:r>
        <w:rPr>
          <w:rFonts w:ascii="Arial" w:hAnsi="Arial" w:cs="Arial"/>
          <w:sz w:val="20"/>
        </w:rPr>
        <w:br/>
      </w:r>
      <w:r>
        <w:rPr>
          <w:rFonts w:ascii="Arial" w:hAnsi="Arial" w:cs="Arial"/>
          <w:sz w:val="20"/>
        </w:rPr>
        <w:br/>
        <w:t xml:space="preserve">Российская Федерация представляет собой многоуровневое образование, состоящее из собственно Российской Федерации, и субъектов Федерации, включая муниципальные образования, входящие в состав Российской Федерации. При этом законодательный приоритет в реализации внешнеторговых отношений принадлежит Российской Федерации. Приоритет государства в регулировании внешнеэкономических отношений определяется 71 статьей Конституции, которая гласит, что "В ведении Российской Федерации находятся внешнеэкономические отношения Российской Федерации", а также Законом "О государственном регулировании внешнеторговой деятельности" от 13.10.95 года (ФЗ- № 157). Конституция Российской Федерации, исходя из принципа равенства всех субъектов Федерации при осуществлении внутренней и внешней функции, определяет границы действия как самого субъекта так и Российской Федерации как единого государства. Это вытекает из того, что государство, осуществляя полномочия в регулировании ВЭД, обладает внутренним суверенитетом, который не может быть делим. Распространяя свой суверенитет на всю территорию страны, государство определило и законодательно закрепило факт совместной реализации своей внешней и внутренней функции между им самим и субъектами Российской Федерации. Ст. 72 Конституции Российской Федерации говорит о том, что в совместном ведении Российской Федерации и субъектов Российской Федерации находится ;координация международных и внешнеэкономических связей субъектов Российской Федерации.. </w:t>
      </w:r>
      <w:r>
        <w:rPr>
          <w:rFonts w:ascii="Arial" w:hAnsi="Arial" w:cs="Arial"/>
          <w:sz w:val="20"/>
        </w:rPr>
        <w:br/>
      </w:r>
      <w:r>
        <w:rPr>
          <w:rFonts w:ascii="Arial" w:hAnsi="Arial" w:cs="Arial"/>
          <w:sz w:val="20"/>
        </w:rPr>
        <w:br/>
        <w:t xml:space="preserve">Сферы сотрудничества между федеральными и региональными властями должны постоянно расширяться. Уже сегодня наметились следующие направления взаимодействия: </w:t>
      </w:r>
    </w:p>
    <w:p w:rsidR="00FD64D5" w:rsidRDefault="00FD64D5">
      <w:pPr>
        <w:numPr>
          <w:ilvl w:val="0"/>
          <w:numId w:val="6"/>
        </w:numPr>
        <w:spacing w:before="100" w:beforeAutospacing="1" w:after="100" w:afterAutospacing="1"/>
        <w:jc w:val="both"/>
        <w:rPr>
          <w:rFonts w:ascii="Arial" w:hAnsi="Arial" w:cs="Arial"/>
          <w:sz w:val="20"/>
        </w:rPr>
      </w:pPr>
      <w:r>
        <w:rPr>
          <w:rFonts w:ascii="Arial" w:hAnsi="Arial" w:cs="Arial"/>
          <w:sz w:val="20"/>
        </w:rPr>
        <w:t xml:space="preserve">координация ВЭС субъектов РФ (в лице местных администраций, с одной стороны, федеральных парламентских и исполнительных органов власти - с другой); </w:t>
      </w:r>
    </w:p>
    <w:p w:rsidR="00FD64D5" w:rsidRDefault="00FD64D5">
      <w:pPr>
        <w:numPr>
          <w:ilvl w:val="0"/>
          <w:numId w:val="6"/>
        </w:numPr>
        <w:spacing w:before="100" w:beforeAutospacing="1" w:after="100" w:afterAutospacing="1"/>
        <w:jc w:val="both"/>
        <w:rPr>
          <w:rFonts w:ascii="Arial" w:hAnsi="Arial" w:cs="Arial"/>
          <w:sz w:val="20"/>
        </w:rPr>
      </w:pPr>
      <w:r>
        <w:rPr>
          <w:rFonts w:ascii="Arial" w:hAnsi="Arial" w:cs="Arial"/>
          <w:sz w:val="20"/>
        </w:rPr>
        <w:t xml:space="preserve">выполнение международных договоров России в области торгово-экономического сотрудничества (прежде всего для обеспечения их реализации на региональном уровне); </w:t>
      </w:r>
    </w:p>
    <w:p w:rsidR="00FD64D5" w:rsidRDefault="00FD64D5">
      <w:pPr>
        <w:numPr>
          <w:ilvl w:val="0"/>
          <w:numId w:val="6"/>
        </w:numPr>
        <w:spacing w:before="100" w:beforeAutospacing="1" w:after="100" w:afterAutospacing="1"/>
        <w:jc w:val="both"/>
        <w:rPr>
          <w:rFonts w:ascii="Arial" w:hAnsi="Arial" w:cs="Arial"/>
          <w:sz w:val="20"/>
        </w:rPr>
      </w:pPr>
      <w:r>
        <w:rPr>
          <w:rFonts w:ascii="Arial" w:hAnsi="Arial" w:cs="Arial"/>
          <w:sz w:val="20"/>
        </w:rPr>
        <w:t xml:space="preserve">информационное и консультационное обеспечение ВЭД. В основу региональной системы внешнеэкономической информации необходимо положить банк данных российской системы &lt;ИнформВЭС&gt;, однако дополнительно она должна содержать более подробные сведения о рынках основных стран-партнеров конкретных регионов; </w:t>
      </w:r>
    </w:p>
    <w:p w:rsidR="00FD64D5" w:rsidRDefault="00FD64D5">
      <w:pPr>
        <w:numPr>
          <w:ilvl w:val="0"/>
          <w:numId w:val="6"/>
        </w:numPr>
        <w:spacing w:before="100" w:beforeAutospacing="1" w:after="100" w:afterAutospacing="1"/>
        <w:jc w:val="both"/>
        <w:rPr>
          <w:rFonts w:ascii="Arial" w:hAnsi="Arial" w:cs="Arial"/>
          <w:sz w:val="20"/>
        </w:rPr>
      </w:pPr>
      <w:r>
        <w:rPr>
          <w:rFonts w:ascii="Arial" w:hAnsi="Arial" w:cs="Arial"/>
          <w:sz w:val="20"/>
        </w:rPr>
        <w:t xml:space="preserve">получение кредитов и ссуд под гарантии субъектов РФ, их использование и пополнение. Значительную поддержку местным властям в этих вопросах должны оказать Российский банк реконструкции и развития (РБРР) и Экспортно-импортный банк (ЭИБ); </w:t>
      </w:r>
    </w:p>
    <w:p w:rsidR="00FD64D5" w:rsidRDefault="00FD64D5">
      <w:pPr>
        <w:numPr>
          <w:ilvl w:val="0"/>
          <w:numId w:val="6"/>
        </w:numPr>
        <w:spacing w:before="100" w:beforeAutospacing="1" w:after="100" w:afterAutospacing="1"/>
        <w:jc w:val="both"/>
        <w:rPr>
          <w:rFonts w:ascii="Arial" w:hAnsi="Arial" w:cs="Arial"/>
          <w:sz w:val="20"/>
        </w:rPr>
      </w:pPr>
      <w:r>
        <w:rPr>
          <w:rFonts w:ascii="Arial" w:hAnsi="Arial" w:cs="Arial"/>
          <w:sz w:val="20"/>
        </w:rPr>
        <w:t xml:space="preserve">привлечение и определение порядка инвестирования зарубежных средств. Причем здесь оправдан дифференцированный подход к привлечению иностранного капитала в разные регионы России в связи с их различными условиями. </w:t>
      </w:r>
    </w:p>
    <w:p w:rsidR="00FD64D5" w:rsidRDefault="00FD64D5">
      <w:pPr>
        <w:jc w:val="both"/>
        <w:rPr>
          <w:rFonts w:ascii="Arial" w:hAnsi="Arial" w:cs="Arial"/>
          <w:sz w:val="20"/>
          <w:u w:val="single"/>
        </w:rPr>
      </w:pPr>
      <w:r>
        <w:rPr>
          <w:rFonts w:ascii="Arial" w:hAnsi="Arial" w:cs="Arial"/>
          <w:sz w:val="20"/>
          <w:u w:val="single"/>
        </w:rPr>
        <w:br/>
        <w:t xml:space="preserve">Можно выделить три типа регионов: </w:t>
      </w:r>
    </w:p>
    <w:p w:rsidR="00FD64D5" w:rsidRDefault="00FD64D5">
      <w:pPr>
        <w:numPr>
          <w:ilvl w:val="0"/>
          <w:numId w:val="7"/>
        </w:numPr>
        <w:spacing w:before="100" w:beforeAutospacing="1" w:after="100" w:afterAutospacing="1"/>
        <w:jc w:val="both"/>
        <w:rPr>
          <w:rFonts w:ascii="Arial" w:hAnsi="Arial" w:cs="Arial"/>
          <w:sz w:val="20"/>
        </w:rPr>
      </w:pPr>
      <w:r>
        <w:rPr>
          <w:rFonts w:ascii="Arial" w:hAnsi="Arial" w:cs="Arial"/>
          <w:sz w:val="20"/>
        </w:rPr>
        <w:t xml:space="preserve">агропромышленные и трудоизбыточные районы (Северный Кавказ, Ставропольский, Краснодарский края, Ростовская область); </w:t>
      </w:r>
    </w:p>
    <w:p w:rsidR="00FD64D5" w:rsidRDefault="00FD64D5">
      <w:pPr>
        <w:numPr>
          <w:ilvl w:val="0"/>
          <w:numId w:val="7"/>
        </w:numPr>
        <w:spacing w:before="100" w:beforeAutospacing="1" w:after="100" w:afterAutospacing="1"/>
        <w:jc w:val="both"/>
        <w:rPr>
          <w:rFonts w:ascii="Arial" w:hAnsi="Arial" w:cs="Arial"/>
          <w:sz w:val="20"/>
        </w:rPr>
      </w:pPr>
      <w:r>
        <w:rPr>
          <w:rFonts w:ascii="Arial" w:hAnsi="Arial" w:cs="Arial"/>
          <w:sz w:val="20"/>
        </w:rPr>
        <w:t xml:space="preserve">добывающие (Тюменская область, Якутия и др.); </w:t>
      </w:r>
    </w:p>
    <w:p w:rsidR="00FD64D5" w:rsidRDefault="00FD64D5">
      <w:pPr>
        <w:numPr>
          <w:ilvl w:val="0"/>
          <w:numId w:val="7"/>
        </w:numPr>
        <w:spacing w:before="100" w:beforeAutospacing="1" w:after="100" w:afterAutospacing="1"/>
        <w:jc w:val="both"/>
        <w:rPr>
          <w:rFonts w:ascii="Arial" w:hAnsi="Arial" w:cs="Arial"/>
          <w:sz w:val="20"/>
        </w:rPr>
      </w:pPr>
      <w:r>
        <w:rPr>
          <w:rFonts w:ascii="Arial" w:hAnsi="Arial" w:cs="Arial"/>
          <w:sz w:val="20"/>
        </w:rPr>
        <w:t xml:space="preserve">урбанизированные промышленные (Центр, Урал, Юг Сибири, Дальний Восток).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Для агропромышленных и трудоизбыточных регионов представляется подходящей политика стимулирования иностранных инвестиций, включающая предоставление местных налоговых льгот, кредитов для создания рабочих мест и стимулирования предпринимательской деятельности. </w:t>
      </w:r>
      <w:r>
        <w:rPr>
          <w:rFonts w:ascii="Arial" w:hAnsi="Arial" w:cs="Arial"/>
          <w:sz w:val="20"/>
        </w:rPr>
        <w:br/>
      </w:r>
      <w:r>
        <w:rPr>
          <w:rFonts w:ascii="Arial" w:hAnsi="Arial" w:cs="Arial"/>
          <w:sz w:val="20"/>
        </w:rPr>
        <w:br/>
        <w:t xml:space="preserve">В добывающих регионах следовало бы также создавать благоприятный режим для иностранных инвестиций, в том числе за счет частичного освобождения их от местных налогов, использования амортизации и других экономических стимулов. </w:t>
      </w:r>
      <w:r>
        <w:rPr>
          <w:rFonts w:ascii="Arial" w:hAnsi="Arial" w:cs="Arial"/>
          <w:sz w:val="20"/>
        </w:rPr>
        <w:br/>
      </w:r>
      <w:r>
        <w:rPr>
          <w:rFonts w:ascii="Arial" w:hAnsi="Arial" w:cs="Arial"/>
          <w:sz w:val="20"/>
        </w:rPr>
        <w:br/>
        <w:t xml:space="preserve">В урбанизированных регионах с их мощным научно-техническим потенциалом требуется поддержка государством конверсии и структурной перестройки, для чего понадобятся централизованные капитальные вложения. Здесь, по-видимому, следует создать благоприятный режим для иностранного капитала с целью привлечения его в ускоренно развивающиеся секторы экономики, прежде всего туда, где имеется высокий экспортный потенциал, а также в базовые отрасли промышленности. </w:t>
      </w:r>
      <w:r>
        <w:rPr>
          <w:rFonts w:ascii="Arial" w:hAnsi="Arial" w:cs="Arial"/>
          <w:sz w:val="20"/>
        </w:rPr>
        <w:br/>
      </w:r>
      <w:r>
        <w:rPr>
          <w:rFonts w:ascii="Arial" w:hAnsi="Arial" w:cs="Arial"/>
          <w:sz w:val="20"/>
        </w:rPr>
        <w:br/>
        <w:t xml:space="preserve">Аккумуляторами зарубежных капиталов смогли бы стать территориально небольшие свободные экономические зоны (СЭЗ). Первоначально в СЭЗ иностранные инвестиции могли бы быть ориентированы на обновление производственных фондов предприятий, которые выберет сам зарубежный партнер. Затем можно обратиться к развитию инфраструктуры зоны и по мере прогресса способствовать притоку капиталовложений в экспортные отрасли и иные производства, имеющие важное экономическое значение для России; </w:t>
      </w:r>
      <w:r>
        <w:rPr>
          <w:rFonts w:ascii="Arial" w:hAnsi="Arial" w:cs="Arial"/>
          <w:sz w:val="20"/>
        </w:rPr>
        <w:br/>
      </w:r>
      <w:r>
        <w:rPr>
          <w:rFonts w:ascii="Arial" w:hAnsi="Arial" w:cs="Arial"/>
          <w:sz w:val="20"/>
        </w:rPr>
        <w:br/>
        <w:t xml:space="preserve">- формирование и реализация региональных и межрегиональных программ ВЭД. </w:t>
      </w:r>
      <w:r>
        <w:rPr>
          <w:rFonts w:ascii="Arial" w:hAnsi="Arial" w:cs="Arial"/>
          <w:sz w:val="20"/>
        </w:rPr>
        <w:br/>
      </w:r>
      <w:r>
        <w:rPr>
          <w:rFonts w:ascii="Arial" w:hAnsi="Arial" w:cs="Arial"/>
          <w:sz w:val="20"/>
        </w:rPr>
        <w:br/>
        <w:t xml:space="preserve">Администрация регионов и создаваемые ими органы имеют право: заключать договоры с зарубежными партнерами на реализацию и приобретение продукции за счет имеющихся валютных средств или на иной основе; участвовать в создании совместных с зарубежными партнерами научных, культурных, туристических, физкультурно-оздоровительных центров, других организаций по экономическому и научно-техническому сотрудничеству, связанных с обеспечением социальной и производственной сфер современным оборудованием, средствами механизации для жилищно-коммунального, городского хозяйств, предприятий по переработке сельскохозяйственной продукции, с развитием их материальной базы и др. </w:t>
      </w:r>
      <w:r>
        <w:rPr>
          <w:rFonts w:ascii="Arial" w:hAnsi="Arial" w:cs="Arial"/>
          <w:sz w:val="20"/>
        </w:rPr>
        <w:br/>
      </w:r>
      <w:r>
        <w:rPr>
          <w:rFonts w:ascii="Arial" w:hAnsi="Arial" w:cs="Arial"/>
          <w:sz w:val="20"/>
        </w:rPr>
        <w:br/>
        <w:t xml:space="preserve">Местные органы власти организуют приграничную и прибрежную торговлю. </w:t>
      </w:r>
      <w:r>
        <w:rPr>
          <w:rFonts w:ascii="Arial" w:hAnsi="Arial" w:cs="Arial"/>
          <w:sz w:val="20"/>
        </w:rPr>
        <w:br/>
      </w:r>
      <w:r>
        <w:rPr>
          <w:rFonts w:ascii="Arial" w:hAnsi="Arial" w:cs="Arial"/>
          <w:sz w:val="20"/>
        </w:rPr>
        <w:br/>
        <w:t xml:space="preserve">Исходя из своих полномочий, деятельность субъектов РФ базируется на следующих основных принципах: </w:t>
      </w:r>
    </w:p>
    <w:p w:rsidR="00FD64D5" w:rsidRDefault="00FD64D5">
      <w:pPr>
        <w:numPr>
          <w:ilvl w:val="0"/>
          <w:numId w:val="8"/>
        </w:numPr>
        <w:spacing w:before="100" w:beforeAutospacing="1" w:after="100" w:afterAutospacing="1"/>
        <w:jc w:val="both"/>
        <w:rPr>
          <w:rFonts w:ascii="Arial" w:hAnsi="Arial" w:cs="Arial"/>
          <w:sz w:val="20"/>
        </w:rPr>
      </w:pPr>
      <w:r>
        <w:rPr>
          <w:rFonts w:ascii="Arial" w:hAnsi="Arial" w:cs="Arial"/>
          <w:sz w:val="20"/>
        </w:rPr>
        <w:t xml:space="preserve">право субъектов РФ в рамках федеральных законов принимать свои нормативные акты и положения, которые конкретизируют федеральные законы с учетом местных условий и экономических интересов регионов; </w:t>
      </w:r>
    </w:p>
    <w:p w:rsidR="00FD64D5" w:rsidRDefault="00FD64D5">
      <w:pPr>
        <w:numPr>
          <w:ilvl w:val="0"/>
          <w:numId w:val="8"/>
        </w:numPr>
        <w:spacing w:before="100" w:beforeAutospacing="1" w:after="100" w:afterAutospacing="1"/>
        <w:jc w:val="both"/>
        <w:rPr>
          <w:rFonts w:ascii="Arial" w:hAnsi="Arial" w:cs="Arial"/>
          <w:sz w:val="20"/>
        </w:rPr>
      </w:pPr>
      <w:r>
        <w:rPr>
          <w:rFonts w:ascii="Arial" w:hAnsi="Arial" w:cs="Arial"/>
          <w:sz w:val="20"/>
        </w:rPr>
        <w:t xml:space="preserve">возможность участвовать в распределении доходов от ВЭД с учетом реального вклада региона в ту или иную отрасль, которая имеет выход на внешний рынок; </w:t>
      </w:r>
    </w:p>
    <w:p w:rsidR="00FD64D5" w:rsidRDefault="00FD64D5">
      <w:pPr>
        <w:numPr>
          <w:ilvl w:val="0"/>
          <w:numId w:val="8"/>
        </w:numPr>
        <w:spacing w:before="100" w:beforeAutospacing="1" w:after="100" w:afterAutospacing="1"/>
        <w:jc w:val="both"/>
        <w:rPr>
          <w:rFonts w:ascii="Arial" w:hAnsi="Arial" w:cs="Arial"/>
          <w:sz w:val="20"/>
        </w:rPr>
      </w:pPr>
      <w:r>
        <w:rPr>
          <w:rFonts w:ascii="Arial" w:hAnsi="Arial" w:cs="Arial"/>
          <w:sz w:val="20"/>
        </w:rPr>
        <w:t xml:space="preserve">субъекты РФ имеют право предоставлять дополнительные по отношению к федеральным финансовые гарантии зарегистрированным на их территории участникам ВЭД, включая предприятия с иностранными инвестициями. Причем федеральные власти не отвечают по дополнительным гарантиям субъектов РФ. Кроме того, эти дополнительные льготы не должны противоречить международным обязательствам России.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Итак, основными функциями субъектов РФ в области ВЭД становятся: совершенствование структуры экономики региона (как путем участия в реализации общефедеральных программ, так и самостоятельно); кредитование и страхование экспортных сделок регионального значения; налаживание экономического сотрудничества с зарубежными государствами и их регионами при наличии обоюдной заинтересованности; организация сбытовой и информационной структуры ВЭД (как совместно с федеральными властями, так и самостоятельно); организация экспортно-импортных сделок, удовлетворяющих потребности региона. </w:t>
      </w:r>
      <w:r>
        <w:rPr>
          <w:rFonts w:ascii="Arial" w:hAnsi="Arial" w:cs="Arial"/>
          <w:sz w:val="20"/>
        </w:rPr>
        <w:br/>
      </w:r>
      <w:r>
        <w:rPr>
          <w:rFonts w:ascii="Arial" w:hAnsi="Arial" w:cs="Arial"/>
          <w:sz w:val="20"/>
        </w:rPr>
        <w:br/>
        <w:t xml:space="preserve">Государственное регулирование ВЭД базируется также на определенной организационной системе исполнительной власти. Рассмотрим основные направления функционирования этой организационной системы. </w:t>
      </w:r>
      <w:r>
        <w:rPr>
          <w:rFonts w:ascii="Arial" w:hAnsi="Arial" w:cs="Arial"/>
          <w:sz w:val="20"/>
        </w:rPr>
        <w:br/>
      </w:r>
      <w:r>
        <w:rPr>
          <w:rFonts w:ascii="Arial" w:hAnsi="Arial" w:cs="Arial"/>
          <w:sz w:val="20"/>
        </w:rPr>
        <w:br/>
        <w:t xml:space="preserve">Общие вопросы регулирования внешнеэкономической деятельности решает Совет Министров - Правительство Российской Федерации. В качестве его постоянного органа функционирует Валютно-экономическая комиссия, которая рассматривает стратегические вопросы развития ВЭД, решает вопросы использования валютных средств, выдачи государственных гарантий под иностранные кредиты и т.д. </w:t>
      </w:r>
      <w:r>
        <w:rPr>
          <w:rFonts w:ascii="Arial" w:hAnsi="Arial" w:cs="Arial"/>
          <w:sz w:val="20"/>
        </w:rPr>
        <w:br/>
      </w:r>
      <w:r>
        <w:rPr>
          <w:rFonts w:ascii="Arial" w:hAnsi="Arial" w:cs="Arial"/>
          <w:sz w:val="20"/>
        </w:rPr>
        <w:br/>
        <w:t xml:space="preserve">Перспективные вопросы развития ВЭД, ее роль в осуществлении структурной политики разрабатывает Министерство экономики РФ, являющееся центральным органом федеральной исполнительной власти, осуществляющим государственную экономическую политику. Минэкономики РФ, согласно Положению, утвержденному постановлением Совета Министров - Правительства РФ от 2 марта 1993 г.№ 185, в части регулирования ВЭД: </w:t>
      </w:r>
    </w:p>
    <w:p w:rsidR="00FD64D5" w:rsidRDefault="00FD64D5">
      <w:pPr>
        <w:numPr>
          <w:ilvl w:val="0"/>
          <w:numId w:val="9"/>
        </w:numPr>
        <w:spacing w:before="100" w:beforeAutospacing="1" w:after="100" w:afterAutospacing="1"/>
        <w:jc w:val="both"/>
        <w:rPr>
          <w:rFonts w:ascii="Arial" w:hAnsi="Arial" w:cs="Arial"/>
          <w:sz w:val="20"/>
        </w:rPr>
      </w:pPr>
      <w:r>
        <w:rPr>
          <w:rFonts w:ascii="Arial" w:hAnsi="Arial" w:cs="Arial"/>
          <w:sz w:val="20"/>
        </w:rPr>
        <w:t xml:space="preserve">разрабатывает с участием заинтересованных министерств и ведомств предложения по формированию внешнеэкономической политики, развитию внешнеэкономических связей; </w:t>
      </w:r>
    </w:p>
    <w:p w:rsidR="00FD64D5" w:rsidRDefault="00FD64D5">
      <w:pPr>
        <w:numPr>
          <w:ilvl w:val="0"/>
          <w:numId w:val="9"/>
        </w:numPr>
        <w:spacing w:before="100" w:beforeAutospacing="1" w:after="100" w:afterAutospacing="1"/>
        <w:jc w:val="both"/>
        <w:rPr>
          <w:rFonts w:ascii="Arial" w:hAnsi="Arial" w:cs="Arial"/>
          <w:sz w:val="20"/>
        </w:rPr>
      </w:pPr>
      <w:r>
        <w:rPr>
          <w:rFonts w:ascii="Arial" w:hAnsi="Arial" w:cs="Arial"/>
          <w:sz w:val="20"/>
        </w:rPr>
        <w:t xml:space="preserve">определяет ресурсные возможности осуществления внешнеэкономических операций по важнейшим товарам и услугам, объемы федеральных валютных поступлений и платежей; </w:t>
      </w:r>
    </w:p>
    <w:p w:rsidR="00FD64D5" w:rsidRDefault="00FD64D5">
      <w:pPr>
        <w:numPr>
          <w:ilvl w:val="0"/>
          <w:numId w:val="9"/>
        </w:numPr>
        <w:spacing w:before="100" w:beforeAutospacing="1" w:after="100" w:afterAutospacing="1"/>
        <w:jc w:val="both"/>
        <w:rPr>
          <w:rFonts w:ascii="Arial" w:hAnsi="Arial" w:cs="Arial"/>
          <w:sz w:val="20"/>
        </w:rPr>
      </w:pPr>
      <w:r>
        <w:rPr>
          <w:rFonts w:ascii="Arial" w:hAnsi="Arial" w:cs="Arial"/>
          <w:sz w:val="20"/>
        </w:rPr>
        <w:t xml:space="preserve">подготавливает с участием заинтересованных министерств и ведомств предложения по заключению межправительственных договоров по вопросам экономических связей, в том числе по экономическим соглашениям с государствами СНГ, включая объемы и номенклатуру взаимных поставок продукции; </w:t>
      </w:r>
    </w:p>
    <w:p w:rsidR="00FD64D5" w:rsidRDefault="00FD64D5">
      <w:pPr>
        <w:numPr>
          <w:ilvl w:val="0"/>
          <w:numId w:val="9"/>
        </w:numPr>
        <w:spacing w:before="100" w:beforeAutospacing="1" w:after="100" w:afterAutospacing="1"/>
        <w:jc w:val="both"/>
        <w:rPr>
          <w:rFonts w:ascii="Arial" w:hAnsi="Arial" w:cs="Arial"/>
          <w:sz w:val="20"/>
        </w:rPr>
      </w:pPr>
      <w:r>
        <w:rPr>
          <w:rFonts w:ascii="Arial" w:hAnsi="Arial" w:cs="Arial"/>
          <w:sz w:val="20"/>
        </w:rPr>
        <w:t xml:space="preserve">участвует в установленном порядке в согласовании вопросов экономического сотрудничества Российской Федераций с зарубежными странами, торгово-экономическими союзами, международными экономическими и финансовыми организациями; в пределах своей компетенции организует работу российских частей межправительственных комиссий по экономическому сотрудничеству с иностранными государствами.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осуществления этих функций Министерство имеет право принимать нормативные документы, участвовать в ведении торгово-экономических переговоров с иностранными государствами и международными организациями. </w:t>
      </w:r>
      <w:r>
        <w:rPr>
          <w:rFonts w:ascii="Arial" w:hAnsi="Arial" w:cs="Arial"/>
          <w:sz w:val="20"/>
        </w:rPr>
        <w:br/>
      </w:r>
      <w:r>
        <w:rPr>
          <w:rFonts w:ascii="Arial" w:hAnsi="Arial" w:cs="Arial"/>
          <w:sz w:val="20"/>
        </w:rPr>
        <w:br/>
        <w:t xml:space="preserve">При разработке проблем инвестиционной политики министерство призвано давать предложения по привлечению иностранных инвесторов. Постановлением Правительства РФ от 28 марта 1994 г. № 240 на Министерство экономики возложена разработка предложений по экономической политике в сфере международного экономического и финансово-инвестиционного сотрудничества, разработка и осуществление политики по привлечению иностранных инвестиций и размещению российских инвестиций за рубежом, координация сотрудничества в инвестиционной сфере с международными финансовыми организациями, осуществление военно-экономического сотрудничества с зарубежными странами. </w:t>
      </w:r>
      <w:r>
        <w:rPr>
          <w:rFonts w:ascii="Arial" w:hAnsi="Arial" w:cs="Arial"/>
          <w:sz w:val="20"/>
        </w:rPr>
        <w:br/>
      </w:r>
      <w:r>
        <w:rPr>
          <w:rFonts w:ascii="Arial" w:hAnsi="Arial" w:cs="Arial"/>
          <w:sz w:val="20"/>
        </w:rPr>
        <w:br/>
        <w:t xml:space="preserve">Министерство экономики совместно с Министерством финансов, Министерством внешних экономических связей, и Государственным таможенным комитетом вносит в Правительство представление об изменении ставок импортных и экспортных таможенных пошлин. </w:t>
      </w:r>
      <w:r>
        <w:rPr>
          <w:rFonts w:ascii="Arial" w:hAnsi="Arial" w:cs="Arial"/>
          <w:sz w:val="20"/>
        </w:rPr>
        <w:br/>
      </w:r>
      <w:r>
        <w:rPr>
          <w:rFonts w:ascii="Arial" w:hAnsi="Arial" w:cs="Arial"/>
          <w:sz w:val="20"/>
        </w:rPr>
        <w:br/>
        <w:t xml:space="preserve">Министерство экономики определяет квоты на экспорт товаров, вывоз которых подлежит количественным ограничениям (с 1 июля 1994 г. квотируется экспорт лишь тех товаров, вывоз которых должен быть ограничен в соответствии с международными обязательствами России). </w:t>
      </w:r>
      <w:r>
        <w:rPr>
          <w:rFonts w:ascii="Arial" w:hAnsi="Arial" w:cs="Arial"/>
          <w:sz w:val="20"/>
        </w:rPr>
        <w:br/>
      </w:r>
      <w:r>
        <w:rPr>
          <w:rFonts w:ascii="Arial" w:hAnsi="Arial" w:cs="Arial"/>
          <w:sz w:val="20"/>
        </w:rPr>
        <w:br/>
        <w:t xml:space="preserve">Постановлением Правительства РФ от 6 июня 1994 г. № 655 при Министерстве экономики создана Государственная регистрационная палата (ГРП). Она наделена функциями регистрации предприятий с иностранными инвестициями, ведения государственного реестра предприятий с иностранными инвестициями и аккредитации представительств иностранных компаний, выполнявшимися ранее Российским агентством международного сотрудничества и развития (РАМСИР). На ГРП возложены также ведение сводного государственного реестра аккредитованных на территории Российской Федерации представительств иностранных компаний и регистрация российских инвестиций за рубежом. </w:t>
      </w:r>
      <w:r>
        <w:rPr>
          <w:rFonts w:ascii="Arial" w:hAnsi="Arial" w:cs="Arial"/>
          <w:sz w:val="20"/>
        </w:rPr>
        <w:br/>
      </w:r>
      <w:r>
        <w:rPr>
          <w:rFonts w:ascii="Arial" w:hAnsi="Arial" w:cs="Arial"/>
          <w:sz w:val="20"/>
        </w:rPr>
        <w:br/>
        <w:t xml:space="preserve">Важные функции, связанные с контролем за соблюдением государственных интересов в области ВЭД, ложатся на внешнеэкономические ведомства - Министерство внешних экономических связей и торговли (МВЭС РФ), Государственный таможенный комитет (ГТК) и Министерство РФ по сотрудничеству с государствами - участниками СНГ. </w:t>
      </w:r>
      <w:r>
        <w:rPr>
          <w:rFonts w:ascii="Arial" w:hAnsi="Arial" w:cs="Arial"/>
          <w:sz w:val="20"/>
        </w:rPr>
        <w:br/>
      </w:r>
      <w:r>
        <w:rPr>
          <w:rFonts w:ascii="Arial" w:hAnsi="Arial" w:cs="Arial"/>
          <w:sz w:val="20"/>
        </w:rPr>
        <w:br/>
        <w:t xml:space="preserve">К основным функциям МВЭС РФ Российской Федерации согласно Положению, утвержденному постановлением Совета Министров - Правительства РФ от 26 февраля 1993 г. № 85 относятся: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участие в разработке предложений по формированию концепции государственной программы развития внешних экономических связей и основных принципов внешнеэкономической политики, а также разработке программ по экономическому и социальному развитию РФ в части, касающейся ВЭД и контроля за ее реализацией;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участие в разработке механизма государственного регулирования ВЭД;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участие в разработке механизма регулирования валютно-кредитных отношений с другими государствами, а также в разработке и реализации общегосударственной политики привлечения иностранных инвестиций и их размещения на территории РФ;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разработка предложений по повышению эффективности ВЭД РФ и конкурентоспособности экспортных товаров на мировом рынке, по государственному стимулированию экспорта наукоемкой продукции;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участие в осуществлении экспортного контроля в целях защиты государственных интересов РФ; в совершенствовании государственной системы сертификации и стандартизации продукции, разработке международных и внутренних норм, правил и стандартов;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подготовка предложений о заключении международных договоров РФ по вопросам торгово-экономического сотрудничества, проведение переговоров о заключении таких договоров и обеспечение их реализации;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подготовка предложений по совершенствованию порядка экспорта и импорта товаров, в том числе общегосударственного значения, регистрация предприятий и организаций, имеющих право экспорта вооружения и военной техники, работ и услуг в области военно-технического сотрудничества, а также стратегически важных сырьевых товаров;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оперативное нетарифное регулирование ВЭД, включая выдачу в установленном порядке лицензий на экспорт и импорт товаров (работ, услуг);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участие в работе по привлечению государственных, банковских и коммерческих кредитов, учет по использованию кредитов, контроль за состоянием расчетов с зарубежными странами, в том числе по клиринговым и специальным счетам зарубежных стран, подготовка необходимых предложений по сбалансированию расчетов;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контроль за уровнем внешнеторговых цен по основным экспортным и импортным товарам и услугам, закупаемым для федеральных государственных нужд и в счет привлеченных иностранных кредитов; </w:t>
      </w:r>
    </w:p>
    <w:p w:rsidR="00FD64D5" w:rsidRDefault="00FD64D5">
      <w:pPr>
        <w:numPr>
          <w:ilvl w:val="0"/>
          <w:numId w:val="10"/>
        </w:numPr>
        <w:spacing w:before="100" w:beforeAutospacing="1" w:after="100" w:afterAutospacing="1"/>
        <w:jc w:val="both"/>
        <w:rPr>
          <w:rFonts w:ascii="Arial" w:hAnsi="Arial" w:cs="Arial"/>
          <w:sz w:val="20"/>
        </w:rPr>
      </w:pPr>
      <w:r>
        <w:rPr>
          <w:rFonts w:ascii="Arial" w:hAnsi="Arial" w:cs="Arial"/>
          <w:sz w:val="20"/>
        </w:rPr>
        <w:t xml:space="preserve">разработка с участием заинтересованных министерств и ведомств проектов законодательных и иных нормативных актов в области регулирования ВЭД и др.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МВЭС РФ имеет своих уполномоченных на местах, которые, являются представителями этого министерства в республиках в составе РФ, краях, областях, автономных образованиях и отдельных регионах. Возглавляемые ими управления, которые входят в систему МВЭС РФ, должны обеспечивать выполнение возложенных на них функций. </w:t>
      </w:r>
      <w:r>
        <w:rPr>
          <w:rFonts w:ascii="Arial" w:hAnsi="Arial" w:cs="Arial"/>
          <w:sz w:val="20"/>
        </w:rPr>
        <w:br/>
      </w:r>
      <w:r>
        <w:rPr>
          <w:rFonts w:ascii="Arial" w:hAnsi="Arial" w:cs="Arial"/>
          <w:sz w:val="20"/>
        </w:rPr>
        <w:br/>
        <w:t xml:space="preserve">К основным задачам уполномоченных МВЭС РФ относятся содействие развитию экспортного потенциала региона, создание наиболее благоприятных условий для выхода участников ВЭД, предпринимательства на внешний рынок, а также осуществление государственного контроля и регулирование ВЭД в регионе в соответствии с действующим законодательством; содействие ВЭД предприятий и организаций региона в целях повышения эффективности ВЭД, обеспечение в этих вопросах скоординированной политики на территории России; содействие органам государственной власти и управления на местах в подготовке и выполнении государственных программ экономического и социального развития регионов в части ВЭД. </w:t>
      </w:r>
      <w:r>
        <w:rPr>
          <w:rFonts w:ascii="Arial" w:hAnsi="Arial" w:cs="Arial"/>
          <w:sz w:val="20"/>
        </w:rPr>
        <w:br/>
      </w:r>
      <w:r>
        <w:rPr>
          <w:rFonts w:ascii="Arial" w:hAnsi="Arial" w:cs="Arial"/>
          <w:sz w:val="20"/>
        </w:rPr>
        <w:br/>
        <w:t xml:space="preserve">Важную роль в осуществлении ВЭД играет организация зарубежного аппарата МВЭС РФ. Основные задачи торгпредств России за рубежом состоят в следующем: </w:t>
      </w:r>
    </w:p>
    <w:p w:rsidR="00FD64D5" w:rsidRDefault="00FD64D5">
      <w:pPr>
        <w:numPr>
          <w:ilvl w:val="0"/>
          <w:numId w:val="11"/>
        </w:numPr>
        <w:spacing w:before="100" w:beforeAutospacing="1" w:after="100" w:afterAutospacing="1"/>
        <w:jc w:val="both"/>
        <w:rPr>
          <w:rFonts w:ascii="Arial" w:hAnsi="Arial" w:cs="Arial"/>
          <w:sz w:val="20"/>
        </w:rPr>
      </w:pPr>
      <w:r>
        <w:rPr>
          <w:rFonts w:ascii="Arial" w:hAnsi="Arial" w:cs="Arial"/>
          <w:sz w:val="20"/>
        </w:rPr>
        <w:t xml:space="preserve">представление государственных интересов в странах пребывания по всем вопросам ВЭД и обеспечение их защиты; </w:t>
      </w:r>
    </w:p>
    <w:p w:rsidR="00FD64D5" w:rsidRDefault="00FD64D5">
      <w:pPr>
        <w:numPr>
          <w:ilvl w:val="0"/>
          <w:numId w:val="11"/>
        </w:numPr>
        <w:spacing w:before="100" w:beforeAutospacing="1" w:after="100" w:afterAutospacing="1"/>
        <w:jc w:val="both"/>
        <w:rPr>
          <w:rFonts w:ascii="Arial" w:hAnsi="Arial" w:cs="Arial"/>
          <w:sz w:val="20"/>
        </w:rPr>
      </w:pPr>
      <w:r>
        <w:rPr>
          <w:rFonts w:ascii="Arial" w:hAnsi="Arial" w:cs="Arial"/>
          <w:sz w:val="20"/>
        </w:rPr>
        <w:t xml:space="preserve">проведение эффективной внешнеэкономической политики в странах пребывания; </w:t>
      </w:r>
    </w:p>
    <w:p w:rsidR="00FD64D5" w:rsidRDefault="00FD64D5">
      <w:pPr>
        <w:numPr>
          <w:ilvl w:val="0"/>
          <w:numId w:val="11"/>
        </w:numPr>
        <w:spacing w:before="100" w:beforeAutospacing="1" w:after="100" w:afterAutospacing="1"/>
        <w:jc w:val="both"/>
        <w:rPr>
          <w:rFonts w:ascii="Arial" w:hAnsi="Arial" w:cs="Arial"/>
          <w:sz w:val="20"/>
        </w:rPr>
      </w:pPr>
      <w:r>
        <w:rPr>
          <w:rFonts w:ascii="Arial" w:hAnsi="Arial" w:cs="Arial"/>
          <w:sz w:val="20"/>
        </w:rPr>
        <w:t xml:space="preserve">содействие развитию экономических связей между Россией и странами пребывания, улучшение структуры взаимной торговли; </w:t>
      </w:r>
    </w:p>
    <w:p w:rsidR="00FD64D5" w:rsidRDefault="00FD64D5">
      <w:pPr>
        <w:numPr>
          <w:ilvl w:val="0"/>
          <w:numId w:val="11"/>
        </w:numPr>
        <w:spacing w:before="100" w:beforeAutospacing="1" w:after="100" w:afterAutospacing="1"/>
        <w:jc w:val="both"/>
        <w:rPr>
          <w:rFonts w:ascii="Arial" w:hAnsi="Arial" w:cs="Arial"/>
          <w:sz w:val="20"/>
        </w:rPr>
      </w:pPr>
      <w:r>
        <w:rPr>
          <w:rFonts w:ascii="Arial" w:hAnsi="Arial" w:cs="Arial"/>
          <w:sz w:val="20"/>
        </w:rPr>
        <w:t xml:space="preserve">контроль за соблюдением государственных интересов всеми российскими участниками ВЭД, координирование их деятельности в стране пребывания; </w:t>
      </w:r>
    </w:p>
    <w:p w:rsidR="00FD64D5" w:rsidRDefault="00FD64D5">
      <w:pPr>
        <w:numPr>
          <w:ilvl w:val="0"/>
          <w:numId w:val="11"/>
        </w:numPr>
        <w:spacing w:before="100" w:beforeAutospacing="1" w:after="100" w:afterAutospacing="1"/>
        <w:jc w:val="both"/>
        <w:rPr>
          <w:rFonts w:ascii="Arial" w:hAnsi="Arial" w:cs="Arial"/>
          <w:sz w:val="20"/>
        </w:rPr>
      </w:pPr>
      <w:r>
        <w:rPr>
          <w:rFonts w:ascii="Arial" w:hAnsi="Arial" w:cs="Arial"/>
          <w:sz w:val="20"/>
        </w:rPr>
        <w:t>защита в странах пребывания интересов предприятий и организаций России.</w:t>
      </w:r>
      <w:r>
        <w:rPr>
          <w:rFonts w:ascii="Arial" w:hAnsi="Arial" w:cs="Arial"/>
          <w:sz w:val="20"/>
          <w:vertAlign w:val="superscript"/>
        </w:rPr>
        <w:t>*</w:t>
      </w:r>
      <w:r>
        <w:rPr>
          <w:rFonts w:ascii="Arial" w:hAnsi="Arial" w:cs="Arial"/>
          <w:sz w:val="20"/>
        </w:rPr>
        <w:t xml:space="preserve">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Система таможенных органов возглавляется Государственным таможенным комитетом РФ. Согласно таможенному законодательству РФ, таможенные органы участвуют в разработке таможенной политики РФ и реализуют эту политику. В ходе ее проведения они: </w:t>
      </w:r>
    </w:p>
    <w:p w:rsidR="00FD64D5" w:rsidRDefault="00FD64D5">
      <w:pPr>
        <w:numPr>
          <w:ilvl w:val="0"/>
          <w:numId w:val="12"/>
        </w:numPr>
        <w:spacing w:before="100" w:beforeAutospacing="1" w:after="100" w:afterAutospacing="1"/>
        <w:jc w:val="both"/>
        <w:rPr>
          <w:rFonts w:ascii="Arial" w:hAnsi="Arial" w:cs="Arial"/>
          <w:sz w:val="20"/>
        </w:rPr>
      </w:pPr>
      <w:r>
        <w:rPr>
          <w:rFonts w:ascii="Arial" w:hAnsi="Arial" w:cs="Arial"/>
          <w:sz w:val="20"/>
        </w:rPr>
        <w:t xml:space="preserve">участвуют в разработке проектов ставок таможенных пошлин, разрабатывают проекты номенклатуры Таможенного тарифа РФ и порядка его применения; </w:t>
      </w:r>
    </w:p>
    <w:p w:rsidR="00FD64D5" w:rsidRDefault="00FD64D5">
      <w:pPr>
        <w:numPr>
          <w:ilvl w:val="0"/>
          <w:numId w:val="12"/>
        </w:numPr>
        <w:spacing w:before="100" w:beforeAutospacing="1" w:after="100" w:afterAutospacing="1"/>
        <w:jc w:val="both"/>
        <w:rPr>
          <w:rFonts w:ascii="Arial" w:hAnsi="Arial" w:cs="Arial"/>
          <w:sz w:val="20"/>
        </w:rPr>
      </w:pPr>
      <w:r>
        <w:rPr>
          <w:rFonts w:ascii="Arial" w:hAnsi="Arial" w:cs="Arial"/>
          <w:sz w:val="20"/>
        </w:rPr>
        <w:t xml:space="preserve">участвуют в подготовке предложений об установлении и применении специальных пошлин и сборов при перемещении через таможенную границу РФ товаров или иных предметов; </w:t>
      </w:r>
    </w:p>
    <w:p w:rsidR="00FD64D5" w:rsidRDefault="00FD64D5">
      <w:pPr>
        <w:numPr>
          <w:ilvl w:val="0"/>
          <w:numId w:val="12"/>
        </w:numPr>
        <w:spacing w:before="100" w:beforeAutospacing="1" w:after="100" w:afterAutospacing="1"/>
        <w:jc w:val="both"/>
        <w:rPr>
          <w:rFonts w:ascii="Arial" w:hAnsi="Arial" w:cs="Arial"/>
          <w:sz w:val="20"/>
        </w:rPr>
      </w:pPr>
      <w:r>
        <w:rPr>
          <w:rFonts w:ascii="Arial" w:hAnsi="Arial" w:cs="Arial"/>
          <w:sz w:val="20"/>
        </w:rPr>
        <w:t xml:space="preserve">взимают таможенную пошлину и сборы, вносят их в федеральный бюджет, производят возврат этих платежей; </w:t>
      </w:r>
    </w:p>
    <w:p w:rsidR="00FD64D5" w:rsidRDefault="00FD64D5">
      <w:pPr>
        <w:numPr>
          <w:ilvl w:val="0"/>
          <w:numId w:val="12"/>
        </w:numPr>
        <w:spacing w:before="100" w:beforeAutospacing="1" w:after="100" w:afterAutospacing="1"/>
        <w:jc w:val="both"/>
        <w:rPr>
          <w:rFonts w:ascii="Arial" w:hAnsi="Arial" w:cs="Arial"/>
          <w:sz w:val="20"/>
        </w:rPr>
      </w:pPr>
      <w:r>
        <w:rPr>
          <w:rFonts w:ascii="Arial" w:hAnsi="Arial" w:cs="Arial"/>
          <w:sz w:val="20"/>
        </w:rPr>
        <w:t xml:space="preserve">определяют стоимость, страну происхождения и тарифное наименование товаров и иных предметов, перевозимых через границу; </w:t>
      </w:r>
    </w:p>
    <w:p w:rsidR="00FD64D5" w:rsidRDefault="00FD64D5">
      <w:pPr>
        <w:numPr>
          <w:ilvl w:val="0"/>
          <w:numId w:val="12"/>
        </w:numPr>
        <w:spacing w:before="100" w:beforeAutospacing="1" w:after="100" w:afterAutospacing="1"/>
        <w:jc w:val="both"/>
        <w:rPr>
          <w:rFonts w:ascii="Arial" w:hAnsi="Arial" w:cs="Arial"/>
          <w:sz w:val="20"/>
        </w:rPr>
      </w:pPr>
      <w:r>
        <w:rPr>
          <w:rFonts w:ascii="Arial" w:hAnsi="Arial" w:cs="Arial"/>
          <w:sz w:val="20"/>
        </w:rPr>
        <w:t xml:space="preserve">проводят таможенное оформление перемещаемых через таможенную границу России товаров и иных предметов, осуществляют хранение этих предметов и предоставляют другие услуги в области таможенного дела, взимают сборы за эти услуги; </w:t>
      </w:r>
    </w:p>
    <w:p w:rsidR="00FD64D5" w:rsidRDefault="00FD64D5">
      <w:pPr>
        <w:numPr>
          <w:ilvl w:val="0"/>
          <w:numId w:val="12"/>
        </w:numPr>
        <w:spacing w:before="100" w:beforeAutospacing="1" w:after="100" w:afterAutospacing="1"/>
        <w:jc w:val="both"/>
        <w:rPr>
          <w:rFonts w:ascii="Arial" w:hAnsi="Arial" w:cs="Arial"/>
          <w:sz w:val="20"/>
        </w:rPr>
      </w:pPr>
      <w:r>
        <w:rPr>
          <w:rFonts w:ascii="Arial" w:hAnsi="Arial" w:cs="Arial"/>
          <w:sz w:val="20"/>
        </w:rPr>
        <w:t xml:space="preserve">ведут Товарную номенклатуру ВЭС, обеспечивая ее соответствие международным стандартам; </w:t>
      </w:r>
    </w:p>
    <w:p w:rsidR="00FD64D5" w:rsidRDefault="00FD64D5">
      <w:pPr>
        <w:numPr>
          <w:ilvl w:val="0"/>
          <w:numId w:val="12"/>
        </w:numPr>
        <w:spacing w:before="100" w:beforeAutospacing="1" w:after="100" w:afterAutospacing="1"/>
        <w:jc w:val="both"/>
        <w:rPr>
          <w:rFonts w:ascii="Arial" w:hAnsi="Arial" w:cs="Arial"/>
          <w:sz w:val="20"/>
        </w:rPr>
      </w:pPr>
      <w:r>
        <w:rPr>
          <w:rFonts w:ascii="Arial" w:hAnsi="Arial" w:cs="Arial"/>
          <w:sz w:val="20"/>
        </w:rPr>
        <w:t xml:space="preserve">налагают административные взыскания на нарушителей таможенных правил.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После издания указов Президента и постановлений Правительства о регулировании внешней торговли ГТК издает приказы, определяющие порядок их осуществления. Кроме того, ГТК устанавливает порядок заявления таможенной стоимости ввозимых и вывозимых товаров и форму декларации, порядок взимания таможенных пошлин и других платежей, связанных с ввозом и вывозом товаров (в пределах, установленных законодательством РФ, указами Президента и постановлениями Правительства). Контролируется ГТК соблюдение экспортных и импортных ограничений, порядка ввоза и вывоза лицензируемых товаров. </w:t>
      </w:r>
      <w:r>
        <w:rPr>
          <w:rFonts w:ascii="Arial" w:hAnsi="Arial" w:cs="Arial"/>
          <w:sz w:val="20"/>
        </w:rPr>
        <w:br/>
      </w:r>
      <w:r>
        <w:rPr>
          <w:rFonts w:ascii="Arial" w:hAnsi="Arial" w:cs="Arial"/>
          <w:sz w:val="20"/>
        </w:rPr>
        <w:br/>
        <w:t>Особую сферу внешнеэкономических отношений составляют связи со странами СНГ и другими странами - бывшими республиками СССР. Вопросами экономической политики с этими государствами занимается Министерство Российской Федерации по сотрудничеству с государствами - участниками СНГ (Минсотрудничество)</w:t>
      </w:r>
      <w:r>
        <w:rPr>
          <w:rFonts w:ascii="Arial" w:hAnsi="Arial" w:cs="Arial"/>
          <w:sz w:val="20"/>
          <w:vertAlign w:val="superscript"/>
        </w:rPr>
        <w:t>*</w:t>
      </w:r>
      <w:r>
        <w:rPr>
          <w:rFonts w:ascii="Arial" w:hAnsi="Arial" w:cs="Arial"/>
          <w:sz w:val="20"/>
        </w:rPr>
        <w:t xml:space="preserve">. </w:t>
      </w:r>
      <w:r>
        <w:rPr>
          <w:rFonts w:ascii="Arial" w:hAnsi="Arial" w:cs="Arial"/>
          <w:sz w:val="20"/>
        </w:rPr>
        <w:br/>
      </w:r>
      <w:r>
        <w:rPr>
          <w:rFonts w:ascii="Arial" w:hAnsi="Arial" w:cs="Arial"/>
          <w:sz w:val="20"/>
        </w:rPr>
        <w:br/>
        <w:t xml:space="preserve">Существенную роль в регулировании ВЭД играют другие центральные экономические органы. </w:t>
      </w:r>
      <w:r>
        <w:rPr>
          <w:rFonts w:ascii="Arial" w:hAnsi="Arial" w:cs="Arial"/>
          <w:sz w:val="20"/>
        </w:rPr>
        <w:br/>
      </w:r>
      <w:r>
        <w:rPr>
          <w:rFonts w:ascii="Arial" w:hAnsi="Arial" w:cs="Arial"/>
          <w:sz w:val="20"/>
        </w:rPr>
        <w:br/>
        <w:t xml:space="preserve">Министерство финансов (Минфин) РФ и Центральный банк (ЦБ) РФ определяют порядок финансирования и кредитования ВЭД, издают нормативные документы по этим вопросам. Минфин РФ регулирует вопросы налогообложения при осуществлении внешнеэкономической деятельности. В соответствии с законом Центральный банк РФ является основным органом, регулирующим валютные операции в стране, определяющим режим валютного курса и порядок валютных операций, связанных с движением капитала, порядок функционирования валютных бирж и др. </w:t>
      </w:r>
      <w:r>
        <w:rPr>
          <w:rFonts w:ascii="Arial" w:hAnsi="Arial" w:cs="Arial"/>
          <w:sz w:val="20"/>
        </w:rPr>
        <w:br/>
      </w:r>
      <w:r>
        <w:rPr>
          <w:rFonts w:ascii="Arial" w:hAnsi="Arial" w:cs="Arial"/>
          <w:sz w:val="20"/>
        </w:rPr>
        <w:br/>
        <w:t xml:space="preserve">Агентами валютного регулирования выступают уполномоченные коммерческие банки. </w:t>
      </w:r>
      <w:r>
        <w:rPr>
          <w:rFonts w:ascii="Arial" w:hAnsi="Arial" w:cs="Arial"/>
          <w:sz w:val="20"/>
        </w:rPr>
        <w:br/>
      </w:r>
      <w:r>
        <w:rPr>
          <w:rFonts w:ascii="Arial" w:hAnsi="Arial" w:cs="Arial"/>
          <w:sz w:val="20"/>
        </w:rPr>
        <w:br/>
        <w:t xml:space="preserve">Для межотраслевой координации некоторых вопросов контроля над ВЭД создана Федеральная служба России по валютному и экспортному контролю. Эта служба: </w:t>
      </w:r>
    </w:p>
    <w:p w:rsidR="00FD64D5" w:rsidRDefault="00FD64D5">
      <w:pPr>
        <w:numPr>
          <w:ilvl w:val="0"/>
          <w:numId w:val="13"/>
        </w:numPr>
        <w:spacing w:before="100" w:beforeAutospacing="1" w:after="100" w:afterAutospacing="1"/>
        <w:jc w:val="both"/>
        <w:rPr>
          <w:rFonts w:ascii="Arial" w:hAnsi="Arial" w:cs="Arial"/>
          <w:sz w:val="20"/>
        </w:rPr>
      </w:pPr>
      <w:r>
        <w:rPr>
          <w:rFonts w:ascii="Arial" w:hAnsi="Arial" w:cs="Arial"/>
          <w:sz w:val="20"/>
        </w:rPr>
        <w:t xml:space="preserve">контролирует выполнение резидентами и нерезидентами законодательства РФ и ведомственных нормативных актов, регулирующих валютные операции; </w:t>
      </w:r>
    </w:p>
    <w:p w:rsidR="00FD64D5" w:rsidRDefault="00FD64D5">
      <w:pPr>
        <w:numPr>
          <w:ilvl w:val="0"/>
          <w:numId w:val="13"/>
        </w:numPr>
        <w:spacing w:before="100" w:beforeAutospacing="1" w:after="100" w:afterAutospacing="1"/>
        <w:jc w:val="both"/>
        <w:rPr>
          <w:rFonts w:ascii="Arial" w:hAnsi="Arial" w:cs="Arial"/>
          <w:sz w:val="20"/>
        </w:rPr>
      </w:pPr>
      <w:r>
        <w:rPr>
          <w:rFonts w:ascii="Arial" w:hAnsi="Arial" w:cs="Arial"/>
          <w:sz w:val="20"/>
        </w:rPr>
        <w:t xml:space="preserve">следит за полнотой поступления в установленном порядке средств в иностранной валюте по внешнеэкономическим операциям; </w:t>
      </w:r>
    </w:p>
    <w:p w:rsidR="00FD64D5" w:rsidRDefault="00FD64D5">
      <w:pPr>
        <w:numPr>
          <w:ilvl w:val="0"/>
          <w:numId w:val="13"/>
        </w:numPr>
        <w:spacing w:before="100" w:beforeAutospacing="1" w:after="100" w:afterAutospacing="1"/>
        <w:jc w:val="both"/>
        <w:rPr>
          <w:rFonts w:ascii="Arial" w:hAnsi="Arial" w:cs="Arial"/>
          <w:sz w:val="20"/>
        </w:rPr>
      </w:pPr>
      <w:r>
        <w:rPr>
          <w:rFonts w:ascii="Arial" w:hAnsi="Arial" w:cs="Arial"/>
          <w:sz w:val="20"/>
        </w:rPr>
        <w:t xml:space="preserve">играет центральную роль в Комиссии по экспортному контролю при Правительстве РФ, принимает заявления на экспорт, рассматривает вопрос об их обоснованности и отсылает заключения в МВЭС, которое и выдает лицензии; </w:t>
      </w:r>
    </w:p>
    <w:p w:rsidR="00FD64D5" w:rsidRDefault="00FD64D5">
      <w:pPr>
        <w:numPr>
          <w:ilvl w:val="0"/>
          <w:numId w:val="13"/>
        </w:numPr>
        <w:spacing w:before="100" w:beforeAutospacing="1" w:after="100" w:afterAutospacing="1"/>
        <w:jc w:val="both"/>
        <w:rPr>
          <w:rFonts w:ascii="Arial" w:hAnsi="Arial" w:cs="Arial"/>
          <w:sz w:val="20"/>
        </w:rPr>
      </w:pPr>
      <w:r>
        <w:rPr>
          <w:rFonts w:ascii="Arial" w:hAnsi="Arial" w:cs="Arial"/>
          <w:sz w:val="20"/>
        </w:rPr>
        <w:t xml:space="preserve">участвует в надзоре за соблюдением порядка квотирования и лицензирования экспорта и правильным использованием квот и лицензий; </w:t>
      </w:r>
    </w:p>
    <w:p w:rsidR="00FD64D5" w:rsidRDefault="00FD64D5">
      <w:pPr>
        <w:numPr>
          <w:ilvl w:val="0"/>
          <w:numId w:val="13"/>
        </w:numPr>
        <w:spacing w:before="100" w:beforeAutospacing="1" w:after="100" w:afterAutospacing="1"/>
        <w:jc w:val="both"/>
        <w:rPr>
          <w:rFonts w:ascii="Arial" w:hAnsi="Arial" w:cs="Arial"/>
          <w:sz w:val="20"/>
        </w:rPr>
      </w:pPr>
      <w:r>
        <w:rPr>
          <w:rFonts w:ascii="Arial" w:hAnsi="Arial" w:cs="Arial"/>
          <w:sz w:val="20"/>
        </w:rPr>
        <w:t xml:space="preserve">организует аудиторскую проверку ВЭД отдельных хозяйствующих субъектов; </w:t>
      </w:r>
    </w:p>
    <w:p w:rsidR="00FD64D5" w:rsidRDefault="00FD64D5">
      <w:pPr>
        <w:numPr>
          <w:ilvl w:val="0"/>
          <w:numId w:val="13"/>
        </w:numPr>
        <w:spacing w:before="100" w:beforeAutospacing="1" w:after="100" w:afterAutospacing="1"/>
        <w:jc w:val="both"/>
        <w:rPr>
          <w:rFonts w:ascii="Arial" w:hAnsi="Arial" w:cs="Arial"/>
          <w:sz w:val="20"/>
        </w:rPr>
      </w:pPr>
      <w:r>
        <w:rPr>
          <w:rFonts w:ascii="Arial" w:hAnsi="Arial" w:cs="Arial"/>
          <w:sz w:val="20"/>
        </w:rPr>
        <w:t xml:space="preserve">участвует в создании единой информационной системы по валютному и экспортному контролю.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Комитет по науке и технической политике РФ регулирует научно-техническое сотрудничество (НТС) с зарубежными странами, организует выполнение межгосударственных программ НТС. Государственный комитет РФ по стандартизации, метрологии и сертификации (Госстандарт) воздействует на внешние связи путем сертификации товаров, установления определенных норм и стандартов, в том числе в области безопасности ввозимых товаров для жизни и здоровья потребителей, охраны окружающей среды. </w:t>
      </w:r>
      <w:r>
        <w:rPr>
          <w:rFonts w:ascii="Arial" w:hAnsi="Arial" w:cs="Arial"/>
          <w:sz w:val="20"/>
        </w:rPr>
        <w:br/>
      </w:r>
      <w:r>
        <w:rPr>
          <w:rFonts w:ascii="Arial" w:hAnsi="Arial" w:cs="Arial"/>
          <w:sz w:val="20"/>
        </w:rPr>
        <w:br/>
        <w:t xml:space="preserve">Развитие предпринимательства в России вызвало к жизни новые функции государственной власти и новые государственные структуры, имеющие отношение к ВЭД. В частности, Государственный комитет РФ по антимонопольной политике имеет право вносить в соответствующие органы власти и управления предложения о введении обязательного лицензирования, запрещении или приостановлении экспортно-импортных операций хозяйствующих субъектов в случае нарушения ими антимонопольного законодательства. </w:t>
      </w:r>
      <w:r>
        <w:rPr>
          <w:rFonts w:ascii="Arial" w:hAnsi="Arial" w:cs="Arial"/>
          <w:sz w:val="20"/>
        </w:rPr>
        <w:br/>
      </w:r>
      <w:r>
        <w:rPr>
          <w:rFonts w:ascii="Arial" w:hAnsi="Arial" w:cs="Arial"/>
          <w:sz w:val="20"/>
        </w:rPr>
        <w:br/>
        <w:t xml:space="preserve">В современных условиях важное место в системе ВЭД принадлежит Торгово-промышленной палате (ТПП) РФ. Она создана российскими предприятиями и организациями для содействия развитию их ВЭД и представления их интересов как в стране, так и за рубежом. Система ТПП РФ включает республиканские и региональные организации. При ТПП РФ действует ряд объединений:Союзпатент оказывает содействие предприятиям в патентовании своих изобретений за границей; Союзэкспертиза организует экспертизу экспортных товаров; Соверо занимается вопросами рекламы российских товаров в зарубежных странах; Совинцентр" и Внешэкономсервис оказывают услуги иностранным предпринимателям по установлению деловых контактов и их работе в России; в составе ТПП РФ создано торговое объединение Союз-регион, которое изыскивает нетрадиционные товары для экспорта; "Экспоцентр" организует выставки российских товаров за рубежом и иностранных товаров в России, а также участие российских организаций в международных выставках и ярмарках. При ТПП РФ функционируют Арбитражный суд и Морская арбитражная комиссия.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eastAsia="Arial Unicode MS" w:hAnsi="Arial" w:cs="Arial"/>
          <w:sz w:val="20"/>
          <w:szCs w:val="27"/>
        </w:rPr>
      </w:pPr>
      <w:r>
        <w:rPr>
          <w:rFonts w:ascii="Arial" w:hAnsi="Arial" w:cs="Arial"/>
          <w:sz w:val="20"/>
          <w:szCs w:val="27"/>
        </w:rPr>
        <w:t>1.3. Формирование системы регулирования внешнеэкономической деятельности</w:t>
      </w:r>
    </w:p>
    <w:p w:rsidR="00FD64D5" w:rsidRDefault="00FD64D5">
      <w:pPr>
        <w:pStyle w:val="a3"/>
        <w:jc w:val="both"/>
        <w:rPr>
          <w:rFonts w:ascii="Arial" w:hAnsi="Arial" w:cs="Arial"/>
          <w:sz w:val="20"/>
        </w:rPr>
      </w:pPr>
      <w:r>
        <w:rPr>
          <w:rFonts w:ascii="Arial" w:hAnsi="Arial" w:cs="Arial"/>
          <w:sz w:val="20"/>
        </w:rPr>
        <w:t xml:space="preserve">Переход к рыночной экономике поставил перед внешнеэкономической деятельностью задачу способствовать максимально эффективному включению российского народного хозяйства в мировые экономические процессы с целью использования преимуществ международного разделения труда. </w:t>
      </w:r>
      <w:r>
        <w:rPr>
          <w:rFonts w:ascii="Arial" w:hAnsi="Arial" w:cs="Arial"/>
          <w:sz w:val="20"/>
        </w:rPr>
        <w:br/>
      </w:r>
      <w:r>
        <w:rPr>
          <w:rFonts w:ascii="Arial" w:hAnsi="Arial" w:cs="Arial"/>
          <w:sz w:val="20"/>
        </w:rPr>
        <w:br/>
        <w:t xml:space="preserve">Очевидно, что путь национальной изолированности от международных экономических отношений бесперспективен для России. Споры возникают лишь по поводу конкретных форм, пределов, темпов и других параметров интегрирования в мировое хозяйство. Вызывает сомнение, что быстрая либерализация внешней торговли на ранних стадиях перехода к рынку способна помочь модернизации экономики. Поэтому содержание внешнеэкономической политики в период перехода к рынку постсоциалистического государства должно определяться прагматическим путем в контексте макроэкономической и микроэкономической стратегии развития народного хозяйства с учетом его реальной структуры. </w:t>
      </w:r>
      <w:r>
        <w:rPr>
          <w:rFonts w:ascii="Arial" w:hAnsi="Arial" w:cs="Arial"/>
          <w:sz w:val="20"/>
        </w:rPr>
        <w:br/>
      </w:r>
      <w:r>
        <w:rPr>
          <w:rFonts w:ascii="Arial" w:hAnsi="Arial" w:cs="Arial"/>
          <w:sz w:val="20"/>
        </w:rPr>
        <w:br/>
        <w:t xml:space="preserve">Чем более стабильна национальная экономика, чем более гармоничны пропорции между различными ее отраслями, взаимоотношения ее с мировым хозяйством, тем меньше нуждается она в экстренных мерах государственного регулирования внешней торговли. Российская экономика все еще переживает сложный переходный период, она крайне диспропорциональна. Поэтому ей нужен весь арсенал возможных средств внешнеторгового регулирования, включая защитные (протекционистские) меры. </w:t>
      </w:r>
      <w:r>
        <w:rPr>
          <w:rFonts w:ascii="Arial" w:hAnsi="Arial" w:cs="Arial"/>
          <w:sz w:val="20"/>
        </w:rPr>
        <w:br/>
      </w:r>
      <w:r>
        <w:rPr>
          <w:rFonts w:ascii="Arial" w:hAnsi="Arial" w:cs="Arial"/>
          <w:sz w:val="20"/>
        </w:rPr>
        <w:br/>
        <w:t xml:space="preserve">Следует иметь в виду, что в современном мировом хозяйстве внешняя торговля посредством таможенно-тарифного и нетарифного регулирования относится к одной из самых регулируемых областей хозяйственной жизни. </w:t>
      </w:r>
      <w:r>
        <w:rPr>
          <w:rFonts w:ascii="Arial" w:hAnsi="Arial" w:cs="Arial"/>
          <w:sz w:val="20"/>
        </w:rPr>
        <w:br/>
      </w:r>
      <w:r>
        <w:rPr>
          <w:rFonts w:ascii="Arial" w:hAnsi="Arial" w:cs="Arial"/>
          <w:sz w:val="20"/>
        </w:rPr>
        <w:br/>
        <w:t xml:space="preserve">Западные страны, постоянно декларируя свою приверженность нормам свободной торговли и действительно стремясь к либерализации международных хозяйственных отношений, на практике придерживаются весьма взвешенного и прагматичного подхода к регулированию этих отношений, неизменно отдавая приоритет совершенно конкретным национальным хозяйственным задачам и интересам в тех случаях, когда они вступают в конфликт с идеалами экономического либерализма. Их политика, конечно, не сводится только к устранению торгово-экономических барьеров, а формируется с учетом состояния национальной экономики, уровня и приоритетов ее развития, степени ее конкурентоспособности, специфики социальных проблем и внешнеполитических целей, поведения партнеров и т.д. </w:t>
      </w:r>
      <w:r>
        <w:rPr>
          <w:rFonts w:ascii="Arial" w:hAnsi="Arial" w:cs="Arial"/>
          <w:sz w:val="20"/>
        </w:rPr>
        <w:br/>
      </w:r>
      <w:r>
        <w:rPr>
          <w:rFonts w:ascii="Arial" w:hAnsi="Arial" w:cs="Arial"/>
          <w:sz w:val="20"/>
        </w:rPr>
        <w:br/>
        <w:t xml:space="preserve">Даже на концептуальном уровне этот прагматизм выражается в том, что, например, в США, являющихся признанным лидером мирового движения за свободную торговлю, официально исповедуется доктрина не просто “свободной”, но и “справедливой” или “добросовестной” торговли, т.е. торговли, ведущейся с соблюдением принципа взаимности и в определенных нормативных рамках, трактуемых в США довольно жестко и не всегда в соответствии с международными правилами. Поэтому, в частности, США применяют антидемпинговые и компенсационные пошлины гораздо шире, чем другие страны мира. </w:t>
      </w:r>
      <w:r>
        <w:rPr>
          <w:rFonts w:ascii="Arial" w:hAnsi="Arial" w:cs="Arial"/>
          <w:sz w:val="20"/>
        </w:rPr>
        <w:br/>
      </w:r>
      <w:r>
        <w:rPr>
          <w:rFonts w:ascii="Arial" w:hAnsi="Arial" w:cs="Arial"/>
          <w:sz w:val="20"/>
        </w:rPr>
        <w:br/>
        <w:t xml:space="preserve">В других же западных государствах вообще предпочитают говорить не о “свободной”, а “регулируемой” или “управляемой” торговле, иногда об “организованной свободной торговле”, что более соответствует реальным формам международных экономических связей высокоразвитых государств, не говоря уже о странах менее развитых, протекционистские элементы в политике которых очень сильны. </w:t>
      </w:r>
      <w:r>
        <w:rPr>
          <w:rFonts w:ascii="Arial" w:hAnsi="Arial" w:cs="Arial"/>
          <w:sz w:val="20"/>
        </w:rPr>
        <w:br/>
      </w:r>
      <w:r>
        <w:rPr>
          <w:rFonts w:ascii="Arial" w:hAnsi="Arial" w:cs="Arial"/>
          <w:sz w:val="20"/>
        </w:rPr>
        <w:br/>
        <w:t xml:space="preserve">Климат международных торговых отношений определяется не только нормами Всемирной торговой организации (ВТО), через которую развитые страны под флагом “свободной и справедливой торговли” стремятся ослабить тарифные и нетарифные ограничения, препятствующие экспорту их продукции, представленной, как правило, готовыми изделиями высоких технологий (которые, кстати, не так уж строго соблюдаются) и эффектными фритредерскими декларациями “богатых” стран, но и огромным числом рестриктивных нетарифных барьеров, охватывающих, по некоторым оценкам, до половины мировой торговли, широким использованием методов искусственной поддержки конкурентоспособности национального капитала и национальных отраслей (особенно сельского хозяйства), сохраняющимся еще во многих странах высоким уровнем тарифов (даже в развитых странах пошлины на ввоз некоторых “чувствительных” товаров довольно высоки, наличием многочисленных товарных и картельных соглашений, региональных блоков и преференций и т.п. </w:t>
      </w:r>
      <w:r>
        <w:rPr>
          <w:rFonts w:ascii="Arial" w:hAnsi="Arial" w:cs="Arial"/>
          <w:sz w:val="20"/>
        </w:rPr>
        <w:br/>
      </w:r>
      <w:r>
        <w:rPr>
          <w:rFonts w:ascii="Arial" w:hAnsi="Arial" w:cs="Arial"/>
          <w:sz w:val="20"/>
        </w:rPr>
        <w:br/>
        <w:t xml:space="preserve">Фактически все “цивилизованные” страны, декларируют они это открыто или нет, не довольствуются своим “естественным” местом в системе международного разделения труда, диктуемым законами свободной конкуренции, но пытаются - порою со значительным успехом (Япония, ФРГ, страны Юго-Восточной Азии и др.) - активно и целеустремленно воздействовать на формирование своего “сравнительного преимущества”, используя широкий арсенал средств структурной (промышленной) политики и другие методы, далекие от идеалов свободной торговли. </w:t>
      </w:r>
      <w:r>
        <w:rPr>
          <w:rFonts w:ascii="Arial" w:hAnsi="Arial" w:cs="Arial"/>
          <w:sz w:val="20"/>
        </w:rPr>
        <w:br/>
      </w:r>
      <w:r>
        <w:rPr>
          <w:rFonts w:ascii="Arial" w:hAnsi="Arial" w:cs="Arial"/>
          <w:sz w:val="20"/>
        </w:rPr>
        <w:br/>
        <w:t xml:space="preserve">На этом фоне еще в последние годы существования СССР началась трансформация механизма государственной внешней торговли в сторону отказа от автаркических тенденций, существовавших в течение веков в экономике дореволюционной России, резко усилившихся в советский период. В Советском Союзе (и отчасти в рамках СЭВ) была создана изолированная от внешних связей экономическая система. Эта система позволила достичь почти полного жизнеобеспечения на низшем уровне потребностей и качества продукции. Нацеленная на военно-политические задачи, автаркическая экономика СССР мало нуждалась в связях с остальным миром и совершенно не была приспособлена к сотрудничеству с ним. </w:t>
      </w:r>
      <w:r>
        <w:rPr>
          <w:rFonts w:ascii="Arial" w:hAnsi="Arial" w:cs="Arial"/>
          <w:sz w:val="20"/>
        </w:rPr>
        <w:br/>
      </w:r>
      <w:r>
        <w:rPr>
          <w:rFonts w:ascii="Arial" w:hAnsi="Arial" w:cs="Arial"/>
          <w:sz w:val="20"/>
        </w:rPr>
        <w:br/>
        <w:t xml:space="preserve">Реформы в области внешнеэкономических связей начатые в 1986 г., привели к формальной отмене государственной монополии внешней торговли (в 1988 г.), предоставлению предприятиям и хозяйственным организациям права </w:t>
      </w:r>
      <w:r>
        <w:rPr>
          <w:rFonts w:ascii="Arial" w:hAnsi="Arial" w:cs="Arial"/>
          <w:sz w:val="20"/>
        </w:rPr>
        <w:br/>
      </w:r>
      <w:r>
        <w:rPr>
          <w:rFonts w:ascii="Arial" w:hAnsi="Arial" w:cs="Arial"/>
          <w:sz w:val="20"/>
        </w:rPr>
        <w:br/>
        <w:t xml:space="preserve">на экспортно-импортные операции, а также к возникновению большого числа совместных предприятий (СП) с зарубежными партнерами (с 1987 г.). Тем не менее выход на внешний рынок находился под мощным бюрократическим контролем, валютные поступления были обложены высокими налогами. Советский рубль оставался неконвертируемой валютой. </w:t>
      </w:r>
      <w:r>
        <w:rPr>
          <w:rFonts w:ascii="Arial" w:hAnsi="Arial" w:cs="Arial"/>
          <w:sz w:val="20"/>
        </w:rPr>
        <w:br/>
      </w:r>
      <w:r>
        <w:rPr>
          <w:rFonts w:ascii="Arial" w:hAnsi="Arial" w:cs="Arial"/>
          <w:sz w:val="20"/>
        </w:rPr>
        <w:br/>
        <w:t xml:space="preserve">В России же существенные изменения во внешнеторговом режиме начались с указа президента № 213 от 15 ноября 1991 г. “О либерализации внешнеэкономической деятельности на территории РСФСР”. Указ предусматривал ряд конкретных мер. Во-первых, отменял обязательную регистрацию российских предприятий и фирм в качестве участников внешнеэкономической деятельности. Это означало, что все предприятия и их объединения получали право на осуществление внешнеэкономических операций (в том числе и посреднических) без специального разрешения, которое прежде необходимо было получать. Во-вторых, часть валютной выручки, оставшейся в распоряжении экспортера, увеличивалась до 50%. В-третьих, были отменены налоги на импорт, ставки которых по многим позициям были необоснованно высоки. В-четвертых, в соответствии с либерализацией цен на все продукты и ресурсы с 1 января 1992 г. правительство расширило сферу использования рыночного курса, т.е. свободной цены на иностранную валюту. Фактически это означало девальвацию рубля почти в 60 раз. А с 1 июля того же года единый рыночный курс фактически стал основным валютным курсом. В-пятых, был сокращен перечень товаров, экспорт которых лицензировался и квотировался. </w:t>
      </w:r>
      <w:r>
        <w:rPr>
          <w:rFonts w:ascii="Arial" w:hAnsi="Arial" w:cs="Arial"/>
          <w:sz w:val="20"/>
        </w:rPr>
        <w:br/>
      </w:r>
      <w:r>
        <w:rPr>
          <w:rFonts w:ascii="Arial" w:hAnsi="Arial" w:cs="Arial"/>
          <w:sz w:val="20"/>
        </w:rPr>
        <w:br/>
        <w:t xml:space="preserve">В правительственной “Программе углубления экономических реформ” (1992г.) в разделе “Либерализация внешнеэкономической деятельности. Открытие экономики” отмечалось, что либерализация является одним из ключевых направлений экономической политики, обеспечивающим улучшение положения России в системе международного разделения труда. Среди среднесрочных целей этой программы под номером один значилось: “полный демонтаж количественных ограничений во внешней торговле “ (это то, к чему десятки лет шли наиболее развитые страны мира). </w:t>
      </w:r>
      <w:r>
        <w:rPr>
          <w:rFonts w:ascii="Arial" w:hAnsi="Arial" w:cs="Arial"/>
          <w:sz w:val="20"/>
        </w:rPr>
        <w:br/>
      </w:r>
      <w:r>
        <w:rPr>
          <w:rFonts w:ascii="Arial" w:hAnsi="Arial" w:cs="Arial"/>
          <w:sz w:val="20"/>
        </w:rPr>
        <w:br/>
        <w:t xml:space="preserve">Однако выход на внешний рынок огромного числа российских предприятий, зачастую не имевших в прошлом опыта ВЭД, привел к их конкуренции друг с другом и ухудшению условий экспортно-импортных сделок. </w:t>
      </w:r>
      <w:r>
        <w:rPr>
          <w:rFonts w:ascii="Arial" w:hAnsi="Arial" w:cs="Arial"/>
          <w:sz w:val="20"/>
        </w:rPr>
        <w:br/>
      </w:r>
      <w:r>
        <w:rPr>
          <w:rFonts w:ascii="Arial" w:hAnsi="Arial" w:cs="Arial"/>
          <w:sz w:val="20"/>
        </w:rPr>
        <w:br/>
        <w:t xml:space="preserve">В этих условиях Правительство России было вынуждено пойти на усиление государственного контроля за вывозом товаров. С 1 июля 1992 г. установлен особый порядок экспорта стратегически важных сырьевых товаров. Всего же контроль за вывозом стратегически важных сырьевых товаров охватывал 70% российского экспорта. </w:t>
      </w:r>
      <w:r>
        <w:rPr>
          <w:rFonts w:ascii="Arial" w:hAnsi="Arial" w:cs="Arial"/>
          <w:sz w:val="20"/>
        </w:rPr>
        <w:br/>
      </w:r>
      <w:r>
        <w:rPr>
          <w:rFonts w:ascii="Arial" w:hAnsi="Arial" w:cs="Arial"/>
          <w:sz w:val="20"/>
        </w:rPr>
        <w:br/>
        <w:t xml:space="preserve">Согласно разработанному МВЭС РФ и Государственным комитетом РФ по антимонопольной политике “Положению о порядке регистрации предприятий и организаций, имеющих право экспорта стратегически важных сырьевых товаров" число организаций, осуществляющих экспорт вышеназванных товаров по состоянию на конец августа 1992 г. было ограничено пятьюдесятью - это в основном государственные внешнеэкономические объединения и крупные отраслевые ассоциации. В 1995 г., когда участие российских экспортеров сырья и топлива приняло достаточно упорядоченный характер и более активно заработали механизмы таможенного и валютного контроля институт специальных экспортеров был упразднен. </w:t>
      </w:r>
      <w:r>
        <w:rPr>
          <w:rFonts w:ascii="Arial" w:hAnsi="Arial" w:cs="Arial"/>
          <w:sz w:val="20"/>
        </w:rPr>
        <w:br/>
      </w:r>
      <w:r>
        <w:rPr>
          <w:rFonts w:ascii="Arial" w:hAnsi="Arial" w:cs="Arial"/>
          <w:sz w:val="20"/>
        </w:rPr>
        <w:br/>
        <w:t xml:space="preserve">В августе 1993 г. уже принимается более реальный документ - в новой правительственной программе на 1993-1995 гг. “Развитие реформ и стабилизация российской экономики” в центре внимания внешнеэкономического раздела которой уже не неумеренная либерализация, а конкретные проблемы взаимосвязи внешнеэкономической политики со структурной политикой, усиления контроля за экспортом стратегически важных сырьевых товаров, ограничения иностранной конкуренции на внутреннем рынке и т.п. </w:t>
      </w:r>
      <w:r>
        <w:rPr>
          <w:rFonts w:ascii="Arial" w:hAnsi="Arial" w:cs="Arial"/>
          <w:sz w:val="20"/>
        </w:rPr>
        <w:br/>
      </w:r>
      <w:r>
        <w:rPr>
          <w:rFonts w:ascii="Arial" w:hAnsi="Arial" w:cs="Arial"/>
          <w:sz w:val="20"/>
        </w:rPr>
        <w:br/>
        <w:t xml:space="preserve">Однако быстрота, с которой создавалась новая система управления внешнеэкономическими связями не могла не отразиться на качестве этой системы. Нередко изменения, вносившиеся в систему государственного регулирования, не были подкреплены соответствующими законодательными нормами хозяйственного права, плохо состыковывались с теми элементами управления экономикой, на основе которых регулировалось развитие внутреннего сектора народного хозяйства. Нередко они обгоняли процессы формирования рыночных отношений, происходящие в национальной экономике. Принимая порой скороспелые решения, правительству потом нередко приходилось отступать, что придавало торгово-политическому режиму черты неустойчивости и непредсказуемости. Так президентский указ №1007 от 23 мая 1994 г. об отмене лицензирования и квотирования экспорта, изданный под нажимом Международного Валютного Фонда без согласования с правительством и МВЭС, пришлось почти немедленно корректировать правительственным постановлением, в результате чего появилась на свет громоздкая, неэффективная и, что особенно важно, не слишком соответствующая международным торговым нормам система регистрации экспортных контрактов. </w:t>
      </w:r>
      <w:r>
        <w:rPr>
          <w:rFonts w:ascii="Arial" w:hAnsi="Arial" w:cs="Arial"/>
          <w:sz w:val="20"/>
        </w:rPr>
        <w:br/>
      </w:r>
      <w:r>
        <w:rPr>
          <w:rFonts w:ascii="Arial" w:hAnsi="Arial" w:cs="Arial"/>
          <w:sz w:val="20"/>
        </w:rPr>
        <w:br/>
        <w:t xml:space="preserve">В результате, наряду с очевидными успехами в области рыночных преобразований внешней сферы национальной экономики России и развитии экспорта, в ходе реформы выявились и существенные негативные моменты. </w:t>
      </w:r>
      <w:r>
        <w:rPr>
          <w:rFonts w:ascii="Arial" w:hAnsi="Arial" w:cs="Arial"/>
          <w:sz w:val="20"/>
        </w:rPr>
        <w:br/>
      </w:r>
      <w:r>
        <w:rPr>
          <w:rFonts w:ascii="Arial" w:hAnsi="Arial" w:cs="Arial"/>
          <w:sz w:val="20"/>
        </w:rPr>
        <w:br/>
        <w:t xml:space="preserve">Широкий спектр мер по либерализации внешней торговли, а также девальвация рубля, с одной стороны создавали предпосылки для последующего роста экспорта и конкурентного давления импорта на производство, а с другой - дали сильный толчок развертыванию инфляционных процессов, создавали трудности для ряда отраслей, зависящих от импорта. Либеральный режим осуществления внешнеторговых и валютных операций, заниженный курс рубля, несовершенное банковское законодательство способствовали также усилению бегства капитала из страны, которое, впрочем, происходило уже в годы перестройки. </w:t>
      </w:r>
      <w:r>
        <w:rPr>
          <w:rFonts w:ascii="Arial" w:hAnsi="Arial" w:cs="Arial"/>
          <w:sz w:val="20"/>
        </w:rPr>
        <w:br/>
      </w:r>
      <w:r>
        <w:rPr>
          <w:rFonts w:ascii="Arial" w:hAnsi="Arial" w:cs="Arial"/>
          <w:sz w:val="20"/>
        </w:rPr>
        <w:br/>
        <w:t xml:space="preserve">Сложившаяся система государственного регулирования в соответствии с мировой практикой включала в себя меры тарифного и нетарифного регулирования экспорта и импорта. Экспортные поставки регулировались системой квот и лицензий. Квоты устанавливало Министерство экономики РФ и на их основе выдавались лицензии для экспорта продукции. Кроме того, лицензированию подлежали и некоторые группы специфических экспортных товаров, как-то: оружие и боеприпасы, специальные комплектующие для их производства; драгоценные металлы, отдельные виды лекарственных средств, живые животные и т.д. </w:t>
      </w:r>
      <w:r>
        <w:rPr>
          <w:rFonts w:ascii="Arial" w:hAnsi="Arial" w:cs="Arial"/>
          <w:sz w:val="20"/>
        </w:rPr>
        <w:br/>
      </w:r>
      <w:r>
        <w:rPr>
          <w:rFonts w:ascii="Arial" w:hAnsi="Arial" w:cs="Arial"/>
          <w:sz w:val="20"/>
        </w:rPr>
        <w:br/>
        <w:t xml:space="preserve">Кроме того, в связи с существенной разницей между мировыми и внутренними ценами на экспортируемую продукцию, использовалась система экспортных пошлин, редко применяемая в мировой практике. С помощью этих пошлин часть дохода экспортеров изымалась в пользу государственного бюджета. Экспортными пошлинами в 1992 г. охватывались около 3/4 российского экспорта. </w:t>
      </w:r>
      <w:r>
        <w:rPr>
          <w:rFonts w:ascii="Arial" w:hAnsi="Arial" w:cs="Arial"/>
          <w:sz w:val="20"/>
        </w:rPr>
        <w:br/>
      </w:r>
      <w:r>
        <w:rPr>
          <w:rFonts w:ascii="Arial" w:hAnsi="Arial" w:cs="Arial"/>
          <w:sz w:val="20"/>
        </w:rPr>
        <w:br/>
        <w:t xml:space="preserve">Импорт регулировался системой лицензий, на такие специфические товары, как лекарственные средства, химические средства защиты, оружие и боеприпасы, драгоценные металлы и т.д., а также импортным тарифом. </w:t>
      </w:r>
      <w:r>
        <w:rPr>
          <w:rFonts w:ascii="Arial" w:hAnsi="Arial" w:cs="Arial"/>
          <w:sz w:val="20"/>
        </w:rPr>
        <w:br/>
      </w:r>
      <w:r>
        <w:rPr>
          <w:rFonts w:ascii="Arial" w:hAnsi="Arial" w:cs="Arial"/>
          <w:sz w:val="20"/>
        </w:rPr>
        <w:br/>
        <w:t xml:space="preserve">Импортный таможенный тариф РФ (первоначально носивший временный характер) был введен Указом Президента РФ в середине 1992 г. в целях увеличения доходов государственного бюджета от внешнеэкономической деятельности и создания более благоприятных условий для развития отдельных видов производства с высокой степенью обработки. </w:t>
      </w:r>
      <w:r>
        <w:rPr>
          <w:rFonts w:ascii="Arial" w:hAnsi="Arial" w:cs="Arial"/>
          <w:sz w:val="20"/>
        </w:rPr>
        <w:br/>
      </w:r>
      <w:r>
        <w:rPr>
          <w:rFonts w:ascii="Arial" w:hAnsi="Arial" w:cs="Arial"/>
          <w:sz w:val="20"/>
        </w:rPr>
        <w:br/>
        <w:t xml:space="preserve">В последующие годы в механизм регулирования внешнеэкономической деятельности вносились коррективы, отчасти продиктованные объективной необходимостью углубления реформ, а отчасти необходимостью устранения допущенных просчетов. </w:t>
      </w:r>
      <w:r>
        <w:rPr>
          <w:rFonts w:ascii="Arial" w:hAnsi="Arial" w:cs="Arial"/>
          <w:sz w:val="20"/>
        </w:rPr>
        <w:br/>
      </w:r>
      <w:r>
        <w:rPr>
          <w:rFonts w:ascii="Arial" w:hAnsi="Arial" w:cs="Arial"/>
          <w:sz w:val="20"/>
        </w:rPr>
        <w:br/>
        <w:t xml:space="preserve">В целях дальнейшей либерализации экспорта постепенно сокращался объем квотируемой и лицензируемой продукции, поставляемой на экспорт. С 1 января 1994 г. в списки квотируемых и лицензируемых экспортных товаров входило 12 товарных групп (в 1993 г. - таких групп было 17, а в начале 1992 г. - 27). В 1995 г. экспортные квоты и лицензии были вовсе ликвидированы. </w:t>
      </w:r>
      <w:r>
        <w:rPr>
          <w:rFonts w:ascii="Arial" w:hAnsi="Arial" w:cs="Arial"/>
          <w:sz w:val="20"/>
        </w:rPr>
        <w:br/>
      </w:r>
      <w:r>
        <w:rPr>
          <w:rFonts w:ascii="Arial" w:hAnsi="Arial" w:cs="Arial"/>
          <w:sz w:val="20"/>
        </w:rPr>
        <w:br/>
        <w:t xml:space="preserve">В связи с изменением внутренних и мировых цен изменялись и экспортные пошлины. Последнее по времени снижение экспортных пошлин произошло в конце 1995 г. оно было осуществлено в целях повышения эффективности экспорта в условиях введенного валютного коридора. </w:t>
      </w:r>
      <w:r>
        <w:rPr>
          <w:rFonts w:ascii="Arial" w:hAnsi="Arial" w:cs="Arial"/>
          <w:sz w:val="20"/>
        </w:rPr>
        <w:br/>
      </w:r>
      <w:r>
        <w:rPr>
          <w:rFonts w:ascii="Arial" w:hAnsi="Arial" w:cs="Arial"/>
          <w:sz w:val="20"/>
        </w:rPr>
        <w:br/>
        <w:t xml:space="preserve">С 1 апреля 1996 г. ликвидировано подавляющее число экспортных пошлин. С 1 июля 1996 г. Россия отменила все экспортные пошлины. Наряду с этим была отменена обязательная экспертизы количества, качества и цены поставляемых товаров, а также регистрации экспортных контрактов (обязательный характер был заменен на рекомендательный). Контроль за экспортом сохранен только в сфере возврата валюты по внешнеторговым операциям. </w:t>
      </w:r>
      <w:r>
        <w:rPr>
          <w:rFonts w:ascii="Arial" w:hAnsi="Arial" w:cs="Arial"/>
          <w:sz w:val="20"/>
        </w:rPr>
        <w:br/>
      </w:r>
      <w:r>
        <w:rPr>
          <w:rFonts w:ascii="Arial" w:hAnsi="Arial" w:cs="Arial"/>
          <w:sz w:val="20"/>
        </w:rPr>
        <w:br/>
        <w:t xml:space="preserve">Резкое расширение числа участников экспортных операций, произошедшее в 1992 г. обострило проблему валютного контроля за экспортными поставками. В последующем были приняты меры по усилению этого контроля. Они были направлены прежде всего на своевременное возвращение валютной выручки в Россию. Центральный Банк и Государственный таможенный комитет 12 октября 1993г. приняли совместную инструкцию № 19 и № 01-20/10283, определяющую порядок валютного контроля за поступлениями в Российскую Федерацию валютной выручки от экспорта товаров. </w:t>
      </w:r>
      <w:r>
        <w:rPr>
          <w:rFonts w:ascii="Arial" w:hAnsi="Arial" w:cs="Arial"/>
          <w:sz w:val="20"/>
        </w:rPr>
        <w:br/>
      </w:r>
      <w:r>
        <w:rPr>
          <w:rFonts w:ascii="Arial" w:hAnsi="Arial" w:cs="Arial"/>
          <w:sz w:val="20"/>
        </w:rPr>
        <w:br/>
        <w:t xml:space="preserve">Для экспорта стратегически важных сырьевых товаров она была введена в действие с 1 января 1994г., для остальных товаров - с 1 марта 1994 г. Схема контроля увязывает в единую цепочку всех российских субъектов экспортной сделки: "экспортер-таможня - банк". В соответствии с инструкцией введена специальная документация, которая дает возможность проследить сначала прохождение товара через границу, а затем поступление валютной выручки. </w:t>
      </w:r>
      <w:r>
        <w:rPr>
          <w:rFonts w:ascii="Arial" w:hAnsi="Arial" w:cs="Arial"/>
          <w:sz w:val="20"/>
        </w:rPr>
        <w:br/>
      </w:r>
      <w:r>
        <w:rPr>
          <w:rFonts w:ascii="Arial" w:hAnsi="Arial" w:cs="Arial"/>
          <w:sz w:val="20"/>
        </w:rPr>
        <w:br/>
        <w:t xml:space="preserve">Коррективы, внесенные в правила регулирования импорта в основном касались изменений в импортном тарифе и введении системы платы налога на добавленную стоимость и акцизных платежей по импортируемым товарам. В настоящее время применяется импортный тариф, утвержденный постановлением Правительства РФ № 454 от 6 мая 1995 г. В течение последующего времени в него был внесен ряд изменений. Общая тенденция, проявившаяся в изменениях, вносимых в импортный тариф состоит в том, что с его помощью решаются две группы проблем: повышение доходов федерального бюджета, и усиление таможенной защиты отечественного производства. </w:t>
      </w:r>
      <w:r>
        <w:rPr>
          <w:rFonts w:ascii="Arial" w:hAnsi="Arial" w:cs="Arial"/>
          <w:sz w:val="20"/>
        </w:rPr>
        <w:br/>
      </w:r>
      <w:r>
        <w:rPr>
          <w:rFonts w:ascii="Arial" w:hAnsi="Arial" w:cs="Arial"/>
          <w:sz w:val="20"/>
        </w:rPr>
        <w:br/>
        <w:t xml:space="preserve">Однако, по нашему мнению, делается это без достаточных экономических обоснований, под большим влиянием лоббирующих заинтересованных групп. В результате этого нельзя утверждать о том, что Россия имеет эффективный импортный тариф. Такой тариф можно разработать лишь при условии соблюдения двух критериев, которые не всегда легко совместить. Во-первых, импортный тариф необходимо органически увязать со структурной политикой, и в этом случае он должен обеспечивать временную защиту тем или иным видам отечественных производств. Однако вся беда состоит в том, что пока такой политики в России не выработано. </w:t>
      </w:r>
      <w:r>
        <w:rPr>
          <w:rFonts w:ascii="Arial" w:hAnsi="Arial" w:cs="Arial"/>
          <w:sz w:val="20"/>
        </w:rPr>
        <w:br/>
      </w:r>
      <w:r>
        <w:rPr>
          <w:rFonts w:ascii="Arial" w:hAnsi="Arial" w:cs="Arial"/>
          <w:sz w:val="20"/>
        </w:rPr>
        <w:br/>
        <w:t xml:space="preserve">Во-вторых, импортные пошлины необходимо формировать в соответствии с требованиями Всемирной торговой организации (ВТО), в которую Россия намерена вступить в этом году. А это предполагает минимизацию импортных пошлин. Например, в начале 1990г. средняя ставка таможенных тарифов составляла около 6%. В частности, средние ставки тарифов США, стран ЕС и Японии составляли (в %): на сырьевые товары - 1,8; 1,6 и 1,4; на полуфабрикаты - 6,1; 6,2 и 6,3; на готовые изделия 7,0; 7,0 и 6,4 соответственно. </w:t>
      </w:r>
      <w:r>
        <w:rPr>
          <w:rFonts w:ascii="Arial" w:hAnsi="Arial" w:cs="Arial"/>
          <w:sz w:val="20"/>
        </w:rPr>
        <w:br/>
      </w:r>
      <w:r>
        <w:rPr>
          <w:rFonts w:ascii="Arial" w:hAnsi="Arial" w:cs="Arial"/>
          <w:sz w:val="20"/>
        </w:rPr>
        <w:br/>
        <w:t xml:space="preserve">Работа над совершенствованием российского импортного тарифа будет продолжаться. На некоторые ввозимые товары будут повышены пошлины, а на другие понижены, но средневзвешенная ставка тарифа будет оставаться как и в настоящее время примерно на уровне 14%. Уровень ставок импортного тарифа на подавляющее большинство товаров в начале 1996 г. находился в пределах от 5 до 30% (исключениями являются предметы роскоши, оружие, спиртные напитки, ставки на которые превышают 30%, зерно и сахар-сырец, ставки на которые составляют 1 %). </w:t>
      </w:r>
      <w:r>
        <w:rPr>
          <w:rFonts w:ascii="Arial" w:hAnsi="Arial" w:cs="Arial"/>
          <w:sz w:val="20"/>
        </w:rPr>
        <w:br/>
      </w:r>
      <w:r>
        <w:rPr>
          <w:rFonts w:ascii="Arial" w:hAnsi="Arial" w:cs="Arial"/>
          <w:sz w:val="20"/>
        </w:rPr>
        <w:br/>
        <w:t xml:space="preserve">На перспективу до 2000 г. разработан график поэтапного снижения импортных пошлин. Максимальная ставка импортного тарифа составляет с 1 января 1998 г. 20%, а с 1 января 2000 г. должна составить - 15%. Средневзвешенная ставка в 1998 г. равна 80% от уровня 1995 г., а в 2000 г. будет равна - 70%. </w:t>
      </w:r>
      <w:r>
        <w:rPr>
          <w:rFonts w:ascii="Arial" w:hAnsi="Arial" w:cs="Arial"/>
          <w:sz w:val="20"/>
        </w:rPr>
        <w:br/>
      </w:r>
      <w:r>
        <w:rPr>
          <w:rFonts w:ascii="Arial" w:hAnsi="Arial" w:cs="Arial"/>
          <w:sz w:val="20"/>
        </w:rPr>
        <w:br/>
        <w:t xml:space="preserve">В 1996 г. по аналогии с экспортом введен валютный контроль за импортом. Его цель - воспрепятствовать использованию импортных контрактов для нелегального вывоза российского капитала. </w:t>
      </w:r>
      <w:r>
        <w:rPr>
          <w:rFonts w:ascii="Arial" w:hAnsi="Arial" w:cs="Arial"/>
          <w:sz w:val="20"/>
        </w:rPr>
        <w:br/>
      </w:r>
      <w:r>
        <w:rPr>
          <w:rFonts w:ascii="Arial" w:hAnsi="Arial" w:cs="Arial"/>
          <w:sz w:val="20"/>
        </w:rPr>
        <w:br/>
        <w:t xml:space="preserve">С 1 ноября 1996 г. в соответствии с Указом Президента РФ "0 государственном регулировании внешнеторговых бартерных сделок" от 18.08.1996 г. валютным контролем охвачены также бартерные сделки. </w:t>
      </w:r>
      <w:r>
        <w:rPr>
          <w:rFonts w:ascii="Arial" w:hAnsi="Arial" w:cs="Arial"/>
          <w:sz w:val="20"/>
        </w:rPr>
        <w:br/>
      </w:r>
      <w:r>
        <w:rPr>
          <w:rFonts w:ascii="Arial" w:hAnsi="Arial" w:cs="Arial"/>
          <w:sz w:val="20"/>
        </w:rPr>
        <w:br/>
        <w:t xml:space="preserve">Завершает переход к новому внешнеторговому режиму федеральный закон №157 от 7 июля 1995 г. “О государственном регулировании внешнеторговой деятельности”. Хотя этот закон в основном является рамочным и непосредственно не требует каких-либо изменений в системе внешней торговли, он является значительным шагом по пути становления этой системы, уточнения ее основных понятий и положений. </w:t>
      </w:r>
      <w:r>
        <w:rPr>
          <w:rFonts w:ascii="Arial" w:hAnsi="Arial" w:cs="Arial"/>
          <w:sz w:val="20"/>
        </w:rPr>
        <w:br/>
      </w:r>
      <w:r>
        <w:rPr>
          <w:rFonts w:ascii="Arial" w:hAnsi="Arial" w:cs="Arial"/>
          <w:sz w:val="20"/>
        </w:rPr>
        <w:br/>
        <w:t xml:space="preserve">Не всеми положениями закона остался доволен Президент РФ. Сразу же после его вступления в силу Президент попросил Конституционный суд проверить конституционность ряда его положений, считая что в законе ущемлены права центра по отношению к субъектам федерации в вопросах внешнеторговой деятельности. Однако в декабре 1996 года С. Шахрай в качестве нового представителя президента в Конституционном суде отозвал запрос как не совсем правильно оформленный. </w:t>
      </w:r>
      <w:r>
        <w:rPr>
          <w:rFonts w:ascii="Arial" w:hAnsi="Arial" w:cs="Arial"/>
          <w:sz w:val="20"/>
        </w:rPr>
        <w:br/>
      </w:r>
      <w:r>
        <w:rPr>
          <w:rFonts w:ascii="Arial" w:hAnsi="Arial" w:cs="Arial"/>
          <w:sz w:val="20"/>
        </w:rPr>
        <w:br/>
        <w:t xml:space="preserve">Понятно, что к настоящему времени отработаны далеко не все проблемы регулирования внешнеторгового обмена. Необходимо повысить степень экономической проработки принимаемых решений, стремясь учесть при этом их воздействие на национальную экономику в целом, придать изменениям в регулировании предсказуемый характер, повысить стабильность юридических норм. </w:t>
      </w:r>
      <w:r>
        <w:rPr>
          <w:rFonts w:ascii="Arial" w:hAnsi="Arial" w:cs="Arial"/>
          <w:sz w:val="20"/>
        </w:rPr>
        <w:br/>
      </w:r>
      <w:r>
        <w:rPr>
          <w:rFonts w:ascii="Arial" w:hAnsi="Arial" w:cs="Arial"/>
          <w:sz w:val="20"/>
        </w:rPr>
        <w:br/>
        <w:t xml:space="preserve">Некоторые нормативные рамочные положения, предполагающие значительные финансовые затраты, но не определяющие конкретного механизма изыскания необходимых ресурсов, могут поставить в затруднительное положение органы власти и фактически делают невозможным выполнение содержащихся в них требований. В данном законе к таковым относится ст. 21, которая, предусматривая возможность участия РФ в международных экономических санкциях, в то же время дает право российским лицам на возмещение в судебном порядке за счет госбюджета убытков, связанных с участием РФ в таких санкциях (кстати, неясно так же и то, как измерять эти убытки). Россия с ее уникальным геополитическим положением находится в сфере интересов всех крупных государств мира. Все возрастает стремление США установить свое политическое и экономическое господство, в частности, в регионах, где у России имеются традиционные внешнеэкономические интересы и где расположены страны, являющиеся ее должниками. Поэтому, чтобы не нанести непоправимый ущерб российским экономическим интересам, необходимо с особой осторожностью относиться к любым попыткам западных стран втягивать Россию в поддержку экономических санкций в отношении государств, политика которых не устраивает США (Иран, Ирак, Ливия, Югославия и другие). </w:t>
      </w:r>
      <w:r>
        <w:rPr>
          <w:rFonts w:ascii="Arial" w:hAnsi="Arial" w:cs="Arial"/>
          <w:sz w:val="20"/>
        </w:rPr>
        <w:br/>
      </w:r>
      <w:r>
        <w:rPr>
          <w:rFonts w:ascii="Arial" w:hAnsi="Arial" w:cs="Arial"/>
          <w:sz w:val="20"/>
        </w:rPr>
        <w:br/>
        <w:t xml:space="preserve">Довольно очевидно, что российские власти пытаются моделировать внешнеторговый режим по западным образцам, учитывая задачу интегрирования в мировую торговую систему, но процесс нормотворчества пока что очень далек от мировых стандартов. Для нормального функционирования этой системы, которое если не исключало бы, то во всяком случае сводило бы к минимуму возможность административного произвола и недобросовестного толкования нормативных актов, а также решительно ограничило бы возможность ведомственного нормотворчества, необходимо усиление качества и детализации проработки внешнеэкономических законов, недопущение рамочной конспективности, из-за которых часть законотворческих функций фактически неправомерно делегируется административным структурам. </w:t>
      </w:r>
      <w:r>
        <w:rPr>
          <w:rFonts w:ascii="Arial" w:hAnsi="Arial" w:cs="Arial"/>
          <w:sz w:val="20"/>
        </w:rPr>
        <w:br/>
      </w:r>
      <w:r>
        <w:rPr>
          <w:rFonts w:ascii="Arial" w:hAnsi="Arial" w:cs="Arial"/>
          <w:sz w:val="20"/>
        </w:rPr>
        <w:br/>
        <w:t xml:space="preserve">Показательно, что пока что самый “обширный” внешнеторговый закон - закон о государственном регулировании ВТД, закон, состоящий из десятка глав и 37 статей, закон, содержащий изложение основ системы государственного регулирования, имеет объем всего в 39 страниц отнюдь не убористого текста. Для сравнения: тексты американских внешнеторговых законов даже далеко не столь важного характера как правило составляют несколько сот страниц, обычно не требуя принятия никаких подзаконных актов даже в том, что касается процедурных вопросов их применения. </w:t>
      </w:r>
      <w:r>
        <w:rPr>
          <w:rFonts w:ascii="Arial" w:hAnsi="Arial" w:cs="Arial"/>
          <w:sz w:val="20"/>
        </w:rPr>
        <w:br/>
      </w:r>
      <w:r>
        <w:rPr>
          <w:rFonts w:ascii="Arial" w:hAnsi="Arial" w:cs="Arial"/>
          <w:sz w:val="20"/>
        </w:rPr>
        <w:br/>
        <w:t xml:space="preserve">Таким образом, либерализация ВЭД в России была частичной и поэтапной. Н а п е р в о м э т а п е (конец 1991 г. - первое полугодие 1992 г.) меры по либерализации включали: </w:t>
      </w:r>
    </w:p>
    <w:p w:rsidR="00FD64D5" w:rsidRDefault="00FD64D5">
      <w:pPr>
        <w:numPr>
          <w:ilvl w:val="0"/>
          <w:numId w:val="14"/>
        </w:numPr>
        <w:spacing w:before="100" w:beforeAutospacing="1" w:after="100" w:afterAutospacing="1"/>
        <w:jc w:val="both"/>
        <w:rPr>
          <w:rFonts w:ascii="Arial" w:hAnsi="Arial" w:cs="Arial"/>
          <w:sz w:val="20"/>
        </w:rPr>
      </w:pPr>
      <w:r>
        <w:rPr>
          <w:rFonts w:ascii="Arial" w:hAnsi="Arial" w:cs="Arial"/>
          <w:sz w:val="20"/>
        </w:rPr>
        <w:t xml:space="preserve">снятие ограничений на экспорт готовой продукции (при сохранении жестких количественных и тарифных ограничений на вывоз топливно-сырьевых товаров); </w:t>
      </w:r>
    </w:p>
    <w:p w:rsidR="00FD64D5" w:rsidRDefault="00FD64D5">
      <w:pPr>
        <w:numPr>
          <w:ilvl w:val="0"/>
          <w:numId w:val="14"/>
        </w:numPr>
        <w:spacing w:before="100" w:beforeAutospacing="1" w:after="100" w:afterAutospacing="1"/>
        <w:jc w:val="both"/>
        <w:rPr>
          <w:rFonts w:ascii="Arial" w:hAnsi="Arial" w:cs="Arial"/>
          <w:sz w:val="20"/>
        </w:rPr>
      </w:pPr>
      <w:r>
        <w:rPr>
          <w:rFonts w:ascii="Arial" w:hAnsi="Arial" w:cs="Arial"/>
          <w:sz w:val="20"/>
        </w:rPr>
        <w:t xml:space="preserve">частичную либерализацию валютного курса (при установлении особого курса для расчетов с бюджетом и сохранении дотаций по критическому импорту); </w:t>
      </w:r>
    </w:p>
    <w:p w:rsidR="00FD64D5" w:rsidRDefault="00FD64D5">
      <w:pPr>
        <w:numPr>
          <w:ilvl w:val="0"/>
          <w:numId w:val="14"/>
        </w:numPr>
        <w:spacing w:before="100" w:beforeAutospacing="1" w:after="100" w:afterAutospacing="1"/>
        <w:jc w:val="both"/>
        <w:rPr>
          <w:rFonts w:ascii="Arial" w:hAnsi="Arial" w:cs="Arial"/>
          <w:sz w:val="20"/>
        </w:rPr>
      </w:pPr>
      <w:r>
        <w:rPr>
          <w:rFonts w:ascii="Arial" w:hAnsi="Arial" w:cs="Arial"/>
          <w:sz w:val="20"/>
        </w:rPr>
        <w:t xml:space="preserve">отмену любых ограничений на импорт. </w:t>
      </w:r>
    </w:p>
    <w:p w:rsidR="00FD64D5" w:rsidRDefault="00FD64D5">
      <w:pPr>
        <w:jc w:val="both"/>
        <w:rPr>
          <w:rFonts w:ascii="Arial" w:hAnsi="Arial" w:cs="Arial"/>
          <w:sz w:val="20"/>
        </w:rPr>
      </w:pPr>
      <w:r>
        <w:rPr>
          <w:rFonts w:ascii="Arial" w:hAnsi="Arial" w:cs="Arial"/>
          <w:sz w:val="20"/>
        </w:rPr>
        <w:br/>
      </w:r>
      <w:r>
        <w:rPr>
          <w:rFonts w:ascii="Arial" w:hAnsi="Arial" w:cs="Arial"/>
          <w:sz w:val="20"/>
        </w:rPr>
        <w:br/>
        <w:t xml:space="preserve">Либерализация импорта была необходима для создания конкурентной среды на сверхмонополизированном внутреннем рынке, а также для компенсации резкого спада производства в российской промышленности. Осуществленное административным путем установление верхних пределов экспорта топлива и сырья в условиях, когда внутренние цены на них были значительно ниже мировых, явилось вынужденной мерой, так как снятие ограничений тогда могло привести к катастрофическому опустошению внутреннего рынка. </w:t>
      </w:r>
      <w:r>
        <w:rPr>
          <w:rFonts w:ascii="Arial" w:hAnsi="Arial" w:cs="Arial"/>
          <w:sz w:val="20"/>
        </w:rPr>
        <w:br/>
      </w:r>
      <w:r>
        <w:rPr>
          <w:rFonts w:ascii="Arial" w:hAnsi="Arial" w:cs="Arial"/>
          <w:sz w:val="20"/>
        </w:rPr>
        <w:br/>
        <w:t xml:space="preserve">Н а в т о р о м э т а п е (второе полугодие 1992 г.) был полностью либерализован валютный курс, введен импортный тариф. Первая из этих мер была направлена на прекращение скрытого субсидирования импорта в ущерб отечественным производителям, вторая - на обеспечение защиты последних от усилившейся конкуренции иностранных товаров. Для ужесточения контроля за экспортом сырьевых товаров был введен институт спецэкспортеров стратегических товаров. </w:t>
      </w:r>
      <w:r>
        <w:rPr>
          <w:rFonts w:ascii="Arial" w:hAnsi="Arial" w:cs="Arial"/>
          <w:sz w:val="20"/>
        </w:rPr>
        <w:br/>
      </w:r>
      <w:r>
        <w:rPr>
          <w:rFonts w:ascii="Arial" w:hAnsi="Arial" w:cs="Arial"/>
          <w:sz w:val="20"/>
        </w:rPr>
        <w:br/>
        <w:t xml:space="preserve">В целях создания валютного рынка в России с 1 июня 1992 г. была установлена обязательная продажа экспортерами 50% валютной выручки, причем доля валюты, реализуемой по рыночному курсу (а не по фиксированному курсу Центрального банка), была впоследствии повышена с 20 до 50% всей выручки. </w:t>
      </w:r>
      <w:r>
        <w:rPr>
          <w:rFonts w:ascii="Arial" w:hAnsi="Arial" w:cs="Arial"/>
          <w:sz w:val="20"/>
        </w:rPr>
        <w:br/>
      </w:r>
      <w:r>
        <w:rPr>
          <w:rFonts w:ascii="Arial" w:hAnsi="Arial" w:cs="Arial"/>
          <w:sz w:val="20"/>
        </w:rPr>
        <w:br/>
        <w:t xml:space="preserve">Н а т р е т ь е м э т а п е (1993 - 1998 гг.) завершался переход на тарифные методы регулирования, постепенно снижалась роль количественных ограничений. Объем осуществляемых на централизованной основе экспортно-импортных операций снизился в 1993 г. до 30% внешнеторгового оборота. Главная роль во ВЭД перешла к предприятиям всех форм собственности. </w:t>
      </w:r>
      <w:r>
        <w:rPr>
          <w:rFonts w:ascii="Arial" w:hAnsi="Arial" w:cs="Arial"/>
          <w:sz w:val="20"/>
        </w:rPr>
        <w:br/>
      </w:r>
      <w:r>
        <w:rPr>
          <w:rFonts w:ascii="Arial" w:hAnsi="Arial" w:cs="Arial"/>
          <w:sz w:val="20"/>
        </w:rPr>
        <w:br/>
        <w:t xml:space="preserve">Таким образом, в основном завершено формирование внешнеэкономического механизма переходного периода, основанного на ограниченном использовании нетарифных методов регулирования экспорта, применяемых в отношении стратегически важных сырьевых товаров, продукции военного и двойного назначения, обязательной продаже экспортерами 50% валютной выручки, использовании таможенного тарифа для защиты внутреннего рынка. Необходимость сохранения нетарифных методов в начале третьего этапа была вызвана нестабильным курсом рубля, существенными различиями между внутренними и мировыми ценами, дефицитом многих сырьевых ресурсов на внутреннем рынке и незавершенностью экономического механизма регулирования внешней торговли. </w:t>
      </w:r>
      <w:r>
        <w:rPr>
          <w:rFonts w:ascii="Arial" w:hAnsi="Arial" w:cs="Arial"/>
          <w:sz w:val="20"/>
        </w:rPr>
        <w:br/>
      </w:r>
      <w:r>
        <w:rPr>
          <w:rFonts w:ascii="Arial" w:hAnsi="Arial" w:cs="Arial"/>
          <w:sz w:val="20"/>
        </w:rPr>
        <w:br/>
        <w:t xml:space="preserve">Постепенно сходят на нет централизованный экспорт и импорт. Ввоз товаров на централизованной основе прекращается с 1994 г. В случае осуществления критического импорта вводится система тендеров, в которых могут участвовать на равных условиях все хозяйствующие субъекты России. С 1 июля 1994 г. отменено квотирование российского экспорта. </w:t>
      </w:r>
      <w:r>
        <w:rPr>
          <w:rFonts w:ascii="Arial" w:hAnsi="Arial" w:cs="Arial"/>
          <w:sz w:val="20"/>
        </w:rPr>
        <w:br/>
      </w:r>
      <w:r>
        <w:rPr>
          <w:rFonts w:ascii="Arial" w:hAnsi="Arial" w:cs="Arial"/>
          <w:sz w:val="20"/>
        </w:rPr>
        <w:br/>
        <w:t>Вместе с тем все еще не отработан современный механизм государственной поддержки экспорта - экспортных кредитов, гарантий, страхования рисков, поощрения российских инвестиций за рубежом. Негативное влияние на реформирование ВЭД России оказало произошедшее в ходе их демонополизации ослабление государственного контроля за экспортом, особенно в начальный (1988 - 1991 гг.) период децентрализации ВЭД. Это привело к бесконтрольному вывозу товаров, в основном сырьевых, неоправданной конкуренции между российскими экспортерами и дестабилизации мировых цен на ряд товаров, утечке валютных средств за рубеж.</w:t>
      </w:r>
    </w:p>
    <w:p w:rsidR="00FD64D5" w:rsidRDefault="00FD64D5">
      <w:pPr>
        <w:jc w:val="both"/>
        <w:rPr>
          <w:rFonts w:ascii="Arial" w:hAnsi="Arial" w:cs="Arial"/>
          <w:sz w:val="20"/>
        </w:rPr>
      </w:pPr>
    </w:p>
    <w:p w:rsidR="00FD64D5" w:rsidRDefault="00FD64D5">
      <w:pPr>
        <w:jc w:val="both"/>
        <w:rPr>
          <w:rFonts w:ascii="Arial" w:eastAsia="Arial Unicode MS" w:hAnsi="Arial" w:cs="Arial"/>
          <w:sz w:val="20"/>
          <w:szCs w:val="27"/>
        </w:rPr>
      </w:pPr>
      <w:r>
        <w:rPr>
          <w:rFonts w:ascii="Arial" w:hAnsi="Arial" w:cs="Arial"/>
          <w:sz w:val="20"/>
          <w:szCs w:val="27"/>
        </w:rPr>
        <w:t>3.1. Методы нетарифного регулирования внешнеэкономической деятельности</w:t>
      </w:r>
    </w:p>
    <w:p w:rsidR="00FD64D5" w:rsidRDefault="00FD64D5">
      <w:pPr>
        <w:pStyle w:val="a3"/>
        <w:jc w:val="both"/>
        <w:rPr>
          <w:rFonts w:ascii="Arial" w:hAnsi="Arial" w:cs="Arial"/>
          <w:sz w:val="20"/>
        </w:rPr>
      </w:pPr>
      <w:r>
        <w:rPr>
          <w:rFonts w:ascii="Arial" w:hAnsi="Arial" w:cs="Arial"/>
          <w:sz w:val="20"/>
        </w:rPr>
        <w:t xml:space="preserve">Государственное регулирование ВЭД осуществляется различными средствами, в том числе посредством нетарифного регулирования. Для регулирования экспорта и импорта отдельных товаров применяются такие меры, как количественные ограничения (квоты), разрешительный порядок ввоза и вывоза (лицензирование), ограничение числа предприятий, имеющих право заключать сделки на внешнем рынке (регистрация спецэкспортеров). Предусмотрена также возможность введения государственной монополии на торговлю отдельными видами продукции. В этом случае устанавливается особый порядок выдачи лицензий на экспортно-импортные операции исключительно государственным предприятиям. </w:t>
      </w:r>
      <w:r>
        <w:rPr>
          <w:rFonts w:ascii="Arial" w:hAnsi="Arial" w:cs="Arial"/>
          <w:sz w:val="20"/>
        </w:rPr>
        <w:br/>
      </w:r>
      <w:r>
        <w:rPr>
          <w:rFonts w:ascii="Arial" w:hAnsi="Arial" w:cs="Arial"/>
          <w:sz w:val="20"/>
        </w:rPr>
        <w:br/>
        <w:t xml:space="preserve">Остановимся сначала на регулировании ВЭД в целях поддержания рыночного равновесия. Раскрывая механизм действия названных инструментов нетарифного регулирования, нужно определить: что понимается под понятием квотирование и лицензирование? Внешнеторговая квота - это количественное ограничение объема продукции определенного вида, которая может быть ввезена в страну или вывезена из нее. Лицензирование предполагает практику, предписывающую получать в качестве предварительного условия для импорта и экспорта разрешение, которое не предоставляется свободно или автоматически. </w:t>
      </w:r>
      <w:r>
        <w:rPr>
          <w:rFonts w:ascii="Arial" w:hAnsi="Arial" w:cs="Arial"/>
          <w:sz w:val="20"/>
        </w:rPr>
        <w:br/>
      </w:r>
      <w:r>
        <w:rPr>
          <w:rFonts w:ascii="Arial" w:hAnsi="Arial" w:cs="Arial"/>
          <w:sz w:val="20"/>
        </w:rPr>
        <w:br/>
        <w:t xml:space="preserve">Квотирование и лицензирование внешней торговли может преследовать две цели: защиту национальных интересов, не связанных или косвенно связанных с экономикой (безопасности, окружающей среды, культурного достояния и т. д.) и защиту национального рынка от дезорганизующего импорта или экспорта. </w:t>
      </w:r>
      <w:r>
        <w:rPr>
          <w:rFonts w:ascii="Arial" w:hAnsi="Arial" w:cs="Arial"/>
          <w:sz w:val="20"/>
        </w:rPr>
        <w:br/>
      </w:r>
      <w:r>
        <w:rPr>
          <w:rFonts w:ascii="Arial" w:hAnsi="Arial" w:cs="Arial"/>
          <w:sz w:val="20"/>
        </w:rPr>
        <w:br/>
        <w:t xml:space="preserve">Квотирование и лицензирование являются методами количественных ограничений экспорта и импорта, которые могут вводиться в исключительных случаях Правительством Российской Федерации в целях: </w:t>
      </w:r>
    </w:p>
    <w:p w:rsidR="00FD64D5" w:rsidRDefault="00FD64D5">
      <w:pPr>
        <w:numPr>
          <w:ilvl w:val="0"/>
          <w:numId w:val="15"/>
        </w:numPr>
        <w:spacing w:before="100" w:beforeAutospacing="1" w:after="100" w:afterAutospacing="1"/>
        <w:jc w:val="both"/>
        <w:rPr>
          <w:rFonts w:ascii="Arial" w:hAnsi="Arial" w:cs="Arial"/>
          <w:sz w:val="20"/>
        </w:rPr>
      </w:pPr>
      <w:r>
        <w:rPr>
          <w:rFonts w:ascii="Arial" w:hAnsi="Arial" w:cs="Arial"/>
          <w:sz w:val="20"/>
        </w:rPr>
        <w:t xml:space="preserve">обеспечения Федерации с учетом состояния на внутреннем товарном рынке; </w:t>
      </w:r>
    </w:p>
    <w:p w:rsidR="00FD64D5" w:rsidRDefault="00FD64D5">
      <w:pPr>
        <w:numPr>
          <w:ilvl w:val="0"/>
          <w:numId w:val="15"/>
        </w:numPr>
        <w:spacing w:before="100" w:beforeAutospacing="1" w:after="100" w:afterAutospacing="1"/>
        <w:jc w:val="both"/>
        <w:rPr>
          <w:rFonts w:ascii="Arial" w:hAnsi="Arial" w:cs="Arial"/>
          <w:sz w:val="20"/>
        </w:rPr>
      </w:pPr>
      <w:r>
        <w:rPr>
          <w:rFonts w:ascii="Arial" w:hAnsi="Arial" w:cs="Arial"/>
          <w:sz w:val="20"/>
        </w:rPr>
        <w:t xml:space="preserve">защиты внутреннего рынка Российской Федерации в связи с нанесением ущерба или наличием угрозы причинения ущерба производителям товара или непосредственно конкурирующих товаров на территории Российской Федерации. При этом Постановления Правительства Российской Федерации о введении количественных ограничений экспорта и импорта принимаются и официально публикуются не позднее чем за 3 месяца до введения этих ограничений в действие.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Квотирование экспорта используется в тех случаях, когда цены данного товара на внутреннем рынке ниже, чем на мировом. В результате при неограниченных масштабах экспорта может возникнуть его нехватка на внутреннем рынке. Подобная ситуация была весьма типична для России, поэтому квотирование экспорта до недавнего времени широко применялось в нашей стране. Число квотируемых товаров, однако, сокращалось по мере приближения внутренних цен к мировым. </w:t>
      </w:r>
      <w:r>
        <w:rPr>
          <w:rFonts w:ascii="Arial" w:hAnsi="Arial" w:cs="Arial"/>
          <w:sz w:val="20"/>
        </w:rPr>
        <w:br/>
      </w:r>
      <w:r>
        <w:rPr>
          <w:rFonts w:ascii="Arial" w:hAnsi="Arial" w:cs="Arial"/>
          <w:sz w:val="20"/>
        </w:rPr>
        <w:br/>
        <w:t xml:space="preserve">Что касается лицензирования и квотирования импорта, то импортная квота, ограничивая ввоз в страну иностранных товаров, приводит к расширению спроса на продукцию национального производства. Использование квоты позволяет точно ограничить объем импорта, в отличие от импортного тарифа. В то время как повышение таможенных пошлин может увеличить общую сумму импортных платежей, введение квоты гарантирует их сокращение. Поэтому квотирование позволяет бороться с дефицитом платежного баланса более эффективно, чем тарифный протекционизм. </w:t>
      </w:r>
      <w:r>
        <w:rPr>
          <w:rFonts w:ascii="Arial" w:hAnsi="Arial" w:cs="Arial"/>
          <w:sz w:val="20"/>
        </w:rPr>
        <w:br/>
      </w:r>
      <w:r>
        <w:rPr>
          <w:rFonts w:ascii="Arial" w:hAnsi="Arial" w:cs="Arial"/>
          <w:sz w:val="20"/>
        </w:rPr>
        <w:br/>
        <w:t xml:space="preserve">Однако импортная, квота может быть полезна лишь при наличии свободной конкуренции на внутреннем рынке квотируемого товара. В противном случае предприятие, монополизирующее внутренний рынок, будет поддерживать высокие цены в условиях искусственно созданного дефицита на данную продукцию. Это одна из причин, по которым квотирование импорта сегодня в России применяется мало. </w:t>
      </w:r>
      <w:r>
        <w:rPr>
          <w:rFonts w:ascii="Arial" w:hAnsi="Arial" w:cs="Arial"/>
          <w:sz w:val="20"/>
        </w:rPr>
        <w:br/>
      </w:r>
      <w:r>
        <w:rPr>
          <w:rFonts w:ascii="Arial" w:hAnsi="Arial" w:cs="Arial"/>
          <w:sz w:val="20"/>
        </w:rPr>
        <w:br/>
        <w:t xml:space="preserve">Внести конкуренцию в распространение квот позволяют конкурсы и аукционы. Постановление Правительства Российской Федерации "О порядке проведения конкурсов и аукционов по продаже квот при введении количественных ограничений и лицензирования экспорта и импорта товаров (работ, услуг) в Российской Федерации" от 31.10.96 года № 1299 определило механизм применения количественных ограничений, а также утвердило "Положение о порядке проведения конкурсов и аукционов по продаже экспортных и импортных квот при введении Правительством Российской Федерации количественных ограничений" и "Положение о Межведомственной комиссии по организации проведения конкурсов и аукционов по продаже экспортных и импортных квот". </w:t>
      </w:r>
      <w:r>
        <w:rPr>
          <w:rFonts w:ascii="Arial" w:hAnsi="Arial" w:cs="Arial"/>
          <w:sz w:val="20"/>
        </w:rPr>
        <w:br/>
      </w:r>
      <w:r>
        <w:rPr>
          <w:rFonts w:ascii="Arial" w:hAnsi="Arial" w:cs="Arial"/>
          <w:sz w:val="20"/>
        </w:rPr>
        <w:br/>
        <w:t xml:space="preserve">Главной задачей этого органа является оптимальное размещение экспортных квот путем проведения среди российских участников внешнеэкономической деятельности конкурсов или аукционов с соблюдением принципов гласности, объективности оценки, единства требований и создания конкурентных условий. </w:t>
      </w:r>
      <w:r>
        <w:rPr>
          <w:rFonts w:ascii="Arial" w:hAnsi="Arial" w:cs="Arial"/>
          <w:sz w:val="20"/>
        </w:rPr>
        <w:br/>
      </w:r>
      <w:r>
        <w:rPr>
          <w:rFonts w:ascii="Arial" w:hAnsi="Arial" w:cs="Arial"/>
          <w:sz w:val="20"/>
        </w:rPr>
        <w:br/>
        <w:t xml:space="preserve">Выполнение данной задачи связано с осуществлением следующих действий: опубликование объявления о проведении конкурса или аукциона, разработка и утверждение правил проведения конкурсов и контроль за их выполнением, анализ и обобщение заявки на участие в конкурсах и аукционах, формирование банка данных об участниках конкурсов и аукционов, установление объема квот для аукционной продажи на биржах и стартовой цены лотов, ведение реестра участников конкурсов и аукционов, осуществление учета реализованных товаров в счет квот, выставляемых на конкурсы и аукционы, обобщение и анализ результатов проведенных конкурсов и аукционов, осуществление разработки конкурсной, проведение оценки конкурсных предложений и определение победителя конкурса, рассмотрение конфликтных ситуаций, возникших в результате проведения конкурсов и аукционов. </w:t>
      </w:r>
      <w:r>
        <w:rPr>
          <w:rFonts w:ascii="Arial" w:hAnsi="Arial" w:cs="Arial"/>
          <w:sz w:val="20"/>
        </w:rPr>
        <w:br/>
      </w:r>
      <w:r>
        <w:rPr>
          <w:rFonts w:ascii="Arial" w:hAnsi="Arial" w:cs="Arial"/>
          <w:sz w:val="20"/>
        </w:rPr>
        <w:br/>
        <w:t xml:space="preserve">Состав Межведомственной комиссии утверждается Правительством Российской Федерации. Решения, принимаемые Межведомственной комиссией в пределах ее компетенции, являются обязательными для всех органов исполнительной власти, представленных в данной Комиссии, а также для российских участников внешнеэкономической деятельности. При этом руководителем Межведомственной комиссии является один из руководителей МВЭС РФ. </w:t>
      </w:r>
      <w:r>
        <w:rPr>
          <w:rFonts w:ascii="Arial" w:hAnsi="Arial" w:cs="Arial"/>
          <w:sz w:val="20"/>
        </w:rPr>
        <w:br/>
      </w:r>
      <w:r>
        <w:rPr>
          <w:rFonts w:ascii="Arial" w:hAnsi="Arial" w:cs="Arial"/>
          <w:sz w:val="20"/>
        </w:rPr>
        <w:br/>
        <w:t xml:space="preserve">Организация и порядок проведения конкурса предполагает наличие конкурсной документации. Коммерческая часть конкурсной документации включает сведения о цене товара и порядке ее определения, условий поставки, условий платежа и графика платежей, источников финансирования, расчетов эффективности поставок товара, размера отчислений в федеральный бюджет. </w:t>
      </w:r>
      <w:r>
        <w:rPr>
          <w:rFonts w:ascii="Arial" w:hAnsi="Arial" w:cs="Arial"/>
          <w:sz w:val="20"/>
        </w:rPr>
        <w:br/>
      </w:r>
      <w:r>
        <w:rPr>
          <w:rFonts w:ascii="Arial" w:hAnsi="Arial" w:cs="Arial"/>
          <w:sz w:val="20"/>
        </w:rPr>
        <w:br/>
        <w:t xml:space="preserve">Конкурсное предложение сопровождается банковской гарантией или платежным документом, подтверждающим внесение участником конкурса на специальный счет МВЭС РФ безусловного и безотзывного задатка, свидетельствующего о серьезности намерения претендента участвовать в конкурсе и обеспечивающего выполнение условий конкурса. </w:t>
      </w:r>
      <w:r>
        <w:rPr>
          <w:rFonts w:ascii="Arial" w:hAnsi="Arial" w:cs="Arial"/>
          <w:sz w:val="20"/>
        </w:rPr>
        <w:br/>
      </w:r>
      <w:r>
        <w:rPr>
          <w:rFonts w:ascii="Arial" w:hAnsi="Arial" w:cs="Arial"/>
          <w:sz w:val="20"/>
        </w:rPr>
        <w:br/>
        <w:t xml:space="preserve">Недопущение к участию в конкурсе распространяется на претендентов, находящихся в состоянии банкротства, реорганизации или ликвидации, сообщивших о себе недостоверные сведения, а также не представивших банковскую гарантию или платежный документ о внесении безусловного и безотзывного задатка на специальный счет в МВЭС РФ. </w:t>
      </w:r>
      <w:r>
        <w:rPr>
          <w:rFonts w:ascii="Arial" w:hAnsi="Arial" w:cs="Arial"/>
          <w:sz w:val="20"/>
        </w:rPr>
        <w:br/>
      </w:r>
      <w:r>
        <w:rPr>
          <w:rFonts w:ascii="Arial" w:hAnsi="Arial" w:cs="Arial"/>
          <w:sz w:val="20"/>
        </w:rPr>
        <w:br/>
        <w:t xml:space="preserve">Конкурс может быть как открытым, так и закрытым. Открытый конкурс предполагает конкурс, в котором могут принимать участие любые участники внешнеэкономической деятельности. При этом по решению Межведомственной Комиссии открытый конкурс может проводиться с предварительной квалификацией. Закрытый конкурс в свою очередь представляет собой конкурс, в котором могут принимать участие только российские участники внешнеэкономической деятельности, получившие официальное приглашение Межведомственной Комиссии. По итогам рассмотрения представленных предложений предпочтение отдается участникам внешнеэкономической деятельности, способным реализовывать квоту на наиболее выгодных для Российской Федерации экономических условий. </w:t>
      </w:r>
      <w:r>
        <w:rPr>
          <w:rFonts w:ascii="Arial" w:hAnsi="Arial" w:cs="Arial"/>
          <w:sz w:val="20"/>
        </w:rPr>
        <w:br/>
      </w:r>
      <w:r>
        <w:rPr>
          <w:rFonts w:ascii="Arial" w:hAnsi="Arial" w:cs="Arial"/>
          <w:sz w:val="20"/>
        </w:rPr>
        <w:br/>
        <w:t xml:space="preserve">Основными критериями отбора при рассмотрении конкурсных предложений являются прежде всего сроки внесения и размер поступлений и платежей в федеральный бюджет, отсутствие просроченной задолженности перед федеральным бюджетом, гарантии выполнения условий конкурса, опыт работы участника конкурса с данным товаром во внешнеторговой сфере. </w:t>
      </w:r>
      <w:r>
        <w:rPr>
          <w:rFonts w:ascii="Arial" w:hAnsi="Arial" w:cs="Arial"/>
          <w:sz w:val="20"/>
        </w:rPr>
        <w:br/>
      </w:r>
      <w:r>
        <w:rPr>
          <w:rFonts w:ascii="Arial" w:hAnsi="Arial" w:cs="Arial"/>
          <w:sz w:val="20"/>
        </w:rPr>
        <w:br/>
        <w:t xml:space="preserve">Право на вывоз квотируемого товара должно быть подтверждено экспортной лицензией. Выписка из протокола об объявлении победителя конкурса является документом, подтверждающим право участника внешнеэкономической деятельности-победителя конкурса, на оформление лицензии. Порядок оформления лицензии определен "Положением о порядке лицензирования экспорта и импорта товаров (работ, услуг) в Российской Федерации" утвержденным постановлением Правительства Российской Федерации от 31.10.96 года. </w:t>
      </w:r>
      <w:r>
        <w:rPr>
          <w:rFonts w:ascii="Arial" w:hAnsi="Arial" w:cs="Arial"/>
          <w:sz w:val="20"/>
        </w:rPr>
        <w:br/>
      </w:r>
      <w:r>
        <w:rPr>
          <w:rFonts w:ascii="Arial" w:hAnsi="Arial" w:cs="Arial"/>
          <w:sz w:val="20"/>
        </w:rPr>
        <w:br/>
        <w:t xml:space="preserve">Аукционная продажа экспортных и импортных квот проводится российскими товарными биржами на основании соглашения о взаимодействии между этими биржами и МВЭС РФ. Межведомственная комиссия информирует биржи об объемах общих квот, предназначенных для продажи. </w:t>
      </w:r>
      <w:r>
        <w:rPr>
          <w:rFonts w:ascii="Arial" w:hAnsi="Arial" w:cs="Arial"/>
          <w:sz w:val="20"/>
        </w:rPr>
        <w:br/>
      </w:r>
      <w:r>
        <w:rPr>
          <w:rFonts w:ascii="Arial" w:hAnsi="Arial" w:cs="Arial"/>
          <w:sz w:val="20"/>
        </w:rPr>
        <w:br/>
        <w:t xml:space="preserve">Биржам запрещено осуществлять координацию деятельности между участниками аукциона, которая имеет своим результатом ограничение конкуренции; все участники аукциона должны быть ознакомлены с правилами аукциона в приемлемый срок до начала его проведения; исключение из состава участников лиц, имеющих право участвовать в аукционе, может быть осуществлено только в случаях нарушения данными участниками установленных правил проведения аукциона; ни одному из участников аукциона не могут быть созданы преимущественные условия, в том числе по доступу к конфиденциальной информации и по уменьшению платы за участие в аукционе; установлен запрет на приобретение более 35% объема квоты, выставляемой на продажу, со стороны одного лица или группы. </w:t>
      </w:r>
      <w:r>
        <w:rPr>
          <w:rFonts w:ascii="Arial" w:hAnsi="Arial" w:cs="Arial"/>
          <w:sz w:val="20"/>
        </w:rPr>
        <w:br/>
      </w:r>
      <w:r>
        <w:rPr>
          <w:rFonts w:ascii="Arial" w:hAnsi="Arial" w:cs="Arial"/>
          <w:sz w:val="20"/>
        </w:rPr>
        <w:br/>
        <w:t xml:space="preserve">Основанием для проведения аукционов являются заявки и оценки эффективности ранее проведенных биржами аукционов. Данные факторы используются Межведомственной комиссией для определения объемов общих квот для аукционной продажи, установления стартовой цены продажи на аукционе квот и доведения данной информации до уполномоченных МВЭС РФ в регионах РФ. </w:t>
      </w:r>
      <w:r>
        <w:rPr>
          <w:rFonts w:ascii="Arial" w:hAnsi="Arial" w:cs="Arial"/>
          <w:sz w:val="20"/>
        </w:rPr>
        <w:br/>
      </w:r>
      <w:r>
        <w:rPr>
          <w:rFonts w:ascii="Arial" w:hAnsi="Arial" w:cs="Arial"/>
          <w:sz w:val="20"/>
        </w:rPr>
        <w:br/>
        <w:t xml:space="preserve">Признанный победителем аукциона участник внешнеэкономической деятельности подписывает протокол о его результатах, который имеет силу договора. Победитель аукциона получает сертификат на основании банковского подтверждения об оплате аукционной стоимости лота. Срок действия такого сертификата не может превышать срока действия квоты, а также продлеваться. Владелец сертификата имеет право передавать его для повторной аукционной продажи, сдав его Межведомственной комиссии. </w:t>
      </w:r>
      <w:r>
        <w:rPr>
          <w:rFonts w:ascii="Arial" w:hAnsi="Arial" w:cs="Arial"/>
          <w:sz w:val="20"/>
        </w:rPr>
        <w:br/>
      </w:r>
      <w:r>
        <w:rPr>
          <w:rFonts w:ascii="Arial" w:hAnsi="Arial" w:cs="Arial"/>
          <w:sz w:val="20"/>
        </w:rPr>
        <w:br/>
        <w:t xml:space="preserve">Сертификат, выдаваемый МВЭС РФ через своего уполномоченного в регионе РФ, а также заявление экспортера и импортера как участников внешнеэкономической деятельности на один вид товара в соответствии с ТН ВЭД, является основанием для получения лицензии со стороны МВЭС РФ. При этом установлен запрет на передачу другим лицам данных лицензий. </w:t>
      </w:r>
      <w:r>
        <w:rPr>
          <w:rFonts w:ascii="Arial" w:hAnsi="Arial" w:cs="Arial"/>
          <w:sz w:val="20"/>
        </w:rPr>
        <w:br/>
      </w:r>
      <w:r>
        <w:rPr>
          <w:rFonts w:ascii="Arial" w:hAnsi="Arial" w:cs="Arial"/>
          <w:sz w:val="20"/>
        </w:rPr>
        <w:br/>
        <w:t xml:space="preserve">Средства, полученные от аукционной продажи квот, перечисляются в федеральный бюджет. В случае, если победитель аукциона не сумел в установленные сроки реализовать экспортные или импортные квоты, приобретенные на аукционе, средства, внесенные в федеральный бюджет государства не возвращаются. </w:t>
      </w:r>
      <w:r>
        <w:rPr>
          <w:rFonts w:ascii="Arial" w:hAnsi="Arial" w:cs="Arial"/>
          <w:sz w:val="20"/>
        </w:rPr>
        <w:br/>
      </w:r>
      <w:r>
        <w:rPr>
          <w:rFonts w:ascii="Arial" w:hAnsi="Arial" w:cs="Arial"/>
          <w:sz w:val="20"/>
        </w:rPr>
        <w:br/>
        <w:t xml:space="preserve">Кроме квотируемых товаров лицензированию подлежат: экспорт и импорт товаров и технологий военного и двойного (мирного и военного) назначения; экспорт и импорт специфических товаров; ядерных материалов, драгоценных металлов и камней, наркотических и психотропных средств, ядов. В двух последних случаях речь идет о защите уже не экономических, а других национальных интересов. Поэтому сделка нуждается в одобрении соответствующих государственных органов. </w:t>
      </w:r>
      <w:r>
        <w:rPr>
          <w:rFonts w:ascii="Arial" w:hAnsi="Arial" w:cs="Arial"/>
          <w:sz w:val="20"/>
        </w:rPr>
        <w:br/>
      </w:r>
      <w:r>
        <w:rPr>
          <w:rFonts w:ascii="Arial" w:hAnsi="Arial" w:cs="Arial"/>
          <w:sz w:val="20"/>
        </w:rPr>
        <w:br/>
        <w:t xml:space="preserve">Основанием для получения лицензии является: </w:t>
      </w:r>
    </w:p>
    <w:p w:rsidR="00FD64D5" w:rsidRDefault="00FD64D5">
      <w:pPr>
        <w:numPr>
          <w:ilvl w:val="0"/>
          <w:numId w:val="16"/>
        </w:numPr>
        <w:spacing w:before="100" w:beforeAutospacing="1" w:after="100" w:afterAutospacing="1"/>
        <w:jc w:val="both"/>
        <w:rPr>
          <w:rFonts w:ascii="Arial" w:hAnsi="Arial" w:cs="Arial"/>
          <w:sz w:val="20"/>
        </w:rPr>
      </w:pPr>
      <w:r>
        <w:rPr>
          <w:rFonts w:ascii="Arial" w:hAnsi="Arial" w:cs="Arial"/>
          <w:sz w:val="20"/>
        </w:rPr>
        <w:t xml:space="preserve">для товаров двойного назначения - заключение Комиссии по экспортному контролю РФ; </w:t>
      </w:r>
    </w:p>
    <w:p w:rsidR="00FD64D5" w:rsidRDefault="00FD64D5">
      <w:pPr>
        <w:numPr>
          <w:ilvl w:val="0"/>
          <w:numId w:val="16"/>
        </w:numPr>
        <w:spacing w:before="100" w:beforeAutospacing="1" w:after="100" w:afterAutospacing="1"/>
        <w:jc w:val="both"/>
        <w:rPr>
          <w:rFonts w:ascii="Arial" w:hAnsi="Arial" w:cs="Arial"/>
          <w:sz w:val="20"/>
        </w:rPr>
      </w:pPr>
      <w:r>
        <w:rPr>
          <w:rFonts w:ascii="Arial" w:hAnsi="Arial" w:cs="Arial"/>
          <w:sz w:val="20"/>
        </w:rPr>
        <w:t xml:space="preserve">для специфических товаров - решение соответствующего министерства или ведомства.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Лицензии могут быть разовыми или генеральными. Разовая лицензия выдается для осуществления экспортно-импортных операций в отношении одного контракта сроком до 12 месяцев, начиная с даты выдачи лицензии. Генеральная лицензия оформляется на каждый вид товара с указанием его количества и стоимости без определения конкретного покупателя или продавца товара. Основанием для выдачи генеральной лицензии является соответствующее решение Правительства Российской Федерации, которое устанавливает срок действия лицензии. </w:t>
      </w:r>
      <w:r>
        <w:rPr>
          <w:rFonts w:ascii="Arial" w:hAnsi="Arial" w:cs="Arial"/>
          <w:sz w:val="20"/>
        </w:rPr>
        <w:br/>
      </w:r>
      <w:r>
        <w:rPr>
          <w:rFonts w:ascii="Arial" w:hAnsi="Arial" w:cs="Arial"/>
          <w:sz w:val="20"/>
        </w:rPr>
        <w:br/>
        <w:t xml:space="preserve">Отказ в выдаче лицензии может быть мотивирован со стороны МВЭС РФ на основании включения в контракт условий, наносящих ущерб экономическим интересам страны. Выданная лицензия передается владельцем лицензии в таможенный орган по месту регистрации владельца лицензии. Лицензия является основанием для проведения таможенного оформления лицензируемых товаров. </w:t>
      </w:r>
      <w:r>
        <w:rPr>
          <w:rFonts w:ascii="Arial" w:hAnsi="Arial" w:cs="Arial"/>
          <w:sz w:val="20"/>
        </w:rPr>
        <w:br/>
      </w:r>
      <w:r>
        <w:rPr>
          <w:rFonts w:ascii="Arial" w:hAnsi="Arial" w:cs="Arial"/>
          <w:sz w:val="20"/>
        </w:rPr>
        <w:br/>
        <w:t xml:space="preserve">Экспорт товаров и технологий военного и двойного (мирного и военного) назначения регулируется рядом решений Президента и Правительства РФ. Этими решениями утверждены следующие списки экспортного контроля: </w:t>
      </w:r>
    </w:p>
    <w:p w:rsidR="00FD64D5" w:rsidRDefault="00FD64D5">
      <w:pPr>
        <w:numPr>
          <w:ilvl w:val="0"/>
          <w:numId w:val="17"/>
        </w:numPr>
        <w:spacing w:before="100" w:beforeAutospacing="1" w:after="100" w:afterAutospacing="1"/>
        <w:jc w:val="both"/>
        <w:rPr>
          <w:rFonts w:ascii="Arial" w:hAnsi="Arial" w:cs="Arial"/>
          <w:sz w:val="20"/>
        </w:rPr>
      </w:pPr>
      <w:r>
        <w:rPr>
          <w:rFonts w:ascii="Arial" w:hAnsi="Arial" w:cs="Arial"/>
          <w:sz w:val="20"/>
        </w:rPr>
        <w:t xml:space="preserve">сырье, материалы, оборудование, технологии и результаты научно-исследовательских работ, применяемые при создании вооружений и военной техники (распоряжение Президента РФ от 11 февраля 1994 г. № 74-рп); </w:t>
      </w:r>
    </w:p>
    <w:p w:rsidR="00FD64D5" w:rsidRDefault="00FD64D5">
      <w:pPr>
        <w:numPr>
          <w:ilvl w:val="0"/>
          <w:numId w:val="17"/>
        </w:numPr>
        <w:spacing w:before="100" w:beforeAutospacing="1" w:after="100" w:afterAutospacing="1"/>
        <w:jc w:val="both"/>
        <w:rPr>
          <w:rFonts w:ascii="Arial" w:hAnsi="Arial" w:cs="Arial"/>
          <w:sz w:val="20"/>
        </w:rPr>
      </w:pPr>
      <w:r>
        <w:rPr>
          <w:rFonts w:ascii="Arial" w:hAnsi="Arial" w:cs="Arial"/>
          <w:sz w:val="20"/>
        </w:rPr>
        <w:t xml:space="preserve">химикаты и технологии, которые имеют мирное назначение, но могут быть использованы при создании химического оружия (постановление Правительства РФ от 18 сентября 1992 г. № 734); </w:t>
      </w:r>
    </w:p>
    <w:p w:rsidR="00FD64D5" w:rsidRDefault="00FD64D5">
      <w:pPr>
        <w:numPr>
          <w:ilvl w:val="0"/>
          <w:numId w:val="17"/>
        </w:numPr>
        <w:spacing w:before="100" w:beforeAutospacing="1" w:after="100" w:afterAutospacing="1"/>
        <w:jc w:val="both"/>
        <w:rPr>
          <w:rFonts w:ascii="Arial" w:hAnsi="Arial" w:cs="Arial"/>
          <w:sz w:val="20"/>
        </w:rPr>
      </w:pPr>
      <w:r>
        <w:rPr>
          <w:rFonts w:ascii="Arial" w:hAnsi="Arial" w:cs="Arial"/>
          <w:sz w:val="20"/>
        </w:rPr>
        <w:t xml:space="preserve">возбудители заболеваний, их генетически измененные формы, фрагменты генетического материала и оборудование, которые могут быть использованы при создании бактериологического оружия (распоряжение Президента РФ от 14 июня 1994 г. № 298-рп); </w:t>
      </w:r>
    </w:p>
    <w:p w:rsidR="00FD64D5" w:rsidRDefault="00FD64D5">
      <w:pPr>
        <w:numPr>
          <w:ilvl w:val="0"/>
          <w:numId w:val="17"/>
        </w:numPr>
        <w:spacing w:before="100" w:beforeAutospacing="1" w:after="100" w:afterAutospacing="1"/>
        <w:jc w:val="both"/>
        <w:rPr>
          <w:rFonts w:ascii="Arial" w:hAnsi="Arial" w:cs="Arial"/>
          <w:sz w:val="20"/>
        </w:rPr>
      </w:pPr>
      <w:r>
        <w:rPr>
          <w:rFonts w:ascii="Arial" w:hAnsi="Arial" w:cs="Arial"/>
          <w:sz w:val="20"/>
        </w:rPr>
        <w:t xml:space="preserve">оборудование и материалы двойного применения и соответствующие материалы, применяемые в ядерных целях (постановление Правительства РФ от 21 декабря 1992 г. № 1005); </w:t>
      </w:r>
    </w:p>
    <w:p w:rsidR="00FD64D5" w:rsidRDefault="00FD64D5">
      <w:pPr>
        <w:numPr>
          <w:ilvl w:val="0"/>
          <w:numId w:val="17"/>
        </w:numPr>
        <w:spacing w:before="100" w:beforeAutospacing="1" w:after="100" w:afterAutospacing="1"/>
        <w:jc w:val="both"/>
        <w:rPr>
          <w:rFonts w:ascii="Arial" w:hAnsi="Arial" w:cs="Arial"/>
          <w:sz w:val="20"/>
        </w:rPr>
      </w:pPr>
      <w:r>
        <w:rPr>
          <w:rFonts w:ascii="Arial" w:hAnsi="Arial" w:cs="Arial"/>
          <w:sz w:val="20"/>
        </w:rPr>
        <w:t xml:space="preserve">оборудование, материалы и технологии, используемые при создании ракетного оружия (постановление Правительства РФ от 27 января 1993 г. № 68). </w:t>
      </w:r>
    </w:p>
    <w:p w:rsidR="00FD64D5" w:rsidRDefault="00FD64D5">
      <w:pPr>
        <w:pStyle w:val="a3"/>
        <w:spacing w:before="0" w:beforeAutospacing="0" w:after="0" w:afterAutospacing="0"/>
        <w:jc w:val="both"/>
        <w:rPr>
          <w:rFonts w:ascii="Arial" w:hAnsi="Arial" w:cs="Arial"/>
          <w:b/>
          <w:bCs/>
          <w:sz w:val="20"/>
        </w:rPr>
      </w:pPr>
      <w:r>
        <w:rPr>
          <w:rFonts w:ascii="Arial" w:hAnsi="Arial" w:cs="Arial"/>
          <w:sz w:val="20"/>
        </w:rPr>
        <w:t xml:space="preserve">Механизм надзора за соблюдением правил экспорта данного вида товаров достаточно строг. В Положении о порядке контроля за экспортом отдельных видов сырья и материалов двойного применения (утверждено постановлением Правительства РФ от 10 марта 1994 г. № 197) предусматривается, во-первых, порядок подготовки и выдачи заключений о возможности экспорта товаров и услуг двойного применения, и, во-вторых, лицензирование и таможенное оформление их экспорта. Современное распределение функций государственных органов в вопросах экспортного контроля установлено постановлением Правительства РФ от 30 августа 1994 г. № 1005. </w:t>
      </w:r>
      <w:r>
        <w:rPr>
          <w:rFonts w:ascii="Arial" w:hAnsi="Arial" w:cs="Arial"/>
          <w:sz w:val="20"/>
        </w:rPr>
        <w:br/>
      </w:r>
      <w:r>
        <w:rPr>
          <w:rFonts w:ascii="Arial" w:hAnsi="Arial" w:cs="Arial"/>
          <w:sz w:val="20"/>
        </w:rPr>
        <w:br/>
        <w:t xml:space="preserve">Обязательства должны быть специально оформлены импортером в уполномоченном государственном органе страны-импортера по каждой конкретной сделке на поставку каждого объекта экспорта в виде международного (национального) импортного сертификата или его аналога, а в случае отсутствия процедуры оформления импортного сертификата - в виде документа, содержащего вышеперечисленные обязательства, с заверенным переводом на русский язык. </w:t>
      </w:r>
      <w:r>
        <w:rPr>
          <w:rFonts w:ascii="Arial" w:hAnsi="Arial" w:cs="Arial"/>
          <w:sz w:val="20"/>
        </w:rPr>
        <w:br/>
      </w:r>
      <w:r>
        <w:rPr>
          <w:rFonts w:ascii="Arial" w:hAnsi="Arial" w:cs="Arial"/>
          <w:sz w:val="20"/>
        </w:rPr>
        <w:br/>
        <w:t xml:space="preserve">В случае отсутствия в законодательстве страны-импортера норм, регламентирующих контроль за экспортом определенных товаров и услуг двойного назначения, или отсутствия импортируемого из Российской Федерации товара или услуги двойного применения в национальном контрольном списке страны-импортера необходимо предоставление официального документа (уведомления) об этом, выданного уполномоченным государственным органом страны-импортера. </w:t>
      </w:r>
      <w:r>
        <w:rPr>
          <w:rFonts w:ascii="Arial" w:hAnsi="Arial" w:cs="Arial"/>
          <w:sz w:val="20"/>
        </w:rPr>
        <w:br/>
      </w:r>
      <w:r>
        <w:rPr>
          <w:rFonts w:ascii="Arial" w:hAnsi="Arial" w:cs="Arial"/>
          <w:sz w:val="20"/>
        </w:rPr>
        <w:br/>
        <w:t xml:space="preserve">В тексте контракта в обязательном порядке записывается положение о праве экспортера на осуществление проверок использования экспортированного товара или услуги на соответствие заявленным целям. </w:t>
      </w:r>
      <w:r>
        <w:rPr>
          <w:rFonts w:ascii="Arial" w:hAnsi="Arial" w:cs="Arial"/>
          <w:sz w:val="20"/>
        </w:rPr>
        <w:br/>
      </w:r>
      <w:r>
        <w:rPr>
          <w:rFonts w:ascii="Arial" w:hAnsi="Arial" w:cs="Arial"/>
          <w:sz w:val="20"/>
        </w:rPr>
        <w:br/>
        <w:t xml:space="preserve">Организация контроля за выполнением обязательств иностранных импортеров по использованию товаров и услуг двойного назначения, импортированных из Российской Федерации, осуществляется в порядке, установленном постановлением Правительства РФ от 11 октября 1993 г. № 1030. Если при проведении проверок взятых импортером обязательств обнаруживаются факты их нарушения или несоблюдения, то контракт подлежит расторжению. </w:t>
      </w:r>
      <w:r>
        <w:rPr>
          <w:rFonts w:ascii="Arial" w:hAnsi="Arial" w:cs="Arial"/>
          <w:sz w:val="20"/>
        </w:rPr>
        <w:br/>
      </w:r>
      <w:r>
        <w:rPr>
          <w:rFonts w:ascii="Arial" w:hAnsi="Arial" w:cs="Arial"/>
          <w:sz w:val="20"/>
        </w:rPr>
        <w:br/>
        <w:t xml:space="preserve">В отношении специфических товаров постановлением Правительства Российской Федерации от 06.11.92 года № 854 "О лицензировании и квотировании экспорта и импорта товаров (услуг, работ) на территории Российской Федерации" был утвержден Перечень специфических товаров (работ, услуг), импорт которых осуществляется по лицензиям с изменениями, внесенными Постановлениями Правительства Российской Федерации от 24.01.94 № 35 и от 15.04.94 года № 331. Приказ ГТК РФ № 150 от 19.03.96 года "О лицензировании импорта отдельных товаров" конкретизировал эти постановления. </w:t>
      </w:r>
      <w:r>
        <w:rPr>
          <w:rFonts w:ascii="Arial" w:hAnsi="Arial" w:cs="Arial"/>
          <w:sz w:val="20"/>
        </w:rPr>
        <w:br/>
      </w:r>
      <w:r>
        <w:rPr>
          <w:rFonts w:ascii="Arial" w:hAnsi="Arial" w:cs="Arial"/>
          <w:sz w:val="20"/>
        </w:rPr>
        <w:br/>
        <w:t xml:space="preserve">Экспорт диких животных, включая живых ракообразных, дикорастущих растений, костей ископаемых животных, слоновой кости, рогов, копыт, кораллов и аналогичных материалов, а также импорт промышленных отходов нуждается в разрешении Министерства охраны окружающей среды и природных ресурсов. Это же Министерство совместно с Министерством здравоохранения дает санкцию на вывоз лекарственного сырья растительного и животного происхождения. </w:t>
      </w:r>
      <w:r>
        <w:rPr>
          <w:rFonts w:ascii="Arial" w:hAnsi="Arial" w:cs="Arial"/>
          <w:sz w:val="20"/>
        </w:rPr>
        <w:br/>
      </w:r>
      <w:r>
        <w:rPr>
          <w:rFonts w:ascii="Arial" w:hAnsi="Arial" w:cs="Arial"/>
          <w:sz w:val="20"/>
        </w:rPr>
        <w:br/>
        <w:t xml:space="preserve">Экспорт информации о недрах по районам и месторождениям топливно-энергетического и минерального сырья, а также коллекционных материалов по минералогии и палеонтологии, полудрагоценных камней и изделий из них требует одобрения Комитетом РФ по геологии и использованию недр (Роскомнедра РФ). Для получения лицензии на импорт химических средств защиты растений необходимо решение Министерства сельского хозяйства. </w:t>
      </w:r>
      <w:r>
        <w:rPr>
          <w:rFonts w:ascii="Arial" w:hAnsi="Arial" w:cs="Arial"/>
          <w:sz w:val="20"/>
        </w:rPr>
        <w:br/>
      </w:r>
      <w:r>
        <w:rPr>
          <w:rFonts w:ascii="Arial" w:hAnsi="Arial" w:cs="Arial"/>
          <w:sz w:val="20"/>
        </w:rPr>
        <w:br/>
        <w:t xml:space="preserve">Вывоз за пределы РФ материалов, оборудования (изделий), технологий, содержащих сведения, составляющие государственную тайну, осуществляется в соответствии с требованиями Закона РФ &lt;0 государственной тайне&gt;. </w:t>
      </w:r>
      <w:r>
        <w:rPr>
          <w:rFonts w:ascii="Arial" w:hAnsi="Arial" w:cs="Arial"/>
          <w:sz w:val="20"/>
        </w:rPr>
        <w:br/>
      </w:r>
      <w:r>
        <w:rPr>
          <w:rFonts w:ascii="Arial" w:hAnsi="Arial" w:cs="Arial"/>
          <w:sz w:val="20"/>
        </w:rPr>
        <w:br/>
        <w:t xml:space="preserve">Что же касается специфики государственного регулирования экспорта из Российской Федерации драгоценных металлов и драгоценных камней, то оно осуществляется Роскомдрагметом и Минфином РФ, причем зачастую оформляется специальными правительственными распоряжениями, а выдача соответствующих лицензий на вывоз осуществляется МВЭС России. </w:t>
      </w:r>
      <w:r>
        <w:rPr>
          <w:rFonts w:ascii="Arial" w:hAnsi="Arial" w:cs="Arial"/>
          <w:sz w:val="20"/>
        </w:rPr>
        <w:br/>
      </w:r>
      <w:r>
        <w:rPr>
          <w:rFonts w:ascii="Arial" w:hAnsi="Arial" w:cs="Arial"/>
          <w:sz w:val="20"/>
        </w:rPr>
        <w:br/>
        <w:t xml:space="preserve">Указ Президента Российской Федерации "06 отмене квотирования и лицензирования поставок товаров и услуг на экспорт" от 23.05.94 года, предусмотрел с 01.07.94 года отмену квотирования и лицензирования поставок товаров на экспорт. Однако и после этой даты сохранилось квотирование, обусловленное международными обязательствами России. Дело в том, что мировая торговля некоторыми видами товаров (например, текстилем) регулируется специальными международными соглашениями. Эти соглашения предусматривают ограничение </w:t>
      </w:r>
      <w:r>
        <w:rPr>
          <w:rFonts w:ascii="Arial" w:hAnsi="Arial" w:cs="Arial"/>
          <w:sz w:val="20"/>
        </w:rPr>
        <w:br/>
      </w:r>
      <w:r>
        <w:rPr>
          <w:rFonts w:ascii="Arial" w:hAnsi="Arial" w:cs="Arial"/>
          <w:sz w:val="20"/>
        </w:rPr>
        <w:br/>
        <w:t xml:space="preserve">вывоза данных товаров странами-экспортерами, которое позволит сохранить соответствующую отрасль в странах-импортерах. </w:t>
      </w:r>
      <w:r>
        <w:rPr>
          <w:rFonts w:ascii="Arial" w:hAnsi="Arial" w:cs="Arial"/>
          <w:sz w:val="20"/>
        </w:rPr>
        <w:br/>
      </w:r>
      <w:r>
        <w:rPr>
          <w:rFonts w:ascii="Arial" w:hAnsi="Arial" w:cs="Arial"/>
          <w:sz w:val="20"/>
        </w:rPr>
        <w:br/>
        <w:t xml:space="preserve">В соответствии с постановлением Правительства РФ от 1 июля 1994 г. № 758 в целях выполнения международных обязательств России осуществляется квотирование экспорта следующих товаров: карбида кремния; нитрата аммония; нитей и пряжи, тканей, одежды, одеял, пледов, кухонного и постельного белья, прочих готовых текстильных изделий; необработанного алюминия. </w:t>
      </w:r>
      <w:r>
        <w:rPr>
          <w:rFonts w:ascii="Arial" w:hAnsi="Arial" w:cs="Arial"/>
          <w:sz w:val="20"/>
        </w:rPr>
        <w:br/>
      </w:r>
      <w:r>
        <w:rPr>
          <w:rFonts w:ascii="Arial" w:hAnsi="Arial" w:cs="Arial"/>
          <w:sz w:val="20"/>
        </w:rPr>
        <w:br/>
        <w:t xml:space="preserve">В соответствии с постановлением Правительства РФ от 2 декабря 1993 г. № 1248 МВЭС имеет право лишать лицензий тех экспортеров, которые своей недобросовестной коммерческой практикой создают трудности для российского экспорта. Этот механизм направлен на предотвращение или оперативное урегулирование торговых конфликтов, на защиту интересов добросовестных экспортеров, которые могут оказаться жертвами санкций зарубежных государств. </w:t>
      </w:r>
      <w:r>
        <w:rPr>
          <w:rFonts w:ascii="Arial" w:hAnsi="Arial" w:cs="Arial"/>
          <w:sz w:val="20"/>
        </w:rPr>
        <w:br/>
      </w:r>
      <w:r>
        <w:rPr>
          <w:rFonts w:ascii="Arial" w:hAnsi="Arial" w:cs="Arial"/>
          <w:sz w:val="20"/>
        </w:rPr>
        <w:br/>
        <w:t xml:space="preserve">Административные ограничения касались экспорта стратегически важных сырьевых товаров (СВСТ). Число экспортеров СВСТ (таких, как нефть и нефтепродукты, природный газ, электроэнергия, цветные, щелочные, щелочноземельные и редкоземельные металлы и сырье для их производства, азотные и фосфорные удобрения, целлюлоза, деловая древесина и пиломатериалы хвойных пород, пшеница) ограничивалось. Вывозить их имели право лишь организации, специально зарегистрированные МВЭС,- спецэкспортеры. Такой порядок был установлен, чтобы гарантировать профессионализм экспортеров и обеспечить возврат в Россию валютной выручки. Согласно Указу Президента Российской Федерации от 06.03.95 года № 245 "Об основных принципах осуществления внешнеторговой деятельности в Российской Федерации", с 25.03.95 года институт спецэкспортеров был упразднен. </w:t>
      </w:r>
      <w:r>
        <w:rPr>
          <w:rFonts w:ascii="Arial" w:hAnsi="Arial" w:cs="Arial"/>
          <w:sz w:val="20"/>
        </w:rPr>
        <w:br/>
      </w:r>
      <w:r>
        <w:rPr>
          <w:rFonts w:ascii="Arial" w:hAnsi="Arial" w:cs="Arial"/>
          <w:sz w:val="20"/>
        </w:rPr>
        <w:br/>
        <w:t xml:space="preserve">В отношении практики применения квотирования и лицензирования экспорта и импорта на территории нашей страны следует отметить такой вид квотирования как "естественное квотирование", заключающееся в регулировании “доступа к трубе”, в следствии ограниченной пропускной способности магистральных нефтепроводов, нефтепродуктопроводов и терминалов в морских портах. В постановлении правительства №1446 от 31 декабря 1994 г. говорилось, что использование средств транспортировки нефти и нефтепродуктов осуществляется с учетом не только их пропускной способности, но и необходимости обеспечения поставок этих энергоресурсов на внутренний рынок, а в положении о Межведомственной комиссии, утвержденном постановлением правительства № 94 от 30 января 1995 г., ей прямо вменялось в обязанность обеспечивать “приоритетность поставок продукции для федеральных государственных нужд”. Однако уже в постановлении № 209 от 28 февраля 1995 г. появляется указание, что “состояние поставок нефти и нефтепродуктов на внутренний рынок не может служить основанием для ограничения доступа грузоотправителей к транспортным системам или отказа в регистрации экспортных контрактов”. Позднее был введен общий запрет на ограничение экспорта товаров и услуг “путем установления обязательного объема поставок на внутренний рынок”, т.е. предусмотрено предоставление равных прав пользования средствами транспортировки всем производителям пропорционально объемам добычи (переработки) нефти и нефтепродуктов. Трейдеры же получали к ним доступ, только если производители переуступят им свои права или же если им удастся приобрести пакеты акций производителей. </w:t>
      </w:r>
      <w:r>
        <w:rPr>
          <w:rFonts w:ascii="Arial" w:hAnsi="Arial" w:cs="Arial"/>
          <w:sz w:val="20"/>
        </w:rPr>
        <w:br/>
      </w:r>
      <w:r>
        <w:rPr>
          <w:rFonts w:ascii="Arial" w:hAnsi="Arial" w:cs="Arial"/>
          <w:sz w:val="20"/>
        </w:rPr>
        <w:br/>
        <w:t xml:space="preserve">Что касается принятия и последующего действия нормативных актов, регулирующих порядок лицензирования и квотирования как нетарифных элементов регулирования внешнеэкономической деятельности следует сказать об утвержденном в конце декабря 1995 г. МВЭС РФ "Порядке проведения расследования, предшествующего введению защитных мер", которым руководствуется Комиссия Правительства РФ по защитным мерам во внешней торговле. На основании ходотайства данной комиссии Правительство Российской Федерации приняло Постановление от 30.12.96 № 1590 "О мерах по упорядочению ввоза на таможенную территорию Российской Федерации спирта этилового и водки". С целью защиты отечественного рынка от проникновения иностранной алкогольной продукции Правительство Российской Федерации издало постановление "О дополнительных мерах по контролю за импортом спирта этилового и водки" от 28.01.97 года № 77, дополнив перечень специфических товаров, импорт которых осуществляется по лицензиям. С 01.01.97 года ввоз указанных товаров без лицензий запрещен. Для получения лицензии в обязанность импортера водки или этилового спирта входит предоставление также копии лицензии на оптовую торговлю этой импортируемой продукцией. Таким образом, импортный режим Российской Федерации утрачивает свою исключительную либеральность, присущую ему еще совсем недавно. </w:t>
      </w:r>
      <w:r>
        <w:rPr>
          <w:rFonts w:ascii="Arial" w:hAnsi="Arial" w:cs="Arial"/>
          <w:sz w:val="20"/>
        </w:rPr>
        <w:br/>
      </w:r>
      <w:r>
        <w:rPr>
          <w:rFonts w:ascii="Arial" w:hAnsi="Arial" w:cs="Arial"/>
          <w:sz w:val="20"/>
        </w:rPr>
        <w:br/>
        <w:t xml:space="preserve">В заключение имеет смысл отметить такой метод нетарифного регулирования ВЭД как сертификация товаров. Ввозимые на территорию Российской Федерации товары должны соответствовать техническим, фармакологическим, санитарным, ветеринарным, фитосанитарным и экологическим стандартам и требованиям, установленным в Российской Федерации. Порядок сертификации ввозимых товаров регулируется Законом Российской Федерации "О сертификации продукции и услуг" и иными нормативными правовыми актами Российской Федерации. При этом закон запрещает ввоз товаров, не соответствующих стандартам и требованиям, не имеющим сертификата, маркировки или знака соответствия, если они запрещены к использованию как опасные потребительские товары. </w:t>
      </w:r>
      <w:r>
        <w:rPr>
          <w:rFonts w:ascii="Arial" w:hAnsi="Arial" w:cs="Arial"/>
          <w:sz w:val="20"/>
        </w:rPr>
        <w:br/>
      </w:r>
      <w:r>
        <w:rPr>
          <w:rFonts w:ascii="Arial" w:hAnsi="Arial" w:cs="Arial"/>
          <w:sz w:val="20"/>
        </w:rPr>
        <w:br/>
        <w:t xml:space="preserve">В развитие закона ГТК РФ издал приказ "О применении перечней товаров, подлежащих обязательной сертификации при ввозе на таможенную территорию Российской Федерации" от 14.08.96 года № 496. Данный приказ утвердил, определенные Госстандартом РФ, уточненные перечни товаров, для которых требуется подтверждение их безопасности при ввозе на территорию Российской Федерации. Уточнение перечней данных товаров осуществляется Госстандартом России совместно с ГТК России путем дополнения и исключения отдельных позиций в перечнях товаров, определенных данным приказом, согласно предложениям рабочей группы, создаваемой по согласованию между Госстандартом России и ГТК России. Данный приказ предусмотрел введение сертификата соответствия как необходимого элемента обязательной сертификации товаров при ввозе их на таможенную территорию нашей страны. Сертификат соответствия является свидетельством о признании зарубежного сертификата и заменяет его на территории Российской Федерации. </w:t>
      </w:r>
      <w:r>
        <w:rPr>
          <w:rFonts w:ascii="Arial" w:hAnsi="Arial" w:cs="Arial"/>
          <w:sz w:val="20"/>
        </w:rPr>
        <w:br/>
      </w:r>
      <w:r>
        <w:rPr>
          <w:rFonts w:ascii="Arial" w:hAnsi="Arial" w:cs="Arial"/>
          <w:sz w:val="20"/>
        </w:rPr>
        <w:br/>
        <w:t xml:space="preserve">В последнее время одной из главных статей российского импорта является ввоз иностранных продуктов питания, которые часто оказываются некачественными или фальсифицированными. В целях защиты отечественного потребительского рынка от проникновения таких товаров Правительство Российской Федерации издало постановление "0 мерах по защите потребительского рынка " от 12.06.96 года, на основании которого были изданы Правила, обеспечивающие наличие на продуктах питания, ввозимых в Российскую Федерацию, информации на русском языке (постановление Правительства Российской Федерации от 27.12.96 года № 1575). </w:t>
      </w:r>
      <w:r>
        <w:rPr>
          <w:rFonts w:ascii="Arial" w:hAnsi="Arial" w:cs="Arial"/>
          <w:sz w:val="20"/>
        </w:rPr>
        <w:br/>
      </w:r>
      <w:r>
        <w:rPr>
          <w:rFonts w:ascii="Arial" w:hAnsi="Arial" w:cs="Arial"/>
          <w:sz w:val="20"/>
        </w:rPr>
        <w:br/>
        <w:t xml:space="preserve">Данные правила обязывают юридических лиц предусматривать в контрактах на поставку продуктов питания в качестве одного из обязательных условий наличие на товаре информации на русском языке о составе, пищевой ценности, сроках годности, условиях хранения и применения. Такая информация должна быть размещена на упаковке или этикетке товара. При этом содержание такой информации должно включать в себя: наименование продукта и его вид, страну, компанию-производителя товара, вес или объем продукта, наименование ингредиентов продукта, пищевую ценность продукта, условия хранения продукта, срок годности данного продукта, способ приготовления продукта питания, рекомендации по использованию продуктов питания, условия применения продукта питания, включая противопоказания при отдельных видах заболеваний. </w:t>
      </w:r>
      <w:r>
        <w:rPr>
          <w:rFonts w:ascii="Arial" w:hAnsi="Arial" w:cs="Arial"/>
          <w:sz w:val="20"/>
        </w:rPr>
        <w:br/>
      </w:r>
      <w:r>
        <w:rPr>
          <w:rFonts w:ascii="Arial" w:hAnsi="Arial" w:cs="Arial"/>
          <w:sz w:val="20"/>
        </w:rPr>
        <w:br/>
        <w:t xml:space="preserve">Вследствие существующих финансовых проблем и нечетко определенных после распада СССР сфер ответственности, многие ведомства и учреждения, отвечающие за стандартизацию и созданные в свое время для защиты интересов потребителей, ныне сами вынуждены бороться за выживание, т.к. не получают достаточных средств из госбюджета. Недостаточное финансирование приводит к тому, что они используют свои регулятивные полномочия в целях обеспечения притока денежных средств, чему немало способствует отсутствие стандартных процедур и требований. Многое в деятельности и требованиях таких органов не отвечает их первоначальному мандату контролировать безопасность, а продиктовано стремлением обеспечить себя финансово, причем иностранцы должны по определению платить больше других. В итоге, порядок сертификации и стандартизации, который должен быть четким и понятным, превращается в непредсказуемую по длительности и дорогостоящую трату времени. </w:t>
      </w:r>
      <w:r>
        <w:rPr>
          <w:rFonts w:ascii="Arial" w:hAnsi="Arial" w:cs="Arial"/>
          <w:sz w:val="20"/>
        </w:rPr>
        <w:br/>
      </w:r>
      <w:r>
        <w:rPr>
          <w:rFonts w:ascii="Arial" w:hAnsi="Arial" w:cs="Arial"/>
          <w:sz w:val="20"/>
        </w:rPr>
        <w:br/>
        <w:t>Таким образом, продолжающееся падение ценовой конкурентоспособности отечественных производителей заставляет повышать степень защиты внутреннего рынка, используя общепринятые в мире нетарифные методы регулирования ВЭД, не препятствующие вступлению России в ВТО и долгосрочным задачам ее развития.</w:t>
      </w:r>
      <w:r>
        <w:rPr>
          <w:rFonts w:ascii="Arial" w:hAnsi="Arial" w:cs="Arial"/>
          <w:b/>
          <w:bCs/>
          <w:sz w:val="20"/>
        </w:rPr>
        <w:t xml:space="preserve">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eastAsia="Arial Unicode MS" w:hAnsi="Arial" w:cs="Arial"/>
          <w:sz w:val="20"/>
          <w:szCs w:val="27"/>
        </w:rPr>
      </w:pPr>
      <w:r>
        <w:rPr>
          <w:rFonts w:ascii="Arial" w:hAnsi="Arial" w:cs="Arial"/>
          <w:sz w:val="20"/>
          <w:szCs w:val="27"/>
        </w:rPr>
        <w:t>3.3.Методы государственного регулирования импорта товаров</w:t>
      </w:r>
    </w:p>
    <w:p w:rsidR="00FD64D5" w:rsidRDefault="00FD64D5">
      <w:pPr>
        <w:pStyle w:val="a3"/>
        <w:jc w:val="both"/>
        <w:rPr>
          <w:rFonts w:ascii="Arial" w:hAnsi="Arial" w:cs="Arial"/>
          <w:sz w:val="20"/>
        </w:rPr>
      </w:pPr>
      <w:r>
        <w:rPr>
          <w:rFonts w:ascii="Arial" w:hAnsi="Arial" w:cs="Arial"/>
          <w:sz w:val="20"/>
        </w:rPr>
        <w:t xml:space="preserve">Основным элементом системы регулирования российского импорта является таможенный тариф. Первое время, учитывая серьезные финансовые трудности, импортный тариф носил преимущественно фискальный характер. Но по мере формирования новой экономической среды с новой иерархией экономических интересов он приобретал все более экономически осмысленный характер. К настоящему времени номинальный уровень таможенного обложения значительно выше, чем в развитых странах, но значительно ниже, чем в большинстве развивающихся и постсоциалистических стран. Однако во времена, более сопоставимые с переживаемым ныне Россией периодом, уровень обложения импорта в западных странах был выше, нежели сейчас в России. Во многих развивающихся странах, объективно находящихся сейчас в лучшем положении, чем Россия, и при этом являющихся еще членами ВТО (например, в Бразилии, Мексике, Аргентине), средний уровень тарифов все же выше, чем у нас. </w:t>
      </w:r>
      <w:r>
        <w:rPr>
          <w:rFonts w:ascii="Arial" w:hAnsi="Arial" w:cs="Arial"/>
          <w:sz w:val="20"/>
        </w:rPr>
        <w:br/>
      </w:r>
      <w:r>
        <w:rPr>
          <w:rFonts w:ascii="Arial" w:hAnsi="Arial" w:cs="Arial"/>
          <w:sz w:val="20"/>
        </w:rPr>
        <w:br/>
        <w:t xml:space="preserve">России, конечно, не следует механически копировать торговую политику других, пусть и рыночных, государств, тем более далеко не в лучших ее аспектах. Любые меры внешнеторгового регулирования, каким-то образом ограничивающие свободное движение товаров, могут играть активную созидательную роль, способствуя преобразованию экономики и обеспечению ее роста, только в том случае, если они будут применены в широком контексте национальной структурной (промышленной) политики, т.е. в строгих рамках программ, направленных на оздоровление конкретных отраслей и обеспечение экономической безопасности страны (последнее особенно относится к аграрному сектору). </w:t>
      </w:r>
      <w:r>
        <w:rPr>
          <w:rFonts w:ascii="Arial" w:hAnsi="Arial" w:cs="Arial"/>
          <w:sz w:val="20"/>
        </w:rPr>
        <w:br/>
      </w:r>
      <w:r>
        <w:rPr>
          <w:rFonts w:ascii="Arial" w:hAnsi="Arial" w:cs="Arial"/>
          <w:sz w:val="20"/>
        </w:rPr>
        <w:br/>
        <w:t xml:space="preserve">Импортные пошлины широко используются в торгово-политических и тарифных преференциях. В торгово-политических отношениях между странами применяется принцип наиболее благоприятствуемой нации, который дает право пользоваться всеми преимуществами и льготами, предоставляемыми любым третьим государствам. Изъятия из указанного принципа касаются развитых стран, которые должны предоставлять уступки всем развивающимся странам и распространять на них все уступки, которые они предоставляют друг другу, но при этом не требуют взамен от развивающихся стран каких бы то ни было уступок. </w:t>
      </w:r>
      <w:r>
        <w:rPr>
          <w:rFonts w:ascii="Arial" w:hAnsi="Arial" w:cs="Arial"/>
          <w:sz w:val="20"/>
        </w:rPr>
        <w:br/>
      </w:r>
      <w:r>
        <w:rPr>
          <w:rFonts w:ascii="Arial" w:hAnsi="Arial" w:cs="Arial"/>
          <w:sz w:val="20"/>
        </w:rPr>
        <w:br/>
        <w:t xml:space="preserve">Постановление Правительства Российской Федерации от 13.09.94 года № 1057 "Об утверждении перечня стран-пользователей схемой преференций Российской Федерации и списка товаров на которые при импорте на территорию Российской Федерации преференциальный режим не распространяется" с изменениями от 06.05.95 № 454, от 31.12.95 год № 1301, от 26.07.96 года № 887 утвердило перечень стран-пользователей схемой преференций Российской Федерации в количестве 150 государств и список товаров, на которые при импорте на территорию нашей страны преференциальный режим не распространяется. Сюда же относятся все под акцизные товары в соответствии с Федеральным Законом "Об Акцизах </w:t>
      </w:r>
      <w:r>
        <w:rPr>
          <w:rFonts w:ascii="Arial" w:hAnsi="Arial" w:cs="Arial"/>
          <w:sz w:val="20"/>
        </w:rPr>
        <w:br/>
      </w:r>
      <w:r>
        <w:rPr>
          <w:rFonts w:ascii="Arial" w:hAnsi="Arial" w:cs="Arial"/>
          <w:sz w:val="20"/>
        </w:rPr>
        <w:br/>
        <w:t xml:space="preserve">Приказ ГТК РФ от 26.04.96 № 258 установил таможенные пошлины в отношении товаров, ввозимых на таможенную территорию РФ и происходящих из развивающихся стран-пользователей схемой преференций Российской Федерации в размере 75 % от ставок ввозных таможенных пошлин, которые применяются в отношении товаров, происходящих из государств, в отношении которых наша страна осуществляет режим наибольшего благоприятствования. </w:t>
      </w:r>
      <w:r>
        <w:rPr>
          <w:rFonts w:ascii="Arial" w:hAnsi="Arial" w:cs="Arial"/>
          <w:sz w:val="20"/>
        </w:rPr>
        <w:br/>
      </w:r>
      <w:r>
        <w:rPr>
          <w:rFonts w:ascii="Arial" w:hAnsi="Arial" w:cs="Arial"/>
          <w:sz w:val="20"/>
        </w:rPr>
        <w:br/>
        <w:t xml:space="preserve">Предоставление льгот при уплате таможенных платежей </w:t>
      </w:r>
      <w:r>
        <w:rPr>
          <w:rFonts w:ascii="Arial" w:hAnsi="Arial" w:cs="Arial"/>
          <w:sz w:val="20"/>
        </w:rPr>
        <w:br/>
      </w:r>
      <w:r>
        <w:rPr>
          <w:rFonts w:ascii="Arial" w:hAnsi="Arial" w:cs="Arial"/>
          <w:sz w:val="20"/>
        </w:rPr>
        <w:br/>
        <w:t xml:space="preserve">Страна Основание льготы Льгота развивающиеся таможенная пошлина снижение на 25% страны наименее развитые таможенная пошлина освобождение на 25% страны (НРС) (кроме НРС) </w:t>
      </w:r>
      <w:r>
        <w:rPr>
          <w:rFonts w:ascii="Arial" w:hAnsi="Arial" w:cs="Arial"/>
          <w:sz w:val="20"/>
        </w:rPr>
        <w:br/>
      </w:r>
      <w:r>
        <w:rPr>
          <w:rFonts w:ascii="Arial" w:hAnsi="Arial" w:cs="Arial"/>
          <w:sz w:val="20"/>
        </w:rPr>
        <w:br/>
        <w:t xml:space="preserve">Что же касается применения такого элемента регулирования внешней торговли как страна происхождения товара, то страной происхождения товара считается страна, в которой товар был полностью произведен или подвергнут достаточной переработке. При этом страной происхождения товара может являться группа стран, таможенные союзы, регион или часть страны. Критерий достаточной переработки - изменение товарной позиции на уровне первых четырех знаков, произошедших в результате переработки товара. </w:t>
      </w:r>
      <w:r>
        <w:rPr>
          <w:rFonts w:ascii="Arial" w:hAnsi="Arial" w:cs="Arial"/>
          <w:sz w:val="20"/>
        </w:rPr>
        <w:br/>
      </w:r>
      <w:r>
        <w:rPr>
          <w:rFonts w:ascii="Arial" w:hAnsi="Arial" w:cs="Arial"/>
          <w:sz w:val="20"/>
        </w:rPr>
        <w:br/>
        <w:t xml:space="preserve">Подтверждением товара из данной страны служит сертификат по форме А, выдаваемый Торгово-промышленной палатой страны вывоза товара. Сертификат о происхождении товара предоставляется на товары, в отношении которых может быть применен преференциальный режим; на товары, в отношении которых могут быть применены количественные ограничения, а также товары, которые отвечают требованиям, вытекающим из международных соглашений, в частности, соглашений об охране окружающей среды, о здоровье населения, о защите прав потребителя, об охране общественного порядка, членом которых является наша страна. </w:t>
      </w:r>
      <w:r>
        <w:rPr>
          <w:rFonts w:ascii="Arial" w:hAnsi="Arial" w:cs="Arial"/>
          <w:sz w:val="20"/>
        </w:rPr>
        <w:br/>
      </w:r>
      <w:r>
        <w:rPr>
          <w:rFonts w:ascii="Arial" w:hAnsi="Arial" w:cs="Arial"/>
          <w:sz w:val="20"/>
        </w:rPr>
        <w:br/>
        <w:t xml:space="preserve">С учетом изложенных обстоятельств, непосредственно оказывающих влияние при применении импортного таможенного тарифа необходимо рассмотреть ситуацию, складывающуюся в отношении применения ввозных таможенных пошлин при ввозе товаров на таможенную территорию Российской Федерации. </w:t>
      </w:r>
      <w:r>
        <w:rPr>
          <w:rFonts w:ascii="Arial" w:hAnsi="Arial" w:cs="Arial"/>
          <w:sz w:val="20"/>
        </w:rPr>
        <w:br/>
      </w:r>
      <w:r>
        <w:rPr>
          <w:rFonts w:ascii="Arial" w:hAnsi="Arial" w:cs="Arial"/>
          <w:sz w:val="20"/>
        </w:rPr>
        <w:br/>
        <w:t xml:space="preserve">Ставки пошлин и методики их установления со стороны государства на ввозимые товары нельзя рассматривать в отрыве от таких видов пошлин как сезонные и особые, которые устанавливаются в качестве мер оперативного регулирования. Сезонные пошлины как правило устанавливаются на товары сельскохозяйственного производства и продовольственного типа. Срок действия сезонных пошлин не может превышать 6 месяцев в году. </w:t>
      </w:r>
      <w:r>
        <w:rPr>
          <w:rFonts w:ascii="Arial" w:hAnsi="Arial" w:cs="Arial"/>
          <w:sz w:val="20"/>
        </w:rPr>
        <w:br/>
      </w:r>
      <w:r>
        <w:rPr>
          <w:rFonts w:ascii="Arial" w:hAnsi="Arial" w:cs="Arial"/>
          <w:sz w:val="20"/>
        </w:rPr>
        <w:br/>
        <w:t xml:space="preserve">Особый вид таможенных пошлин имеет своей целью защищать экономические интересы страны. С этой целью создана межведомственная организация - Комиссия Правительства РФ по защитным мерам во внешней торговле и утверждено положение о ней, как о координационном органе, обеспечивающем рассмотрение вопросов и подготовку предложений о введении на территории России защитных мер. Расследования, предшествующие введению защитных мер, по фактам причинения существенного ущерба отечественному производству или угрозы причинения такого ущерба проводит МВЭС. Расследование может проводиться по поручению правительства РФ, по инициативе федеральных органов исполнительной власти, по заявлению органа исполнительной власти субъекта РФ либо производителя или объединения производителей, чье совокупное производство аналогичных или непосредственно конкурирующих с импортируемыми товаров составляет более 50% их общего внутреннего производства. Если указанный объем производства приходится на одного или двух российских производителей, необходимо заключение ГКАП о последствиях возможных защитных мер на конкурентную ситуацию на российском рынке. </w:t>
      </w:r>
      <w:r>
        <w:rPr>
          <w:rFonts w:ascii="Arial" w:hAnsi="Arial" w:cs="Arial"/>
          <w:sz w:val="20"/>
        </w:rPr>
        <w:br/>
      </w:r>
      <w:r>
        <w:rPr>
          <w:rFonts w:ascii="Arial" w:hAnsi="Arial" w:cs="Arial"/>
          <w:sz w:val="20"/>
        </w:rPr>
        <w:br/>
        <w:t xml:space="preserve">Заявление на проведение расследования направляется в МВЭС. К нему прикладываются доказательства наличия существенного ущерба (или угрозы такового) для отечественного производства или отдельных производителей и доказательства причинно-следственной связи между импортом и предполагаемым ущербом, а также указание на причины ущерба и характер предлагаемых защитных мер. </w:t>
      </w:r>
      <w:r>
        <w:rPr>
          <w:rFonts w:ascii="Arial" w:hAnsi="Arial" w:cs="Arial"/>
          <w:sz w:val="20"/>
        </w:rPr>
        <w:br/>
      </w:r>
      <w:r>
        <w:rPr>
          <w:rFonts w:ascii="Arial" w:hAnsi="Arial" w:cs="Arial"/>
          <w:sz w:val="20"/>
        </w:rPr>
        <w:br/>
        <w:t xml:space="preserve">Кроме того, заявитель сообщает следующие сведения: </w:t>
      </w:r>
    </w:p>
    <w:p w:rsidR="00FD64D5" w:rsidRDefault="00FD64D5">
      <w:pPr>
        <w:numPr>
          <w:ilvl w:val="0"/>
          <w:numId w:val="18"/>
        </w:numPr>
        <w:spacing w:before="100" w:beforeAutospacing="1" w:after="100" w:afterAutospacing="1"/>
        <w:jc w:val="both"/>
        <w:rPr>
          <w:rFonts w:ascii="Arial" w:hAnsi="Arial" w:cs="Arial"/>
          <w:sz w:val="20"/>
        </w:rPr>
      </w:pPr>
      <w:r>
        <w:rPr>
          <w:rFonts w:ascii="Arial" w:hAnsi="Arial" w:cs="Arial"/>
          <w:sz w:val="20"/>
        </w:rPr>
        <w:t xml:space="preserve">сведения об объеме производства конкурирующего товара российского производителя в натуральном и стоимостном выражении, а также о его доле в общем объеме отечественного производства этого товара; </w:t>
      </w:r>
    </w:p>
    <w:p w:rsidR="00FD64D5" w:rsidRDefault="00FD64D5">
      <w:pPr>
        <w:numPr>
          <w:ilvl w:val="0"/>
          <w:numId w:val="18"/>
        </w:numPr>
        <w:spacing w:before="100" w:beforeAutospacing="1" w:after="100" w:afterAutospacing="1"/>
        <w:jc w:val="both"/>
        <w:rPr>
          <w:rFonts w:ascii="Arial" w:hAnsi="Arial" w:cs="Arial"/>
          <w:sz w:val="20"/>
        </w:rPr>
      </w:pPr>
      <w:r>
        <w:rPr>
          <w:rFonts w:ascii="Arial" w:hAnsi="Arial" w:cs="Arial"/>
          <w:sz w:val="20"/>
        </w:rPr>
        <w:t xml:space="preserve">название страны или стран происхождения или экспорта ввозимого в Россию конкурирующего товара, наименование и реквизиты каждого известного экспортера или производителя, а также перечень основных известных российских импортеров указанного товара с их реквизитами; </w:t>
      </w:r>
    </w:p>
    <w:p w:rsidR="00FD64D5" w:rsidRDefault="00FD64D5">
      <w:pPr>
        <w:numPr>
          <w:ilvl w:val="0"/>
          <w:numId w:val="18"/>
        </w:numPr>
        <w:spacing w:before="100" w:beforeAutospacing="1" w:after="100" w:afterAutospacing="1"/>
        <w:jc w:val="both"/>
        <w:rPr>
          <w:rFonts w:ascii="Arial" w:hAnsi="Arial" w:cs="Arial"/>
          <w:sz w:val="20"/>
        </w:rPr>
      </w:pPr>
      <w:r>
        <w:rPr>
          <w:rFonts w:ascii="Arial" w:hAnsi="Arial" w:cs="Arial"/>
          <w:sz w:val="20"/>
        </w:rPr>
        <w:t xml:space="preserve">информация о ценах, по которым данный товар продается на внутренних рынках стран происхождения или экспорта, а также об экспортных ценах или ценах перепродаж покупателю; соотношение цен на конкурирующий ввозимый товар и товар российского производителя; </w:t>
      </w:r>
    </w:p>
    <w:p w:rsidR="00FD64D5" w:rsidRDefault="00FD64D5">
      <w:pPr>
        <w:numPr>
          <w:ilvl w:val="0"/>
          <w:numId w:val="18"/>
        </w:numPr>
        <w:spacing w:before="100" w:beforeAutospacing="1" w:after="100" w:afterAutospacing="1"/>
        <w:jc w:val="both"/>
        <w:rPr>
          <w:rFonts w:ascii="Arial" w:hAnsi="Arial" w:cs="Arial"/>
          <w:sz w:val="20"/>
        </w:rPr>
      </w:pPr>
      <w:r>
        <w:rPr>
          <w:rFonts w:ascii="Arial" w:hAnsi="Arial" w:cs="Arial"/>
          <w:sz w:val="20"/>
        </w:rPr>
        <w:t xml:space="preserve">объем ввоза конкурирующего товара, темпы его роста в абсолютном и относительном выражении; </w:t>
      </w:r>
    </w:p>
    <w:p w:rsidR="00FD64D5" w:rsidRDefault="00FD64D5">
      <w:pPr>
        <w:numPr>
          <w:ilvl w:val="0"/>
          <w:numId w:val="18"/>
        </w:numPr>
        <w:spacing w:before="100" w:beforeAutospacing="1" w:after="100" w:afterAutospacing="1"/>
        <w:jc w:val="both"/>
        <w:rPr>
          <w:rFonts w:ascii="Arial" w:hAnsi="Arial" w:cs="Arial"/>
          <w:sz w:val="20"/>
        </w:rPr>
      </w:pPr>
      <w:r>
        <w:rPr>
          <w:rFonts w:ascii="Arial" w:hAnsi="Arial" w:cs="Arial"/>
          <w:sz w:val="20"/>
        </w:rPr>
        <w:t xml:space="preserve">подробное описание технико-экономических характеристик конкурирующих товаров (ввозимых и производимых в России); </w:t>
      </w:r>
    </w:p>
    <w:p w:rsidR="00FD64D5" w:rsidRDefault="00FD64D5">
      <w:pPr>
        <w:numPr>
          <w:ilvl w:val="0"/>
          <w:numId w:val="18"/>
        </w:numPr>
        <w:spacing w:before="100" w:beforeAutospacing="1" w:after="100" w:afterAutospacing="1"/>
        <w:jc w:val="both"/>
        <w:rPr>
          <w:rFonts w:ascii="Arial" w:hAnsi="Arial" w:cs="Arial"/>
          <w:sz w:val="20"/>
        </w:rPr>
      </w:pPr>
      <w:r>
        <w:rPr>
          <w:rFonts w:ascii="Arial" w:hAnsi="Arial" w:cs="Arial"/>
          <w:sz w:val="20"/>
        </w:rPr>
        <w:t xml:space="preserve">соотношение объемов ввоза и производства этих конкурирующих товаров; </w:t>
      </w:r>
    </w:p>
    <w:p w:rsidR="00FD64D5" w:rsidRDefault="00FD64D5">
      <w:pPr>
        <w:numPr>
          <w:ilvl w:val="0"/>
          <w:numId w:val="18"/>
        </w:numPr>
        <w:spacing w:before="100" w:beforeAutospacing="1" w:after="100" w:afterAutospacing="1"/>
        <w:jc w:val="both"/>
        <w:rPr>
          <w:rFonts w:ascii="Arial" w:hAnsi="Arial" w:cs="Arial"/>
          <w:sz w:val="20"/>
        </w:rPr>
      </w:pPr>
      <w:r>
        <w:rPr>
          <w:rFonts w:ascii="Arial" w:hAnsi="Arial" w:cs="Arial"/>
          <w:sz w:val="20"/>
        </w:rPr>
        <w:t xml:space="preserve">оценку существенного ущерба (или угрозы такового), нанесенного российскому производителю в результате ввоза конкурирующего иностранного товара, по следующим критериям: объем производства, степень загрузки производственных мощностей, состояние товарных запасов, объем продаж, балансовая прибыль, показатели эффективности производства и объема инвестиций, показатели численности и реальной занятости промышленно-производственного персонала.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Указанные показатели следует представлять в динамике за три года, предшествующие началу возросшего ввоза, демпинга или субсидирования конкурирующего иностранного товара. Стоимостные показатели в целях сопоставимости следует представлять как в рублевом, так и долларовом эквиваленте по существующему на момент их определения валютному курсу ЦБ РФ. </w:t>
      </w:r>
      <w:r>
        <w:rPr>
          <w:rFonts w:ascii="Arial" w:hAnsi="Arial" w:cs="Arial"/>
          <w:sz w:val="20"/>
        </w:rPr>
        <w:br/>
      </w:r>
      <w:r>
        <w:rPr>
          <w:rFonts w:ascii="Arial" w:hAnsi="Arial" w:cs="Arial"/>
          <w:sz w:val="20"/>
        </w:rPr>
        <w:br/>
        <w:t xml:space="preserve">Сроки проведения расследований могут составлять от 2 до 18 месяцев. Причем расследование на предмет введения импортных квот должно быть проведено в течение 2 месяцев со дня принятия заявления. Приняв решение о начале расследования, Комиссия должна опубликовать об этом уведомление через Агентство ИТАР-ТАСС и в газетах “Деловой мир” и “Российская газета”, причем дата публикации в последней считается днем официального начала расследования. О начале расследования извещаются иностранные государства и таможенные территории с указанием конкретных товаров, доказательств наличия или возможности ущерба от импорта этого товара, предлагаемых защитных мер и предполагаемого срока их введения. По результатам расследования МВЭС представляет в Комиссию доклад, который является основанием для принятия решения о введении защитных мер. </w:t>
      </w:r>
      <w:r>
        <w:rPr>
          <w:rFonts w:ascii="Arial" w:hAnsi="Arial" w:cs="Arial"/>
          <w:sz w:val="20"/>
        </w:rPr>
        <w:br/>
      </w:r>
      <w:r>
        <w:rPr>
          <w:rFonts w:ascii="Arial" w:hAnsi="Arial" w:cs="Arial"/>
          <w:sz w:val="20"/>
        </w:rPr>
        <w:br/>
        <w:t xml:space="preserve">При нынешней “прозрачности” таможенных границ в обход таможенного контроля в страну поступают прежде всего подакцизные товары, которые должны бы быть основным источником доходов федерального бюджета от ВЭД. В целях борьбы с этим явлением было принято ряд мер, среди которых по предложению Комиссии по защитным мерам во внешней торговле Правительство РФ приняло постановление №1125 от 19 сентября 1996 года “О введении защитных мер в отношении ввоза на таможенную территорию Российской Федерации спирта этилового из пищевого сырья и водки”. С 1 января 1997 года впервые была установлена годовая квота на ввоз спирта этилового из пищевого сырья (коды ТН ВЭД 2207 10000; 2207 20000; 2208 90910; 2208 90990) в размере 1 млн декалитров (дал) и водки (код ТН ВЭД 2208 90310) в размере 10 млн дал. Из-за больших объемов ввоза этих товаров из нескольких конкурирующих стран постановление предусматривало проведение переговоров со странами-экспортерами о распределении квот. Однако странам СНГ, непосредственно заинтересованным в поставках данных товаров сразу была выделена доля от общей импортной квоты ( 1,5 млн дал, из них 1 млн дал Украине). Однако последующие события показали неготовность использовать столь жесткие меры по защите отечественного рынка. </w:t>
      </w:r>
      <w:r>
        <w:rPr>
          <w:rFonts w:ascii="Arial" w:hAnsi="Arial" w:cs="Arial"/>
          <w:sz w:val="20"/>
        </w:rPr>
        <w:br/>
      </w:r>
      <w:r>
        <w:rPr>
          <w:rFonts w:ascii="Arial" w:hAnsi="Arial" w:cs="Arial"/>
          <w:sz w:val="20"/>
        </w:rPr>
        <w:br/>
        <w:t xml:space="preserve">В случае необходимости применяются такие временные защитные меры, как повышение уровня таможенного обложения соответствующих товаров путем установления особых видов таможенных пошлин: специальные, компенсационные, антидемпинговые. Специальные пошлины применяются: </w:t>
      </w:r>
    </w:p>
    <w:p w:rsidR="00FD64D5" w:rsidRDefault="00FD64D5">
      <w:pPr>
        <w:numPr>
          <w:ilvl w:val="0"/>
          <w:numId w:val="19"/>
        </w:numPr>
        <w:spacing w:before="100" w:beforeAutospacing="1" w:after="100" w:afterAutospacing="1"/>
        <w:jc w:val="both"/>
        <w:rPr>
          <w:rFonts w:ascii="Arial" w:hAnsi="Arial" w:cs="Arial"/>
          <w:sz w:val="20"/>
        </w:rPr>
      </w:pPr>
      <w:r>
        <w:rPr>
          <w:rFonts w:ascii="Arial" w:hAnsi="Arial" w:cs="Arial"/>
          <w:sz w:val="20"/>
        </w:rPr>
        <w:t xml:space="preserve">в качестве защитной меры, если товары ввозятся на таможенную территорию РФ в количествах и на условиях, наносящих или угрожающих нанести ущерб отечественным производителям подобных или непосредственно конкурирующих товаров; </w:t>
      </w:r>
    </w:p>
    <w:p w:rsidR="00FD64D5" w:rsidRDefault="00FD64D5">
      <w:pPr>
        <w:numPr>
          <w:ilvl w:val="0"/>
          <w:numId w:val="19"/>
        </w:numPr>
        <w:spacing w:before="100" w:beforeAutospacing="1" w:after="100" w:afterAutospacing="1"/>
        <w:jc w:val="both"/>
        <w:rPr>
          <w:rFonts w:ascii="Arial" w:hAnsi="Arial" w:cs="Arial"/>
          <w:sz w:val="20"/>
        </w:rPr>
      </w:pPr>
      <w:r>
        <w:rPr>
          <w:rFonts w:ascii="Arial" w:hAnsi="Arial" w:cs="Arial"/>
          <w:sz w:val="20"/>
        </w:rPr>
        <w:t xml:space="preserve">как ответная мера на дискриминационные и иные действия, ущемляющие интересы России, со стороны других государств или их союзов.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Компенсационные пошлины могут применяться, когда при производстве или вывозе импортируемых Россией товаров прямо или косвенно использовались субсидии, если такой ввоз может нанести материальный ущерб отечественным производителям подобных товаров. Под субсидией понимается финансовое содействие, оказываемое правительством или любым государственным органом или органом исполнительной власти союза стран экспортеру (или производителю) в виде: </w:t>
      </w:r>
    </w:p>
    <w:p w:rsidR="00FD64D5" w:rsidRDefault="00FD64D5">
      <w:pPr>
        <w:numPr>
          <w:ilvl w:val="0"/>
          <w:numId w:val="20"/>
        </w:numPr>
        <w:spacing w:before="100" w:beforeAutospacing="1" w:after="100" w:afterAutospacing="1"/>
        <w:jc w:val="both"/>
        <w:rPr>
          <w:rFonts w:ascii="Arial" w:hAnsi="Arial" w:cs="Arial"/>
          <w:sz w:val="20"/>
        </w:rPr>
      </w:pPr>
      <w:r>
        <w:rPr>
          <w:rFonts w:ascii="Arial" w:hAnsi="Arial" w:cs="Arial"/>
          <w:sz w:val="20"/>
        </w:rPr>
        <w:t xml:space="preserve">прямого перевода денежных средств, </w:t>
      </w:r>
    </w:p>
    <w:p w:rsidR="00FD64D5" w:rsidRDefault="00FD64D5">
      <w:pPr>
        <w:numPr>
          <w:ilvl w:val="0"/>
          <w:numId w:val="20"/>
        </w:numPr>
        <w:spacing w:before="100" w:beforeAutospacing="1" w:after="100" w:afterAutospacing="1"/>
        <w:jc w:val="both"/>
        <w:rPr>
          <w:rFonts w:ascii="Arial" w:hAnsi="Arial" w:cs="Arial"/>
          <w:sz w:val="20"/>
        </w:rPr>
      </w:pPr>
      <w:r>
        <w:rPr>
          <w:rFonts w:ascii="Arial" w:hAnsi="Arial" w:cs="Arial"/>
          <w:sz w:val="20"/>
        </w:rPr>
        <w:t xml:space="preserve">обязательств по переводу таких средств, </w:t>
      </w:r>
    </w:p>
    <w:p w:rsidR="00FD64D5" w:rsidRDefault="00FD64D5">
      <w:pPr>
        <w:numPr>
          <w:ilvl w:val="0"/>
          <w:numId w:val="20"/>
        </w:numPr>
        <w:spacing w:before="100" w:beforeAutospacing="1" w:after="100" w:afterAutospacing="1"/>
        <w:jc w:val="both"/>
        <w:rPr>
          <w:rFonts w:ascii="Arial" w:hAnsi="Arial" w:cs="Arial"/>
          <w:sz w:val="20"/>
        </w:rPr>
      </w:pPr>
      <w:r>
        <w:rPr>
          <w:rFonts w:ascii="Arial" w:hAnsi="Arial" w:cs="Arial"/>
          <w:sz w:val="20"/>
        </w:rPr>
        <w:t xml:space="preserve">отказа от получения причитающихся доходов, </w:t>
      </w:r>
    </w:p>
    <w:p w:rsidR="00FD64D5" w:rsidRDefault="00FD64D5">
      <w:pPr>
        <w:numPr>
          <w:ilvl w:val="0"/>
          <w:numId w:val="20"/>
        </w:numPr>
        <w:spacing w:before="100" w:beforeAutospacing="1" w:after="100" w:afterAutospacing="1"/>
        <w:jc w:val="both"/>
        <w:rPr>
          <w:rFonts w:ascii="Arial" w:hAnsi="Arial" w:cs="Arial"/>
          <w:sz w:val="20"/>
        </w:rPr>
      </w:pPr>
      <w:r>
        <w:rPr>
          <w:rFonts w:ascii="Arial" w:hAnsi="Arial" w:cs="Arial"/>
          <w:sz w:val="20"/>
        </w:rPr>
        <w:t xml:space="preserve">льготного или безвозмездного предоставления товара или услуг (это не касается товаров и услуг, направляемых на поддержание и развитие общей инфраструктуры), </w:t>
      </w:r>
    </w:p>
    <w:p w:rsidR="00FD64D5" w:rsidRDefault="00FD64D5">
      <w:pPr>
        <w:numPr>
          <w:ilvl w:val="0"/>
          <w:numId w:val="20"/>
        </w:numPr>
        <w:spacing w:before="100" w:beforeAutospacing="1" w:after="100" w:afterAutospacing="1"/>
        <w:jc w:val="both"/>
        <w:rPr>
          <w:rFonts w:ascii="Arial" w:hAnsi="Arial" w:cs="Arial"/>
          <w:sz w:val="20"/>
        </w:rPr>
      </w:pPr>
      <w:r>
        <w:rPr>
          <w:rFonts w:ascii="Arial" w:hAnsi="Arial" w:cs="Arial"/>
          <w:sz w:val="20"/>
        </w:rPr>
        <w:t xml:space="preserve">льготного приобретения товаров, </w:t>
      </w:r>
    </w:p>
    <w:p w:rsidR="00FD64D5" w:rsidRDefault="00FD64D5">
      <w:pPr>
        <w:numPr>
          <w:ilvl w:val="0"/>
          <w:numId w:val="20"/>
        </w:numPr>
        <w:spacing w:before="100" w:beforeAutospacing="1" w:after="100" w:afterAutospacing="1"/>
        <w:jc w:val="both"/>
        <w:rPr>
          <w:rFonts w:ascii="Arial" w:hAnsi="Arial" w:cs="Arial"/>
          <w:sz w:val="20"/>
        </w:rPr>
      </w:pPr>
      <w:r>
        <w:rPr>
          <w:rFonts w:ascii="Arial" w:hAnsi="Arial" w:cs="Arial"/>
          <w:sz w:val="20"/>
        </w:rPr>
        <w:t xml:space="preserve">поручения неправительственной организации выполнить одну или несколько функций из указанных выше.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Антидемпинговые пошлины вводятся в случаях ввоза в Россию товаров по цене более низкой, чем их нормальная стоимость на этот момент в стране экспортера, если это наносит или угрожает нанести материальный ущерб отечественным производителям аналогичных товаров либо препятствует организации или расширению производства таких товаров в России. </w:t>
      </w:r>
      <w:r>
        <w:rPr>
          <w:rFonts w:ascii="Arial" w:hAnsi="Arial" w:cs="Arial"/>
          <w:sz w:val="20"/>
        </w:rPr>
        <w:br/>
      </w:r>
      <w:r>
        <w:rPr>
          <w:rFonts w:ascii="Arial" w:hAnsi="Arial" w:cs="Arial"/>
          <w:sz w:val="20"/>
        </w:rPr>
        <w:br/>
        <w:t xml:space="preserve">Чтобы определить величину демпинга, необходимо сравнить экспортную цену товара и его нормальную стоимость. При этом под экспортной понимается цена, уплаченная или подлежащая уплате за товар, ввозимый на таможенную территорию РФ и предназначенный для продажи на российском внутреннем рынке в соответствии с контрактом. Нормальная стоимость - это стоимость конкурирующего товара, предназначенного для потребления в стране его происхождения или экспорта при обычном ходе торговли. Сравнение должно производиться на сопоставимой базе, с учетом необходимых поправок на различие в условиях продажи, обложение налогами и другие факторы, влияющие на стоимость цен. Сопоставляются данные за один и тот же временной период с учетом одинакового базиса поставок. </w:t>
      </w:r>
      <w:r>
        <w:rPr>
          <w:rFonts w:ascii="Arial" w:hAnsi="Arial" w:cs="Arial"/>
          <w:sz w:val="20"/>
        </w:rPr>
        <w:br/>
      </w:r>
      <w:r>
        <w:rPr>
          <w:rFonts w:ascii="Arial" w:hAnsi="Arial" w:cs="Arial"/>
          <w:sz w:val="20"/>
        </w:rPr>
        <w:br/>
        <w:t xml:space="preserve">Применение особых видов пошлин осуществляется Правительством РФ на основе закона “О таможенном тарифе”, в котором указано, что в целях защиты экономических интересов России к ввозимым товарам могут временно применяться перечисленные выше виды пошлин. Ставки соответствующих пошлин устанавливаются Правительством РФ по итогам проведенных расследований, и их размер должен быть соотносим с величиной демпингового занижения цены, субсидий и выявленного ущерба. Расследование на предмет введения специальных пошлин должно быть проведено в течение двух месяцев со дня принятия заявления. Если речь идет о демпинговом занижении цен или субсидировании ввозимых конкурирующих товаров, то расследование должно быть завершено в течение 6 месяцев. В особых случаях срок расследования может быть продлен Комиссией, но не более чем до 18 месяцев. </w:t>
      </w:r>
      <w:r>
        <w:rPr>
          <w:rFonts w:ascii="Arial" w:hAnsi="Arial" w:cs="Arial"/>
          <w:sz w:val="20"/>
        </w:rPr>
        <w:br/>
      </w:r>
      <w:r>
        <w:rPr>
          <w:rFonts w:ascii="Arial" w:hAnsi="Arial" w:cs="Arial"/>
          <w:sz w:val="20"/>
        </w:rPr>
        <w:br/>
        <w:t xml:space="preserve">Ставки ввозных таможенных пошлин распределяют ввозимые товары по </w:t>
      </w:r>
      <w:r>
        <w:rPr>
          <w:rFonts w:ascii="Arial" w:hAnsi="Arial" w:cs="Arial"/>
          <w:sz w:val="20"/>
        </w:rPr>
        <w:br/>
      </w:r>
      <w:r>
        <w:rPr>
          <w:rFonts w:ascii="Arial" w:hAnsi="Arial" w:cs="Arial"/>
          <w:sz w:val="20"/>
        </w:rPr>
        <w:br/>
        <w:t xml:space="preserve">производственному признаку, т.е. товары, относящиеся к одинаковым производствам, объединены в группы товаров, в соответствии с классификацией ТН ВЭД. Это облегчает применять таможенные тарифы исходя из принципа: уровень налогообложения ввозимого товара увеличивается одновременно с увеличением степени обработки товара. При этом цель таможенного тарифа состоит в обеспечении таможенной защитой национального производителя товара от проникновения на рынок государства иностранного аналогичного товара. Величина действительной ставки ввозной таможенной пошлины с учетом ее защитного фактора оказывается тем больше, чем выше разница между величинами ставки ввозной таможенной пошлины на готовое изделие и сырье и чем большая доля сырья входит в готовое изделие. </w:t>
      </w:r>
      <w:r>
        <w:rPr>
          <w:rFonts w:ascii="Arial" w:hAnsi="Arial" w:cs="Arial"/>
          <w:sz w:val="20"/>
        </w:rPr>
        <w:br/>
      </w:r>
      <w:r>
        <w:rPr>
          <w:rFonts w:ascii="Arial" w:hAnsi="Arial" w:cs="Arial"/>
          <w:sz w:val="20"/>
        </w:rPr>
        <w:br/>
        <w:t xml:space="preserve">Уровень действительной таможенной защиты (уровень эффективного протекцио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Q=Т-А1Т1/1-А1&lt;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где: </w:t>
      </w:r>
      <w:r>
        <w:rPr>
          <w:rFonts w:ascii="Arial" w:hAnsi="Arial" w:cs="Arial"/>
          <w:b/>
          <w:bCs/>
          <w:sz w:val="20"/>
        </w:rPr>
        <w:t>Т</w:t>
      </w:r>
      <w:r>
        <w:rPr>
          <w:rFonts w:ascii="Arial" w:hAnsi="Arial" w:cs="Arial"/>
          <w:sz w:val="20"/>
        </w:rPr>
        <w:t xml:space="preserve">- номинальный уровень таможенной пошлины на импорт конечного продукта (готового изделия), </w:t>
      </w:r>
      <w:r>
        <w:rPr>
          <w:rFonts w:ascii="Arial" w:hAnsi="Arial" w:cs="Arial"/>
          <w:b/>
          <w:bCs/>
          <w:sz w:val="20"/>
        </w:rPr>
        <w:t>А1</w:t>
      </w:r>
      <w:r>
        <w:rPr>
          <w:rFonts w:ascii="Arial" w:hAnsi="Arial" w:cs="Arial"/>
          <w:sz w:val="20"/>
        </w:rPr>
        <w:t xml:space="preserve">-доля стоимости импортированного сырья в цене конечного продукта (готового изделия) в условиях отсутствия ставки ввозной таможенной пошлины на импорт конечного продукта (готового изделия), </w:t>
      </w:r>
      <w:r>
        <w:rPr>
          <w:rFonts w:ascii="Arial" w:hAnsi="Arial" w:cs="Arial"/>
          <w:b/>
          <w:bCs/>
          <w:sz w:val="20"/>
        </w:rPr>
        <w:t>Т1</w:t>
      </w:r>
      <w:r>
        <w:rPr>
          <w:rFonts w:ascii="Arial" w:hAnsi="Arial" w:cs="Arial"/>
          <w:sz w:val="20"/>
        </w:rPr>
        <w:t xml:space="preserve">- номинальный тариф на ввозимое сырье для производства конечного продукта (готового изделия). </w:t>
      </w:r>
      <w:r>
        <w:rPr>
          <w:rFonts w:ascii="Arial" w:hAnsi="Arial" w:cs="Arial"/>
          <w:sz w:val="20"/>
        </w:rPr>
        <w:br/>
      </w:r>
      <w:r>
        <w:rPr>
          <w:rFonts w:ascii="Arial" w:hAnsi="Arial" w:cs="Arial"/>
          <w:sz w:val="20"/>
        </w:rPr>
        <w:br/>
        <w:t xml:space="preserve">Анализ рассматриваемой формулы показывает, что уровень защиты национального рынка товара аналогичного импортируемому повышается не только по мере увеличения разницы в величинах ввозных таможенных пошлин на сырье и конечный продукт (готовое изделие), но и по мере понижения степени обработки конечного товара (готового изделия) путем уменьшения добавленной стоимости. В рассматриваемом случае это недопустимо по отношению к товарам, происходящих с территории развивающихся стран, которые стремятся к постепенному повышению степени обработки вывозимого сырья, учитывая в конечном счете производство готового изделия как статьи национального экспорта. </w:t>
      </w:r>
      <w:r>
        <w:rPr>
          <w:rFonts w:ascii="Arial" w:hAnsi="Arial" w:cs="Arial"/>
          <w:sz w:val="20"/>
        </w:rPr>
        <w:br/>
      </w:r>
      <w:r>
        <w:rPr>
          <w:rFonts w:ascii="Arial" w:hAnsi="Arial" w:cs="Arial"/>
          <w:sz w:val="20"/>
        </w:rPr>
        <w:br/>
        <w:t xml:space="preserve">Номинальный уровень ввозной таможенной пошлины определяется исходя из общей цены конечного продукта (готового изделия). Это имеет особое значение для потребителя данного товара в стране импорта такого товара. Уровень действительной или эффективной таможенной защиты имеет большое значение для национального производителя товара аналогичного ввозимому на таможенную территорию государства. Исходя из изложенного, необходимо упомянуть, что уровень импортного таможенного тарифа не одинаков в странах мира и налицо постепенное уменьшение величины ставок ввозных таможенных пошлин с 30-40% в 50-х годах до 5-6% и менее в настоящее время. </w:t>
      </w:r>
      <w:r>
        <w:rPr>
          <w:rFonts w:ascii="Arial" w:hAnsi="Arial" w:cs="Arial"/>
          <w:sz w:val="20"/>
        </w:rPr>
        <w:br/>
      </w:r>
      <w:r>
        <w:rPr>
          <w:rFonts w:ascii="Arial" w:hAnsi="Arial" w:cs="Arial"/>
          <w:sz w:val="20"/>
        </w:rPr>
        <w:br/>
        <w:t xml:space="preserve">Постановление Правительства Российской Федерации от 28.02.95 года № 190 "0 принципах рационализации таможенного тарифа" установило максимальные ставки ввозных таможенных пошлин в размере 30 процентов от таможенной стоимости товаров (за исключением подакцизных товаров), а минимальные - в размере 5 процентов, сократив долю не облагаемых пошлинами товаров на 45-50 процентов, а также расширив номенклатуру товаров, в отношении которых применяются комбинированные ставки ввозных таможенных пошлин. </w:t>
      </w:r>
      <w:r>
        <w:rPr>
          <w:rFonts w:ascii="Arial" w:hAnsi="Arial" w:cs="Arial"/>
          <w:sz w:val="20"/>
        </w:rPr>
        <w:br/>
      </w:r>
      <w:r>
        <w:rPr>
          <w:rFonts w:ascii="Arial" w:hAnsi="Arial" w:cs="Arial"/>
          <w:sz w:val="20"/>
        </w:rPr>
        <w:br/>
        <w:t xml:space="preserve">Под комбинированные ставки подпали многие продукты питания. Однако, в этом случае импортер после увеличения таможенных пошлин вынужден также увеличивать цены. Это позволяет отечественным производителям продуктов питания “подтянуть” собственные цены до уровня цен на импортные товары. Тем самым, удорожание импорта не ведет к сокращению его объема, а только увеличивает цены на товары (импортные и отечественные), подвергшиеся обложению комбинированными пошлинами, в результате чего страдает рядовой российский потребитель. </w:t>
      </w:r>
      <w:r>
        <w:rPr>
          <w:rFonts w:ascii="Arial" w:hAnsi="Arial" w:cs="Arial"/>
          <w:sz w:val="20"/>
        </w:rPr>
        <w:br/>
      </w:r>
      <w:r>
        <w:rPr>
          <w:rFonts w:ascii="Arial" w:hAnsi="Arial" w:cs="Arial"/>
          <w:sz w:val="20"/>
        </w:rPr>
        <w:br/>
        <w:t xml:space="preserve">В целом в отношении продуктов питания можно сделать вывод, что уровень таможенной защиты национального производителя аналогичных продуктов питания является высоким, в результате чего для внутренних цен на продукты питания отечественных производителей характерна тенденция к росту и последующему удорожанию отечественного производства аналогичных товаров. Субсидирование для защиты внутреннего рынка сельскохозяйственных продуктов приводит к повышению ставки ввозной таможенной пошлины и последующему удорожанию импорта такой продукции, что в конечном счете приводит к росту цен на такие товары на внутреннем рынке. </w:t>
      </w:r>
      <w:r>
        <w:rPr>
          <w:rFonts w:ascii="Arial" w:hAnsi="Arial" w:cs="Arial"/>
          <w:sz w:val="20"/>
        </w:rPr>
        <w:br/>
      </w:r>
      <w:r>
        <w:rPr>
          <w:rFonts w:ascii="Arial" w:hAnsi="Arial" w:cs="Arial"/>
          <w:sz w:val="20"/>
        </w:rPr>
        <w:br/>
        <w:t xml:space="preserve">На мой взгляд, следует отказаться от практики субсидирования внутреннего рынка, как метода, удорожающего импортируемый товар на внутреннем рынке, а также повышающего цены на аналогичный отечественный товар. Это необходимо осуществить в связи с тем, что наша страна подала заявку на вступление во Всемирную торговую организацию-правопреемника ГАТТ, в положениях которого запрещено применение внутреннего субсидирования в случае, если оно наносит ущерб импортеру товара, приводящего к удорожанию ввозимого товара на внутреннем рынке страны-рецепиента. </w:t>
      </w:r>
      <w:r>
        <w:rPr>
          <w:rFonts w:ascii="Arial" w:hAnsi="Arial" w:cs="Arial"/>
          <w:sz w:val="20"/>
        </w:rPr>
        <w:br/>
      </w:r>
      <w:r>
        <w:rPr>
          <w:rFonts w:ascii="Arial" w:hAnsi="Arial" w:cs="Arial"/>
          <w:sz w:val="20"/>
        </w:rPr>
        <w:br/>
        <w:t xml:space="preserve">Говоря в целом об импортном таможенном тарифе, нужно отметить, что </w:t>
      </w:r>
      <w:r>
        <w:rPr>
          <w:rFonts w:ascii="Arial" w:hAnsi="Arial" w:cs="Arial"/>
          <w:sz w:val="20"/>
        </w:rPr>
        <w:br/>
      </w:r>
      <w:r>
        <w:rPr>
          <w:rFonts w:ascii="Arial" w:hAnsi="Arial" w:cs="Arial"/>
          <w:sz w:val="20"/>
        </w:rPr>
        <w:br/>
        <w:t xml:space="preserve">средневзвешенная ставка импортного тарифа на сегодняшний день составляет 14 % от мирового уровня, в результате чего наша страна находится на 15 месте в мире по применению ставки ввозной таможенной пошлины. (в странах-членах ВТО и ЕЭС она составляет 5-6%).В связи с этим Правительством Российской Федерации введен индикативный график поэтапного снижения ввозных таможенных пошлин на период 1996-2000 годов по укрупненным товарным группам: с 01.01.1998 года максимальная ставка импортного тарифа составляет 20 %, а с 2000 г. должна составлять - 15% .При этом средневзвешенная ставка импортного тарифа в 1998 году составляет 80 % от уровня 1995 года, а к 2000 году она должна составлять 70% от уровня 1995 года. </w:t>
      </w:r>
      <w:r>
        <w:rPr>
          <w:rFonts w:ascii="Arial" w:hAnsi="Arial" w:cs="Arial"/>
          <w:sz w:val="20"/>
        </w:rPr>
        <w:br/>
      </w:r>
      <w:r>
        <w:rPr>
          <w:rFonts w:ascii="Arial" w:hAnsi="Arial" w:cs="Arial"/>
          <w:sz w:val="20"/>
        </w:rPr>
        <w:br/>
        <w:t xml:space="preserve">Одним из элементов тарифного регулирования ВЭД является таможенная стоимость, которая лежит в основе оценки товара, ввозимого на территорию нашей страны, и который облагается пошлиной. При этом, исходя из положения п.2 (а) ст.8 "Оценка товара для таможенных целей" Генерального Соглашения по тарифам и торговле (ГАТТ) 1947 года, таможенная стоимость рассматривается как "действительная стоимость" товара, под которой понимается "цена, по которой во время и в месте, определенных законодательством страны импортера, такой или аналогичный товар продается или предлагается для продажи при нормальном ходе торговли в условиях свободной конкуренции". Таможенная (действительная) стоимость определяется на основании Порядка определения таможенной стоимости, устанавливаемом Правительством Российской Федерации. </w:t>
      </w:r>
      <w:r>
        <w:rPr>
          <w:rFonts w:ascii="Arial" w:hAnsi="Arial" w:cs="Arial"/>
          <w:sz w:val="20"/>
        </w:rPr>
        <w:br/>
      </w:r>
      <w:r>
        <w:rPr>
          <w:rFonts w:ascii="Arial" w:hAnsi="Arial" w:cs="Arial"/>
          <w:sz w:val="20"/>
        </w:rPr>
        <w:br/>
        <w:t xml:space="preserve">Статья 18 Закона "О таможенном тарифе" устанавливает, что "определение таможенной стоимости товаров, ввозимых на таможенную территорию Российской Федерации, производится путем применения следующих методов: </w:t>
      </w:r>
    </w:p>
    <w:p w:rsidR="00FD64D5" w:rsidRDefault="00FD64D5">
      <w:pPr>
        <w:numPr>
          <w:ilvl w:val="0"/>
          <w:numId w:val="21"/>
        </w:numPr>
        <w:spacing w:before="100" w:beforeAutospacing="1" w:after="100" w:afterAutospacing="1"/>
        <w:jc w:val="both"/>
        <w:rPr>
          <w:rFonts w:ascii="Arial" w:hAnsi="Arial" w:cs="Arial"/>
          <w:sz w:val="20"/>
        </w:rPr>
      </w:pPr>
      <w:r>
        <w:rPr>
          <w:rFonts w:ascii="Arial" w:hAnsi="Arial" w:cs="Arial"/>
          <w:sz w:val="20"/>
        </w:rPr>
        <w:t xml:space="preserve">Метод по цене сделки с ввозимыми товарами. </w:t>
      </w:r>
    </w:p>
    <w:p w:rsidR="00FD64D5" w:rsidRDefault="00FD64D5">
      <w:pPr>
        <w:numPr>
          <w:ilvl w:val="0"/>
          <w:numId w:val="21"/>
        </w:numPr>
        <w:spacing w:before="100" w:beforeAutospacing="1" w:after="100" w:afterAutospacing="1"/>
        <w:jc w:val="both"/>
        <w:rPr>
          <w:rFonts w:ascii="Arial" w:hAnsi="Arial" w:cs="Arial"/>
          <w:sz w:val="20"/>
        </w:rPr>
      </w:pPr>
      <w:r>
        <w:rPr>
          <w:rFonts w:ascii="Arial" w:hAnsi="Arial" w:cs="Arial"/>
          <w:sz w:val="20"/>
        </w:rPr>
        <w:t xml:space="preserve">Метод по цене сделки с идентичными товарами. </w:t>
      </w:r>
    </w:p>
    <w:p w:rsidR="00FD64D5" w:rsidRDefault="00FD64D5">
      <w:pPr>
        <w:numPr>
          <w:ilvl w:val="0"/>
          <w:numId w:val="21"/>
        </w:numPr>
        <w:spacing w:before="100" w:beforeAutospacing="1" w:after="100" w:afterAutospacing="1"/>
        <w:jc w:val="both"/>
        <w:rPr>
          <w:rFonts w:ascii="Arial" w:hAnsi="Arial" w:cs="Arial"/>
          <w:sz w:val="20"/>
        </w:rPr>
      </w:pPr>
      <w:r>
        <w:rPr>
          <w:rFonts w:ascii="Arial" w:hAnsi="Arial" w:cs="Arial"/>
          <w:sz w:val="20"/>
        </w:rPr>
        <w:t xml:space="preserve">Метод по цене сделки с однородными товарами. </w:t>
      </w:r>
    </w:p>
    <w:p w:rsidR="00FD64D5" w:rsidRDefault="00FD64D5">
      <w:pPr>
        <w:numPr>
          <w:ilvl w:val="0"/>
          <w:numId w:val="21"/>
        </w:numPr>
        <w:spacing w:before="100" w:beforeAutospacing="1" w:after="100" w:afterAutospacing="1"/>
        <w:jc w:val="both"/>
        <w:rPr>
          <w:rFonts w:ascii="Arial" w:hAnsi="Arial" w:cs="Arial"/>
          <w:sz w:val="20"/>
        </w:rPr>
      </w:pPr>
      <w:r>
        <w:rPr>
          <w:rFonts w:ascii="Arial" w:hAnsi="Arial" w:cs="Arial"/>
          <w:sz w:val="20"/>
        </w:rPr>
        <w:t xml:space="preserve">Метод вычитания стоимости. </w:t>
      </w:r>
    </w:p>
    <w:p w:rsidR="00FD64D5" w:rsidRDefault="00FD64D5">
      <w:pPr>
        <w:numPr>
          <w:ilvl w:val="0"/>
          <w:numId w:val="21"/>
        </w:numPr>
        <w:spacing w:before="100" w:beforeAutospacing="1" w:after="100" w:afterAutospacing="1"/>
        <w:jc w:val="both"/>
        <w:rPr>
          <w:rFonts w:ascii="Arial" w:hAnsi="Arial" w:cs="Arial"/>
          <w:sz w:val="20"/>
        </w:rPr>
      </w:pPr>
      <w:r>
        <w:rPr>
          <w:rFonts w:ascii="Arial" w:hAnsi="Arial" w:cs="Arial"/>
          <w:sz w:val="20"/>
        </w:rPr>
        <w:t xml:space="preserve">Метод сложения стоимости. </w:t>
      </w:r>
    </w:p>
    <w:p w:rsidR="00FD64D5" w:rsidRDefault="00FD64D5">
      <w:pPr>
        <w:numPr>
          <w:ilvl w:val="0"/>
          <w:numId w:val="21"/>
        </w:numPr>
        <w:spacing w:before="100" w:beforeAutospacing="1" w:after="100" w:afterAutospacing="1"/>
        <w:jc w:val="both"/>
        <w:rPr>
          <w:rFonts w:ascii="Arial" w:hAnsi="Arial" w:cs="Arial"/>
          <w:sz w:val="20"/>
        </w:rPr>
      </w:pPr>
      <w:r>
        <w:rPr>
          <w:rFonts w:ascii="Arial" w:hAnsi="Arial" w:cs="Arial"/>
          <w:sz w:val="20"/>
        </w:rPr>
        <w:t xml:space="preserve">Резервный метод. </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 xml:space="preserve">Основным методом определения таможенной стоимости является метод по цене сделки с ввозимыми товарами. При этом законодатель установил, что в случае невозможности применения основного метода, декларант и таможенный орган вправе применить последовательно каждый из перечисленных методов, если таможенная стоимость декларируемого товара не может быть определена путем использования каждого предыдущего метода.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r>
        <w:rPr>
          <w:rFonts w:ascii="Arial" w:hAnsi="Arial" w:cs="Arial"/>
          <w:b/>
          <w:bCs/>
          <w:sz w:val="20"/>
          <w:u w:val="single"/>
        </w:rPr>
        <w:t>2. Порядок заключения договора. Оферта и акцент. Момент и место заключения договора.</w:t>
      </w:r>
    </w:p>
    <w:p w:rsidR="00FD64D5" w:rsidRDefault="00FD64D5">
      <w:pPr>
        <w:jc w:val="both"/>
        <w:rPr>
          <w:rFonts w:ascii="Arial" w:hAnsi="Arial" w:cs="Arial"/>
          <w:sz w:val="20"/>
        </w:rPr>
      </w:pPr>
    </w:p>
    <w:p w:rsidR="00FD64D5" w:rsidRDefault="00FD64D5">
      <w:pPr>
        <w:pStyle w:val="a3"/>
        <w:jc w:val="both"/>
        <w:rPr>
          <w:rFonts w:ascii="Arial" w:hAnsi="Arial" w:cs="Arial"/>
          <w:color w:val="333333"/>
          <w:sz w:val="20"/>
          <w:szCs w:val="22"/>
        </w:rPr>
      </w:pPr>
      <w:r>
        <w:rPr>
          <w:rFonts w:ascii="Arial" w:hAnsi="Arial" w:cs="Arial"/>
          <w:b/>
          <w:bCs/>
          <w:color w:val="333333"/>
          <w:sz w:val="20"/>
          <w:szCs w:val="22"/>
        </w:rPr>
        <w:t>Статья 454. Договор купли-продажи</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К купле-продаже ценных бумаг и валютных ценностей положения, предусмотренные настоящим параграфом, применяются, если законом не установлены специальные правила их купли-продажи.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4. Положения, предусмотренные настоящим параграфом, применяются к продаже имущественных прав, если иное не вытекает из содержания или характера этих прав. </w:t>
      </w:r>
    </w:p>
    <w:p w:rsidR="00FD64D5" w:rsidRDefault="00FD64D5">
      <w:pPr>
        <w:pStyle w:val="a3"/>
        <w:jc w:val="both"/>
        <w:rPr>
          <w:rFonts w:ascii="Arial" w:hAnsi="Arial" w:cs="Arial"/>
          <w:color w:val="333333"/>
          <w:sz w:val="20"/>
          <w:szCs w:val="22"/>
        </w:rPr>
      </w:pPr>
      <w:r>
        <w:rPr>
          <w:rFonts w:ascii="Arial" w:hAnsi="Arial" w:cs="Arial"/>
          <w:color w:val="333333"/>
          <w:sz w:val="20"/>
          <w:szCs w:val="22"/>
        </w:rP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FD64D5" w:rsidRDefault="00FD64D5">
      <w:pPr>
        <w:jc w:val="both"/>
        <w:rPr>
          <w:rFonts w:ascii="Arial" w:hAnsi="Arial" w:cs="Arial"/>
          <w:sz w:val="20"/>
        </w:rPr>
      </w:pPr>
    </w:p>
    <w:p w:rsidR="00FD64D5" w:rsidRDefault="00FD64D5">
      <w:pPr>
        <w:pStyle w:val="a3"/>
        <w:jc w:val="both"/>
        <w:rPr>
          <w:rFonts w:ascii="Arial" w:hAnsi="Arial" w:cs="Arial"/>
          <w:color w:val="333333"/>
          <w:sz w:val="20"/>
          <w:szCs w:val="22"/>
        </w:rPr>
      </w:pPr>
      <w:r>
        <w:rPr>
          <w:rFonts w:ascii="Arial" w:hAnsi="Arial" w:cs="Arial"/>
          <w:b/>
          <w:bCs/>
          <w:color w:val="333333"/>
          <w:sz w:val="20"/>
          <w:szCs w:val="22"/>
        </w:rPr>
        <w:t>Статья 432. Основные положения о заключении договора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Договор заключается посредством направления оферты (предложения заключить договор) одной из сторон и ее акцепта (принятия предложения) другой стороной.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433. Момент заключения договора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Договор признается заключенным в момент получения лицом, направившим оферту, ее акцепта.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(статья </w:t>
      </w:r>
      <w:r w:rsidRPr="00EB35DF">
        <w:rPr>
          <w:rFonts w:ascii="Arial" w:hAnsi="Arial" w:cs="Arial"/>
          <w:b/>
          <w:bCs/>
          <w:color w:val="333333"/>
          <w:sz w:val="20"/>
          <w:szCs w:val="22"/>
        </w:rPr>
        <w:t>224</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Договор, подлежащий государственной регистрации, считается заключенным с момента его регистрации, если иное не установлено законом.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434. Форма договора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Договор может быть заключен в любой форме, предусмотренной для совершения сделок, если законом для договоров данного вида не установлена определенная форма.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Договор в письменной форме может быть заключен путем составления одного документа, подписанного сторонами, а также путем обмена документами посредством почтовой, телеграфной, телетайпной, телефонной, электронной или иной связи, позволяющей достоверно установить, что документ исходит от стороны по договору.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Письменная форма договора считается соблюденной, если письменное предложение заключить договор принято в порядке, предусмотренном пунктом 3 статьи </w:t>
      </w:r>
      <w:r w:rsidRPr="00EB35DF">
        <w:rPr>
          <w:rFonts w:ascii="Arial" w:hAnsi="Arial" w:cs="Arial"/>
          <w:b/>
          <w:bCs/>
          <w:color w:val="333333"/>
          <w:sz w:val="20"/>
          <w:szCs w:val="22"/>
        </w:rPr>
        <w:t>438</w:t>
      </w:r>
      <w:r>
        <w:rPr>
          <w:rFonts w:ascii="Arial" w:hAnsi="Arial" w:cs="Arial"/>
          <w:color w:val="333333"/>
          <w:sz w:val="20"/>
          <w:szCs w:val="22"/>
        </w:rPr>
        <w:t xml:space="preserve"> настоящего Кодекса.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435. Оферта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Оферта должна содержать существенные условия договора.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Оферта связывает направившее ее лицо с момента ее получения адресатом.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Если извещение об отзыве оферты поступило ранее или одновременно с самой офертой, оферта считается не полученной.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436. Безотзывность оферты</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437. Приглашение делать оферты. Публичная оферта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438. Акцепт</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Акцептом признается ответ лица, которому адресована оферта, о ее принятии.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Акцепт должен быть полным и безоговорочным.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Молчание не является акцептом, если иное не вытекает из закона, обычая делового оборота или из прежних деловых отношений сторон.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439. Отзыв акцепта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Если извещение об отзыве акцепта поступило лицу, направившему оферту, ранее акцепта или одновременно с ним, акцепт считается не полученным.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440. Заключение договора на основании оферты, определяющей срок для акцепта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Когда в оферте определен срок для акцепта, договор считается заключенным, если акцепт получен лицом, направившим оферту, в пределах указанного в ней срока.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441. Заключение договора на основании оферты, не определяющей срок для акцепта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течение нормально необходимого для этого времени.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Когда оферта сделана устно без указания срока для акцепта, договор считается заключенным, если другая сторона немедленно заявила о ее акцепте.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442. Акцепт, полученный с опозданием</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Если сторона, направившая оферту, немедленно сообщит другой стороне о принятии ее акцепта, полученного с опозданием, договор считается заключенным.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443. Акцепт на иных условиях</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Ответ о согласии заключить договор на иных условиях, чем предложено в оферте, не является акцептом.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Такой ответ признается отказом от акцепта и в то же время новой офертой.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444. Место заключения договора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Если в договоре не указано место его заключения, договор признается заключенным в месте жительства гражданина или месте нахождения юридического лица, направившего оферту.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445. Заключение договора в обязательном порядке</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дней со дня получения оферты.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Правила о сроках, предусмотренные пунктами 1 и 2 настоящей статьи, применяются, если другие сроки не установлены законом, иными правовыми актами или не согласованы сторонами.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обратиться в суд с требованием о понуждении заключить договор.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Сторона, необоснованно уклоняющаяся от заключения договора, должна возместить другой стороне причиненные этим убытки.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446. Преддоговорные споры</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В случаях передачи разногласий, возникших при заключении договора, на рассмотрение суда на основании статьи </w:t>
      </w:r>
      <w:r w:rsidRPr="00EB35DF">
        <w:rPr>
          <w:rFonts w:ascii="Arial" w:hAnsi="Arial" w:cs="Arial"/>
          <w:b/>
          <w:bCs/>
          <w:color w:val="333333"/>
          <w:sz w:val="20"/>
          <w:szCs w:val="22"/>
        </w:rPr>
        <w:t>445</w:t>
      </w:r>
      <w:r>
        <w:rPr>
          <w:rFonts w:ascii="Arial" w:hAnsi="Arial" w:cs="Arial"/>
          <w:color w:val="333333"/>
          <w:sz w:val="20"/>
          <w:szCs w:val="22"/>
        </w:rP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447. Заключение договора на торгах</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Договор, если иное не вытекает из его существа, может быть заключен путем проведения торгов. Договор заключается с лицом, выигравшим торги.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В качестве организатора торгов может выступать собственник вещи или обладатель имущественного права либо специализированная организация. Специализированная организация действует на основании договора с собственником вещи или обладателем имущественного права и выступает от их имени или от своего имени.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В случаях, указанных в настоящем Кодексе или ином законе, договоры о продаже вещи или имущественного права могут быть заключены только путем проведения торгов.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4. Торги проводятся в форме аукциона или конкурса.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Форма торгов определяется собственником продаваемой вещи или обладателем реализуемого имущественного права, если иное не предусмотрено законом.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5. Аукцион и конкурс, в которых участвовал только один участник, признаются несостоявшимися.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6. Правила, предусмотренные статьями </w:t>
      </w:r>
      <w:r w:rsidRPr="00EB35DF">
        <w:rPr>
          <w:rFonts w:ascii="Arial" w:hAnsi="Arial" w:cs="Arial"/>
          <w:b/>
          <w:bCs/>
          <w:color w:val="333333"/>
          <w:sz w:val="20"/>
          <w:szCs w:val="22"/>
        </w:rPr>
        <w:t>448</w:t>
      </w:r>
      <w:r>
        <w:rPr>
          <w:rFonts w:ascii="Arial" w:hAnsi="Arial" w:cs="Arial"/>
          <w:color w:val="333333"/>
          <w:sz w:val="20"/>
          <w:szCs w:val="22"/>
        </w:rPr>
        <w:t xml:space="preserve"> и </w:t>
      </w:r>
      <w:r w:rsidRPr="00EB35DF">
        <w:rPr>
          <w:rFonts w:ascii="Arial" w:hAnsi="Arial" w:cs="Arial"/>
          <w:b/>
          <w:bCs/>
          <w:color w:val="333333"/>
          <w:sz w:val="20"/>
          <w:szCs w:val="22"/>
        </w:rPr>
        <w:t>449</w:t>
      </w:r>
      <w:r>
        <w:rPr>
          <w:rFonts w:ascii="Arial" w:hAnsi="Arial" w:cs="Arial"/>
          <w:color w:val="333333"/>
          <w:sz w:val="20"/>
          <w:szCs w:val="22"/>
        </w:rPr>
        <w:t xml:space="preserve"> настоящего Кодекса, применяются к публичным торгам, проводимым в порядке исполнения решения суда, если иное не предусмотрено процессуальным законодательством.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448. Организация и порядок проведения торгов</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Аукционы и конкурсы могут быть открытыми и закрытыми.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Если иное не предусмотрено законом, извещение о проведении торгов должно быть сделано организатором не менее чем за тридцать дней до их проведения. Извещение должно содержать во всяком случае сведения о времени, месте и форме торгов, их предмете и порядке проведения, в том числе об оформлении участия в торгах, определении лица, выигравшего торги, а также сведения о начальной цене.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В случае, если предметом торгов является только право на заключение договора, в извещении о предстоящих торгах должен быть указан предоставляемый для этого срок.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Если иное не предусмотрено в законе или в извещении о проведении торгов, организатор открытых торгов, сделавший извещение, вправе отказаться от проведения аукциона в любое время, но не позднее чем за три дня до наступления даты его проведения, а конкурса - не позднее чем за тридцать дней до проведения конкурса.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В случаях, когда организатор открытых торгов отказался от их проведения с нарушением указанных сроков, он обязан возместить участникам понесенный ими реальный ущерб.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торгов.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4. Участники торгов вносят задаток в размере, сроки и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При заключении договора с лицом, выигравшим торги, сумма внесенного им задатка засчитывается в счет исполнения обязательств по заключенному договору.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5.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 Лицо, выигравшее торги, при уклонении от подписания протокола утрачивает внесенный им задаток. Организатор торгов, уклонившийся от подписания протокола, обязан возвратить задаток в двойном размере, а также возместить лицу, выигравшему торги, убытки, причиненные участием в торгах, в части, превышающей сумму задатка.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Если предметом торгов было только право на заключение договора, такой договор должен быть подписан сторонами не позднее двадцати дней или иного указанного в извещении срока после завершения торгов и оформления протокола. В случае уклонения одной из них от заключения договора другая сторона вправе обратиться в суд с требованием о понуждении заключить договор, а также о возмещении убытков, причиненных уклонением от его заключения. </w:t>
      </w:r>
    </w:p>
    <w:p w:rsidR="00FD64D5" w:rsidRDefault="00FD64D5">
      <w:pPr>
        <w:pStyle w:val="a3"/>
        <w:jc w:val="both"/>
        <w:rPr>
          <w:rFonts w:ascii="Arial" w:hAnsi="Arial" w:cs="Arial"/>
          <w:color w:val="333333"/>
          <w:sz w:val="20"/>
          <w:szCs w:val="22"/>
        </w:rPr>
      </w:pPr>
      <w:r>
        <w:rPr>
          <w:rFonts w:ascii="Arial" w:hAnsi="Arial" w:cs="Arial"/>
          <w:color w:val="333333"/>
          <w:sz w:val="20"/>
          <w:szCs w:val="22"/>
        </w:rPr>
        <w:br/>
      </w:r>
      <w:r>
        <w:rPr>
          <w:rFonts w:ascii="Arial" w:hAnsi="Arial" w:cs="Arial"/>
          <w:b/>
          <w:bCs/>
          <w:color w:val="333333"/>
          <w:sz w:val="20"/>
          <w:szCs w:val="22"/>
        </w:rPr>
        <w:t>Статья 449. Последствия нарушения правил проведения торгов</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Торги, проведенные с нарушением правил, установленных законом, могут быть признаны судом недействительными по иску заинтересованного лица.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Признание торгов недействительными влечет недействительность договора, заключенного с лицом, выигравшим торги.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3. Представительство и доверенность по ГК РФ 1994г.</w:t>
      </w:r>
    </w:p>
    <w:p w:rsidR="00FD64D5" w:rsidRDefault="00FD64D5">
      <w:pPr>
        <w:jc w:val="both"/>
        <w:rPr>
          <w:rFonts w:ascii="Arial" w:hAnsi="Arial" w:cs="Arial"/>
          <w:sz w:val="20"/>
        </w:rPr>
      </w:pPr>
    </w:p>
    <w:p w:rsidR="00FD64D5" w:rsidRDefault="00FD64D5">
      <w:pPr>
        <w:jc w:val="both"/>
        <w:rPr>
          <w:rFonts w:ascii="Arial" w:hAnsi="Arial" w:cs="Arial"/>
          <w:sz w:val="20"/>
        </w:rPr>
      </w:pPr>
      <w:r>
        <w:rPr>
          <w:rFonts w:ascii="Arial" w:hAnsi="Arial" w:cs="Arial"/>
          <w:sz w:val="20"/>
        </w:rPr>
        <w:t>Понятие "доверенность" неразрывно связано с понятием "Представительство" и регламентируется главой 4 Гражданского кодекса Украины, статьями от 62 до 70.</w:t>
      </w:r>
      <w:r>
        <w:rPr>
          <w:rFonts w:ascii="Arial" w:hAnsi="Arial" w:cs="Arial"/>
          <w:sz w:val="20"/>
        </w:rPr>
        <w:br/>
        <w:t>     ПРЕДСТАВИТЕЛЬСТВО - правоотношение, в соответствии с которым одно лицо (Представитель) на основании имеющегося у него полномочия выступает от имени другого лица (Представляемого).</w:t>
      </w:r>
      <w:r>
        <w:rPr>
          <w:rFonts w:ascii="Arial" w:hAnsi="Arial" w:cs="Arial"/>
          <w:sz w:val="20"/>
        </w:rPr>
        <w:br/>
        <w:t>     ПРЕДСТАВИТЕЛЬСТВО ЗАКОННОЕ, например, опекуны и родители от имени недееспособных лиц. (Номера 20’98, 21’98 и 2’99).</w:t>
      </w:r>
      <w:r>
        <w:rPr>
          <w:rFonts w:ascii="Arial" w:hAnsi="Arial" w:cs="Arial"/>
          <w:sz w:val="20"/>
        </w:rPr>
        <w:br/>
        <w:t>     УСТАВНОЕ ПРЕДСТАВИТЕЛЬСТВО, например, директор, в силу Устава или Положения, действующий от имени юридического лица.</w:t>
      </w:r>
      <w:r>
        <w:rPr>
          <w:rFonts w:ascii="Arial" w:hAnsi="Arial" w:cs="Arial"/>
          <w:sz w:val="20"/>
        </w:rPr>
        <w:br/>
        <w:t>     ПРЕДСТАВИТЕЛЬСТВО ДОГОВОРНОЕ - возникающее в результате соглашения (путем получения ДОВЕРЕННОСТИ) между Представителем (Доверенным) и Представляемым (Доверителем). Таким образом, ДОВЕРЕННОСТЬ - письменное уполномочие, выдаваемое одним лицом другому лицу для представительства перед третьими лицами.</w:t>
      </w:r>
      <w:r>
        <w:rPr>
          <w:rFonts w:ascii="Arial" w:hAnsi="Arial" w:cs="Arial"/>
          <w:sz w:val="20"/>
        </w:rPr>
        <w:br/>
        <w:t xml:space="preserve">     Различают такие виды доверенности: </w:t>
      </w:r>
      <w:r>
        <w:rPr>
          <w:rFonts w:ascii="Arial" w:hAnsi="Arial" w:cs="Arial"/>
          <w:sz w:val="20"/>
        </w:rPr>
        <w:br/>
        <w:t>     РАЗОВАЯ - на совершение одного конкретного действия (например, на продажу конкретной квартиры или конкретного дома).</w:t>
      </w:r>
      <w:r>
        <w:rPr>
          <w:rFonts w:ascii="Arial" w:hAnsi="Arial" w:cs="Arial"/>
          <w:sz w:val="20"/>
        </w:rPr>
        <w:br/>
        <w:t>     СПЕЦИАЛЬНАЯ - на совершение каких-либо однородных действий (например, на получение пенсии лица, которому тяжело самому передвигаться).</w:t>
      </w:r>
      <w:r>
        <w:rPr>
          <w:rFonts w:ascii="Arial" w:hAnsi="Arial" w:cs="Arial"/>
          <w:sz w:val="20"/>
        </w:rPr>
        <w:br/>
        <w:t>     ГЕНЕРАЛЬНАЯ (ОБЩАЯ) - на общее управление имуществом Доверителя. Генеральная доверенность уполномочивает лицо на совершение не какой-либо отдельной сделки, а на совершение различных сделок. Например, лицо, отбывая в длительную командировку, может выдать Генеральную доверенность, на основании которой уполномоченное лицо (Доверенный) вправе заключать ВСЕ (!) разрешенные законом сделки по управлению и распоряжению имуществом: покупать, продавать, дарить, принимать в дар, обменивать, закладывать, принимать в заклад, принимать наследство, получать деньги за имущество и поступать с ними по своему усмотрению, распоряжаться всеми счетами, вести в суде все дела и т.д., и т.п.</w:t>
      </w:r>
      <w:r>
        <w:rPr>
          <w:rFonts w:ascii="Arial" w:hAnsi="Arial" w:cs="Arial"/>
          <w:sz w:val="20"/>
        </w:rPr>
        <w:br/>
        <w:t>     Закон требует, чтобы Доверенность была составлена ИСКЛЮЧИТЕЛЬНО(!) в письменной форме.</w:t>
      </w:r>
      <w:r>
        <w:rPr>
          <w:rFonts w:ascii="Arial" w:hAnsi="Arial" w:cs="Arial"/>
          <w:sz w:val="20"/>
        </w:rPr>
        <w:br/>
        <w:t>     В нашем случае - нотариальная форма удостоверении Доверенности. К нотариально удостоверенным доверенностям приравниваются:</w:t>
      </w:r>
      <w:r>
        <w:rPr>
          <w:rFonts w:ascii="Arial" w:hAnsi="Arial" w:cs="Arial"/>
          <w:sz w:val="20"/>
        </w:rPr>
        <w:br/>
        <w:t xml:space="preserve">     · Доверенности военнослужащих и других лиц, находящихся на излечении в госпиталях, санаториях и других военно-лечебных учреждениях, удостоверенные надлежащими лицами (ст.65 ГКУ). </w:t>
      </w:r>
      <w:r>
        <w:rPr>
          <w:rFonts w:ascii="Arial" w:hAnsi="Arial" w:cs="Arial"/>
          <w:sz w:val="20"/>
        </w:rPr>
        <w:br/>
        <w:t>     · Доверенности военнослужащих, а в пунктах, где нет нотариальных контор, также доверенности рабочих и служащих, членов семей военнослужащих, удостоверенные командирами этих воинских частей.</w:t>
      </w:r>
      <w:r>
        <w:rPr>
          <w:rFonts w:ascii="Arial" w:hAnsi="Arial" w:cs="Arial"/>
          <w:sz w:val="20"/>
        </w:rPr>
        <w:br/>
        <w:t>     · Доверенности лиц, находящихся в местах лишения свободы, удостоверенные начальниками мест лишения свободы.</w:t>
      </w:r>
      <w:r>
        <w:rPr>
          <w:rFonts w:ascii="Arial" w:hAnsi="Arial" w:cs="Arial"/>
          <w:sz w:val="20"/>
        </w:rPr>
        <w:br/>
        <w:t>     Доверенность должна иметь необходимые реквизиты: место составления, срок действия, фамилия, имя и отчество Доверителя и Доверенного, их адреса и главное - КРУГ ПОЛНОМОЧИЙ, которые должны быть изложены ЧЕТКО, ЯСНО и ОДНОЗНАЧНО. Например, в Доверенности (специальной) на продажу квартиры следует указать точный адрес квартиры, оговоренную цену и другие условия продажи или право Представителя продать квартиру "по цене и на условиях по его усмотрению", определить судьбу денег – получить их Представителю или перечислить на какой-либо счет, а также предусмотреть право Представителя получать необходимые справки и другие документы, необходимые для удостоверения Договора купли-продажи. Доверенность подписывается Доверителем лично. Если гражданин вследствие физических недостатков, болезни, неграмотности и других уважительных причин (например, слепота) не может собственноручно подписать Доверенность, то по его просьбе (в присутствии нотариуса или другого уполномоченного лица) этот документ может быть подписан другим гражданином, личность которого устанавливается и дееспособность проверяется. Неграмотному или слепому Доверенность прочитывается вслух.</w:t>
      </w:r>
      <w:r>
        <w:rPr>
          <w:rFonts w:ascii="Arial" w:hAnsi="Arial" w:cs="Arial"/>
          <w:sz w:val="20"/>
        </w:rPr>
        <w:br/>
        <w:t>     Максимальный срок действия доверенности - три года. Если в доверенности не указан срок действия, то такая доверенность сохраняет свою силу в течение года со дня выдачи.</w:t>
      </w:r>
      <w:r>
        <w:rPr>
          <w:rFonts w:ascii="Arial" w:hAnsi="Arial" w:cs="Arial"/>
          <w:sz w:val="20"/>
        </w:rPr>
        <w:br/>
        <w:t>     Действие доверенности может быть прекращено и до истечения указанного в ней срока в случаях:</w:t>
      </w:r>
      <w:r>
        <w:rPr>
          <w:rFonts w:ascii="Arial" w:hAnsi="Arial" w:cs="Arial"/>
          <w:sz w:val="20"/>
        </w:rPr>
        <w:br/>
        <w:t>     · отмены Доверенности лицом, которое ее выдало;</w:t>
      </w:r>
      <w:r>
        <w:rPr>
          <w:rFonts w:ascii="Arial" w:hAnsi="Arial" w:cs="Arial"/>
          <w:sz w:val="20"/>
        </w:rPr>
        <w:br/>
        <w:t>     · отказа лица, которому выдана Доверенность;</w:t>
      </w:r>
      <w:r>
        <w:rPr>
          <w:rFonts w:ascii="Arial" w:hAnsi="Arial" w:cs="Arial"/>
          <w:sz w:val="20"/>
        </w:rPr>
        <w:br/>
        <w:t>     · смерти Доверителя или Доверенного;</w:t>
      </w:r>
      <w:r>
        <w:rPr>
          <w:rFonts w:ascii="Arial" w:hAnsi="Arial" w:cs="Arial"/>
          <w:sz w:val="20"/>
        </w:rPr>
        <w:br/>
        <w:t>     · признания кого-либо из них недееспособным, безвестно отсутствующим;</w:t>
      </w:r>
      <w:r>
        <w:rPr>
          <w:rFonts w:ascii="Arial" w:hAnsi="Arial" w:cs="Arial"/>
          <w:sz w:val="20"/>
        </w:rPr>
        <w:br/>
        <w:t>     · прекращения юридического лица, на имя которого либо от имени которого выдана Доверенность.</w:t>
      </w:r>
      <w:r>
        <w:rPr>
          <w:rFonts w:ascii="Arial" w:hAnsi="Arial" w:cs="Arial"/>
          <w:sz w:val="20"/>
        </w:rPr>
        <w:br/>
        <w:t>     Лицо, выдавшее Доверенность, обязано известить об ее отмене лицо, которому Доверенность выдана, а также известных ему третьих лиц, для представительства перед которыми дана Доверенность.</w:t>
      </w:r>
      <w:r>
        <w:rPr>
          <w:rFonts w:ascii="Arial" w:hAnsi="Arial" w:cs="Arial"/>
          <w:sz w:val="20"/>
        </w:rPr>
        <w:br/>
        <w:t>     А теперь перейдем к комментариям по поводу вышеизложенных правовых понятий и определений.</w:t>
      </w:r>
      <w:r>
        <w:rPr>
          <w:rFonts w:ascii="Arial" w:hAnsi="Arial" w:cs="Arial"/>
          <w:sz w:val="20"/>
        </w:rPr>
        <w:br/>
        <w:t>     Действительно. Бывают ситуации, когда Собственник по каким-либо причинам не может ЛИЧНО участвовать в подписании Договора купли-продажи. Но таких ситуаций не так уж много.</w:t>
      </w:r>
      <w:r>
        <w:rPr>
          <w:rFonts w:ascii="Arial" w:hAnsi="Arial" w:cs="Arial"/>
          <w:sz w:val="20"/>
        </w:rPr>
        <w:br/>
        <w:t>     ПЕРВАЯ - Доверитель, есть в наличии, но ему тяжело или невозможно лично участвовать в подписании Договора (пожилой, больной человек). Здесь все просто. С ним можно увидеться, поговорить. Он может присутствовать и лично участвовать в подписании предварительных Договоров, (например "Договора о задатке"). Покупатель или его Брокер могут лично присутствовать при удостоверении Доверенности или даже пригласить в больницу или домой своего (знакомого) нотариуса.</w:t>
      </w:r>
      <w:r>
        <w:rPr>
          <w:rFonts w:ascii="Arial" w:hAnsi="Arial" w:cs="Arial"/>
          <w:sz w:val="20"/>
        </w:rPr>
        <w:br/>
        <w:t>     То есть Покупатель может точно убедиться, что Доверитель и есть действительно Собственник, выдавший Доверенность без всякого на то "силового" принуждения.</w:t>
      </w:r>
      <w:r>
        <w:rPr>
          <w:rFonts w:ascii="Arial" w:hAnsi="Arial" w:cs="Arial"/>
          <w:sz w:val="20"/>
        </w:rPr>
        <w:br/>
        <w:t>     ВТОРАЯ - Доверитель отсутствует. Если он отсутствует только на момент подписания договора купли-продажи (уехал в командировку, на отдых, и т.п.), но был на предварительной стадии и лично подписывал предварительные документы - тогда все в порядке и нет особых причин для беспокойства.</w:t>
      </w:r>
      <w:r>
        <w:rPr>
          <w:rFonts w:ascii="Arial" w:hAnsi="Arial" w:cs="Arial"/>
          <w:sz w:val="20"/>
        </w:rPr>
        <w:br/>
        <w:t xml:space="preserve">     Но бывают случая, когда Доверитель отсутствует (или Вам говорят(!), что он отсутствует) и находится в месте, в котором ни Вы сами, ни Ваши знакомые не могут с ним встретиться, поговорить и проверить документы. </w:t>
      </w:r>
      <w:r>
        <w:rPr>
          <w:rFonts w:ascii="Arial" w:hAnsi="Arial" w:cs="Arial"/>
          <w:sz w:val="20"/>
        </w:rPr>
        <w:br/>
        <w:t>     Еще хуже, когда Доверенность выдавалась в другом городе или в другой стране и нет возможности убедиться, что такая доверенность была удостоверена надлежащим образом, что такой нотариус действительно существует и на документе его подпись, что сам факт удостоверения доверенности внесен в соответствующие нотариальные реестры.</w:t>
      </w:r>
      <w:r>
        <w:rPr>
          <w:rFonts w:ascii="Arial" w:hAnsi="Arial" w:cs="Arial"/>
          <w:sz w:val="20"/>
        </w:rPr>
        <w:br/>
        <w:t>     Если доверенность выдавалась в Вашем городе, то можно обратиться к нотариусу, выдавшему Доверенность и проверить хотя бы наличие самого нотариуса. Бывают случаи, когда частный нотариус, удостоверивший Доверенность, уже прекратил свою нотариальную деятельность. Необходимо обратиться в соответствующие архивы по нотариальному округу. Особенно внимательно нужно соотнести дату выдачи Доверенности и дату прекращения деятельности нотариуса. Бывали случаи, когда я по справке находил номер телефона нотариуса в другом городе, звонил к нему и просил проверить по реестру факт удостоверения Доверенности. Мне не отказывали, хотя могли бы.</w:t>
      </w:r>
      <w:r>
        <w:rPr>
          <w:rFonts w:ascii="Arial" w:hAnsi="Arial" w:cs="Arial"/>
          <w:sz w:val="20"/>
        </w:rPr>
        <w:br/>
        <w:t>     Приходилось звонить мне и в другие государства. Например, Вице-консулу Посольства Украины в Польше.</w:t>
      </w:r>
      <w:r>
        <w:rPr>
          <w:rFonts w:ascii="Arial" w:hAnsi="Arial" w:cs="Arial"/>
          <w:sz w:val="20"/>
        </w:rPr>
        <w:br/>
        <w:t xml:space="preserve">     Самое время рассказать о Доверенностях от лиц, находящихся в других странах. </w:t>
      </w:r>
      <w:r>
        <w:rPr>
          <w:rFonts w:ascii="Arial" w:hAnsi="Arial" w:cs="Arial"/>
          <w:sz w:val="20"/>
        </w:rPr>
        <w:br/>
        <w:t>     Такие Доверенности должны быть заверены Консульскими отделами Посольств Украины в этих странах. То есть, сначала нотариус удостоверяет Доверенность (в некоторых странах, например в США, Израиле, Германии, есть нотариусы, оформляющие документы на русском языке), а затем в Консульстве Украины она заверяется. Для граждан Украины, находящихся за рубежом, Доверенность удостоверяется непосредственно в Консульских отделах Посольств Украины.</w:t>
      </w:r>
      <w:r>
        <w:rPr>
          <w:rFonts w:ascii="Arial" w:hAnsi="Arial" w:cs="Arial"/>
          <w:sz w:val="20"/>
        </w:rPr>
        <w:br/>
        <w:t>     Должен заметить, что Доверенность должна быть "живая", с "мокрой" печатью. Это означает, что ее нельзя передать по факсу, а нужно переслать оригинал заказным письмом или с оказией. Хорошо бы убедиться, что подпись на Доверенности и есть истинная подпись Доверителя. Как это сделать? Иногда на мой (!) факс присылают ксерокопию с паспорта Доверителя с его фотографией, фамилией и подписью. Однажды я нашел образец подписи в районном ЗАГСе, где Доверитель вступал в брак.</w:t>
      </w:r>
      <w:r>
        <w:rPr>
          <w:rFonts w:ascii="Arial" w:hAnsi="Arial" w:cs="Arial"/>
          <w:sz w:val="20"/>
        </w:rPr>
        <w:br/>
        <w:t>     Есть еще много ВАЖНЕЙШИХ ОБСТОџТЕЛЬСТВ, которые необходимо знать и учитывать Покупателю при приобретении объектов с участием Доверенного.</w:t>
      </w:r>
    </w:p>
    <w:p w:rsidR="00FD64D5" w:rsidRDefault="00FD64D5">
      <w:pPr>
        <w:jc w:val="both"/>
        <w:rPr>
          <w:rFonts w:ascii="Arial" w:hAnsi="Arial" w:cs="Arial"/>
          <w:sz w:val="20"/>
        </w:rPr>
      </w:pPr>
    </w:p>
    <w:p w:rsidR="00FD64D5" w:rsidRDefault="00FD64D5">
      <w:pPr>
        <w:pStyle w:val="a4"/>
        <w:ind w:firstLine="720"/>
        <w:rPr>
          <w:rFonts w:ascii="Arial" w:hAnsi="Arial" w:cs="Arial"/>
          <w:b/>
          <w:sz w:val="20"/>
        </w:rPr>
      </w:pPr>
      <w:r>
        <w:rPr>
          <w:rFonts w:ascii="Arial" w:hAnsi="Arial" w:cs="Arial"/>
          <w:b/>
          <w:sz w:val="20"/>
        </w:rPr>
        <w:t>Представительство</w:t>
      </w:r>
    </w:p>
    <w:p w:rsidR="00FD64D5" w:rsidRDefault="00FD64D5">
      <w:pPr>
        <w:pStyle w:val="a4"/>
        <w:ind w:firstLine="720"/>
        <w:rPr>
          <w:rFonts w:ascii="Arial" w:hAnsi="Arial" w:cs="Arial"/>
          <w:sz w:val="20"/>
        </w:rPr>
      </w:pPr>
      <w:r>
        <w:rPr>
          <w:rFonts w:ascii="Arial" w:hAnsi="Arial" w:cs="Arial"/>
          <w:sz w:val="20"/>
        </w:rPr>
        <w:t>Под представительством понимается совершение одним лицом, представителем, в пределах имеющихся у него полномочий сделок и иных юридических действий от имени и в интересах другого лица, представляемого. Согласно ст. 182 сделка, совершаемая представителем на основании его полномочий , непосредственно создает, изменяет и прекращает гражданские права и обязанности представляемого.</w:t>
      </w:r>
    </w:p>
    <w:p w:rsidR="00FD64D5" w:rsidRDefault="00FD64D5">
      <w:pPr>
        <w:pStyle w:val="a4"/>
        <w:ind w:firstLine="720"/>
        <w:rPr>
          <w:rFonts w:ascii="Arial" w:hAnsi="Arial" w:cs="Arial"/>
          <w:sz w:val="20"/>
        </w:rPr>
      </w:pPr>
      <w:r>
        <w:rPr>
          <w:rFonts w:ascii="Arial" w:hAnsi="Arial" w:cs="Arial"/>
          <w:sz w:val="20"/>
        </w:rPr>
        <w:t>Представительство характеризуется рядом признаков, первый из которых состоит в том, что сущностью представительства является совершение юридических действий. Как установлено в законе, представитель обязуется совершить для представляемого одну или несколько сделок, а совершение сделок - это действие юридическое. Фактические действия, например выбор дома для покупателя, погрузка, выгрузка товара, взвешивание груза и т.п. не требуют деятельности представителя, так как не влекут непосредственно юридических последствий.</w:t>
      </w:r>
    </w:p>
    <w:p w:rsidR="00FD64D5" w:rsidRDefault="00FD64D5">
      <w:pPr>
        <w:pStyle w:val="a4"/>
        <w:ind w:firstLine="720"/>
        <w:rPr>
          <w:rFonts w:ascii="Arial" w:hAnsi="Arial" w:cs="Arial"/>
          <w:sz w:val="20"/>
        </w:rPr>
      </w:pPr>
      <w:r>
        <w:rPr>
          <w:rFonts w:ascii="Arial" w:hAnsi="Arial" w:cs="Arial"/>
          <w:sz w:val="20"/>
        </w:rPr>
        <w:t>В юридической литературе справедливо предполагалось указать в норме, определяющей представительство, что оно охватывает другие, кроме сделок, действия. Указанное предложение ученых не было воспринято законодателями, что представляется неоправданным, тем более что в п.3 ст.33 ГК РФ установлено право попечителя не только оказывать подопечным содействие в осуществлении ими своих прав, но и охранять их от злоупотреблений со стороны третьих лиц, т.е. совершать действия по самозащите права, которые могут носить не фактический, а юридический характер, но не быть сделками.</w:t>
      </w:r>
    </w:p>
    <w:p w:rsidR="00FD64D5" w:rsidRDefault="00FD64D5">
      <w:pPr>
        <w:pStyle w:val="a4"/>
        <w:ind w:firstLine="720"/>
        <w:rPr>
          <w:rFonts w:ascii="Arial" w:hAnsi="Arial" w:cs="Arial"/>
          <w:sz w:val="20"/>
        </w:rPr>
      </w:pPr>
      <w:r>
        <w:rPr>
          <w:rFonts w:ascii="Arial" w:hAnsi="Arial" w:cs="Arial"/>
          <w:sz w:val="20"/>
        </w:rPr>
        <w:t>С помощью представительства могут осуществляться сделки, предусмотренные законом, а также хотя и не предусмотренные законом, но не противоречащие ему (п.1 ст.8 ГК). Вместе с тем не допускается совешение через представителя сделок, которые по своему характеру могут быть совершены только лично, а также других сделок, указанных в законе(п.4 ст.182 ГК).  Так, только лично можно составить завещание, выдать доверенность, заключить договор пожизненного содержания и др.</w:t>
      </w:r>
    </w:p>
    <w:p w:rsidR="00FD64D5" w:rsidRDefault="00FD64D5">
      <w:pPr>
        <w:pStyle w:val="a4"/>
        <w:ind w:firstLine="720"/>
        <w:rPr>
          <w:rFonts w:ascii="Arial" w:hAnsi="Arial" w:cs="Arial"/>
          <w:sz w:val="20"/>
        </w:rPr>
      </w:pPr>
      <w:r>
        <w:rPr>
          <w:rFonts w:ascii="Arial" w:hAnsi="Arial" w:cs="Arial"/>
          <w:sz w:val="20"/>
        </w:rPr>
        <w:t>Представительство – такое совершение юридических действий  представителем, при котором все правовые последствия возникают не у представителя, а у представляемого. При этом, представитель действует не от собственного  имени, а от имени представляемого.</w:t>
      </w:r>
    </w:p>
    <w:p w:rsidR="00FD64D5" w:rsidRDefault="00FD64D5">
      <w:pPr>
        <w:pStyle w:val="a4"/>
        <w:ind w:firstLine="720"/>
        <w:rPr>
          <w:rFonts w:ascii="Arial" w:hAnsi="Arial" w:cs="Arial"/>
          <w:sz w:val="20"/>
        </w:rPr>
      </w:pPr>
      <w:r>
        <w:rPr>
          <w:rFonts w:ascii="Arial" w:hAnsi="Arial" w:cs="Arial"/>
          <w:sz w:val="20"/>
        </w:rPr>
        <w:t>К признакам, характеризующим представительство, наконец, относится возникновение правовых последствий для представляемого только из сделок, заключенных представителем  в силу и в пределах полномочия, выданного представляемым, или существующего на основании закона либо акта уполномоченного на то государственного органа или органа местного самоуправления.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представляемый впоследствии прямо не одобрит данную сделку (п.1 ст. 183).</w:t>
      </w:r>
    </w:p>
    <w:p w:rsidR="00FD64D5" w:rsidRDefault="00FD64D5">
      <w:pPr>
        <w:pStyle w:val="a4"/>
        <w:ind w:firstLine="720"/>
        <w:rPr>
          <w:rFonts w:ascii="Arial" w:hAnsi="Arial" w:cs="Arial"/>
          <w:sz w:val="20"/>
        </w:rPr>
      </w:pPr>
      <w:r>
        <w:rPr>
          <w:rFonts w:ascii="Arial" w:hAnsi="Arial" w:cs="Arial"/>
          <w:sz w:val="20"/>
        </w:rPr>
        <w:t>В отношениях представительства принято различать трех субъектов – представляемого, представителя и третье лицо, с которым у представляемого возникает правовая связь благодаря действиям представителя. В роли представляемого может выступать любой субъект гражданского права, - юридическое лицо или гражданин независимо от состояния дееспособности (однако доверенность могут выдавать только дееспособные граждане, лица, признанные ограниченно дееспособными, вправе вы</w:t>
      </w:r>
      <w:r>
        <w:rPr>
          <w:rFonts w:ascii="Arial" w:hAnsi="Arial" w:cs="Arial"/>
          <w:sz w:val="20"/>
        </w:rPr>
        <w:softHyphen/>
        <w:t xml:space="preserve">дать доверенность только с согласия попечителя).  Круг лиц, которые могут быть представителями, является более узким. Во-первых, представители – граждане должны обладать, как правило, полной дееспособностью. В виде исключения в качестве представителей юридических лиц в сфере торговли и обслуживания могут выступать граждане, достигшие трудового совершеннолетия, т.е. 16 лет. Во-вторых, юридические лица могут принимать на себя функции представителей, если это не расходится с теми целями и задачами, которые указаны в их учредительных документах. В-третьих, законодательство содержит ряд прямых запретов в отношении выполнения представительских функций некоторыми субъектами гражданского права. Так, в соответствии со ст. 47 ГПК не вправе быть представителями в суде лица, исключенные из коллегии адвокатов, следователи, судьи, прокуроры, кроме случаев, когда они выступают в качестве уполномоченных соответствующего суда, прокуратуры или в качестве законных представителей. Профессиональным поверенным представителем является патентный поверенный. Им может быть гражданин, прошедший аттестацию и регистрацию и получивший право на представительство физических и юридических лиц перед Комитетом РФ по патентам  и товарным знакам и организациями, входящими в единую государственную патентную службу. Он может осуществлять свою деятельность как самостоятельно в качестве предпринимателя, так и работая по найму. </w:t>
      </w:r>
    </w:p>
    <w:p w:rsidR="00FD64D5" w:rsidRDefault="00FD64D5">
      <w:pPr>
        <w:pStyle w:val="a4"/>
        <w:ind w:firstLine="720"/>
        <w:rPr>
          <w:rFonts w:ascii="Arial" w:hAnsi="Arial" w:cs="Arial"/>
          <w:sz w:val="20"/>
        </w:rPr>
      </w:pPr>
      <w:r>
        <w:rPr>
          <w:rFonts w:ascii="Arial" w:hAnsi="Arial" w:cs="Arial"/>
          <w:sz w:val="20"/>
        </w:rPr>
        <w:t>В качестве третьего лица может выступать также любой субъект гражданского права. Закон лишь запрещает представителю совершать сделки от имени представляемого в отношении себя лично, а также в отношении другого лица, представителем которого он одновременно является, за исключением случаев коммерческого представительства (п.3 ст.182 ГК).</w:t>
      </w:r>
    </w:p>
    <w:p w:rsidR="00FD64D5" w:rsidRDefault="00FD64D5">
      <w:pPr>
        <w:pStyle w:val="a4"/>
        <w:ind w:firstLine="720"/>
        <w:rPr>
          <w:rFonts w:ascii="Arial" w:hAnsi="Arial" w:cs="Arial"/>
          <w:sz w:val="20"/>
        </w:rPr>
      </w:pPr>
      <w:r>
        <w:rPr>
          <w:rFonts w:ascii="Arial" w:hAnsi="Arial" w:cs="Arial"/>
          <w:sz w:val="20"/>
        </w:rPr>
        <w:t>Возникновение у представителя необходимого полномочия закон связывает прежде всего с волеизъявлением представляемого, а также с другими юридическими фактами, специально указанными в законе. Согласно ст. 182 полномочия представителя могут основываться на доверенности, административном акте или законе. Объем и характер полномочий представителя, а также условия их осуществления прямо зависят от лежащих в основе представительства юридических фактов.</w:t>
      </w:r>
    </w:p>
    <w:p w:rsidR="00FD64D5" w:rsidRDefault="00FD64D5">
      <w:pPr>
        <w:ind w:firstLine="720"/>
        <w:jc w:val="both"/>
        <w:rPr>
          <w:rFonts w:ascii="Arial" w:hAnsi="Arial" w:cs="Arial"/>
          <w:sz w:val="20"/>
          <w:szCs w:val="20"/>
        </w:rPr>
      </w:pPr>
      <w:r>
        <w:rPr>
          <w:rFonts w:ascii="Arial" w:hAnsi="Arial" w:cs="Arial"/>
          <w:sz w:val="20"/>
        </w:rPr>
        <w:t>Представительство, основанное на административном акте есть такое представительство, при котором представитель обязуется действовать от имени представляемого в силу административного распоряжения. Полномочия представителя в этом случае определяются изданным административным актом, либо следуют из должностной инструкции работника, либо явствуют из обстановки, в которой действует представитель.</w:t>
      </w:r>
    </w:p>
    <w:p w:rsidR="00FD64D5" w:rsidRDefault="00FD64D5">
      <w:pPr>
        <w:ind w:firstLine="720"/>
        <w:jc w:val="both"/>
        <w:rPr>
          <w:rFonts w:ascii="Arial" w:hAnsi="Arial" w:cs="Arial"/>
          <w:sz w:val="20"/>
          <w:szCs w:val="20"/>
        </w:rPr>
      </w:pPr>
      <w:r>
        <w:rPr>
          <w:rFonts w:ascii="Arial" w:hAnsi="Arial" w:cs="Arial"/>
          <w:sz w:val="20"/>
        </w:rPr>
        <w:t>В ряде случаев представительские отношения возникают по прямому указанию закона, в силу чего данный вид представительства часто именуется представительством законным. Так, законными представителями малолетних детей являются их родители, полномочия которых основываются на фактах материнства и отцовства. Аналогичную роль играют усыновление, установление опеки и ряд других юридических фактов, с которыми закон связывает возникновение представительства.</w:t>
      </w:r>
    </w:p>
    <w:p w:rsidR="00FD64D5" w:rsidRDefault="00FD64D5">
      <w:pPr>
        <w:pStyle w:val="a4"/>
        <w:ind w:firstLine="720"/>
        <w:rPr>
          <w:rFonts w:ascii="Arial" w:hAnsi="Arial" w:cs="Arial"/>
          <w:sz w:val="20"/>
        </w:rPr>
      </w:pPr>
      <w:r>
        <w:rPr>
          <w:rFonts w:ascii="Arial" w:hAnsi="Arial" w:cs="Arial"/>
          <w:sz w:val="20"/>
        </w:rPr>
        <w:t xml:space="preserve">Представительство, основанное на договоре, в отличие от двух рассмотренных выше видов обязательного представительства, является представительством добровольным. Это означает, что оно возникает по воле представляемого , который определяет не только фигуру представителя, но  и круг его полномочий. Между представляемым и представителем заключается договор, определяющий их внутренние взаимоотношения (договор поручения). Для представительства перед третьими лицами представляемый обычно выдает представителю особый письменный документ, именуемый доверенностью. </w:t>
      </w:r>
    </w:p>
    <w:p w:rsidR="00FD64D5" w:rsidRDefault="00FD64D5">
      <w:pPr>
        <w:pStyle w:val="a4"/>
        <w:ind w:firstLine="720"/>
        <w:rPr>
          <w:rFonts w:ascii="Arial" w:hAnsi="Arial" w:cs="Arial"/>
          <w:sz w:val="20"/>
        </w:rPr>
      </w:pPr>
      <w:r>
        <w:rPr>
          <w:rFonts w:ascii="Arial" w:hAnsi="Arial" w:cs="Arial"/>
          <w:sz w:val="20"/>
        </w:rPr>
        <w:t>Институт представительства  имеет в гражданском обороте широкую сферу применения. Потребность в нем возникает не только тогда, когда сам представляемый в силу закона или конкретных жизненных обстоятельств (болезнь, занятость и др.) не может лично осуществлять свои права и обязанности. В целом ряде случаев к услугам представителей прибегают ради того, чтобы воспользоваться специальными знаниями и опытом представителя, сэкономить время, средства и т.п. Деятельность большинства юридических лиц вообще немыслима без постоянного или хотя бы эпизодического обращения к представительству.</w:t>
      </w:r>
    </w:p>
    <w:p w:rsidR="00FD64D5" w:rsidRDefault="00FD64D5">
      <w:pPr>
        <w:jc w:val="both"/>
        <w:rPr>
          <w:rFonts w:ascii="Arial" w:hAnsi="Arial" w:cs="Arial"/>
          <w:sz w:val="20"/>
        </w:rPr>
      </w:pPr>
    </w:p>
    <w:p w:rsidR="00FD64D5" w:rsidRDefault="00FD64D5">
      <w:pPr>
        <w:pStyle w:val="p1"/>
        <w:jc w:val="both"/>
        <w:rPr>
          <w:rFonts w:ascii="Arial" w:hAnsi="Arial" w:cs="Arial"/>
          <w:sz w:val="20"/>
        </w:rPr>
      </w:pPr>
      <w:r>
        <w:rPr>
          <w:rFonts w:ascii="Arial" w:hAnsi="Arial" w:cs="Arial"/>
          <w:sz w:val="20"/>
        </w:rPr>
        <w:t xml:space="preserve">Глава 10. Представительство. Доверенность </w:t>
      </w:r>
    </w:p>
    <w:p w:rsidR="00FD64D5" w:rsidRDefault="00FD64D5">
      <w:pPr>
        <w:pStyle w:val="p3"/>
        <w:rPr>
          <w:rFonts w:ascii="Arial" w:hAnsi="Arial" w:cs="Arial"/>
          <w:sz w:val="20"/>
        </w:rPr>
      </w:pPr>
      <w:r>
        <w:rPr>
          <w:rFonts w:ascii="Arial" w:hAnsi="Arial" w:cs="Arial"/>
          <w:sz w:val="20"/>
        </w:rPr>
        <w:t xml:space="preserve">Статья 182. Представительство </w:t>
      </w:r>
    </w:p>
    <w:p w:rsidR="00FD64D5" w:rsidRDefault="00FD64D5">
      <w:pPr>
        <w:pStyle w:val="p2"/>
        <w:rPr>
          <w:rFonts w:ascii="Arial" w:hAnsi="Arial" w:cs="Arial"/>
          <w:sz w:val="20"/>
        </w:rPr>
      </w:pPr>
      <w:r>
        <w:rPr>
          <w:rFonts w:ascii="Arial" w:hAnsi="Arial" w:cs="Arial"/>
          <w:sz w:val="20"/>
        </w:rPr>
        <w:t xml:space="preserve">1. Сделка, совершенная одним лицом (представителем) от имени другого лица (представляемого) в силу полномочия, основанного на </w:t>
      </w:r>
      <w:r w:rsidRPr="00EB35DF">
        <w:rPr>
          <w:rFonts w:ascii="Arial" w:hAnsi="Arial" w:cs="Arial"/>
          <w:b/>
          <w:bCs/>
          <w:sz w:val="20"/>
        </w:rPr>
        <w:t>доверенности</w:t>
      </w:r>
      <w:r>
        <w:rPr>
          <w:rFonts w:ascii="Arial" w:hAnsi="Arial" w:cs="Arial"/>
          <w:sz w:val="20"/>
        </w:rPr>
        <w:t xml:space="preserve">, указании закона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 </w:t>
      </w:r>
    </w:p>
    <w:p w:rsidR="00FD64D5" w:rsidRDefault="00FD64D5">
      <w:pPr>
        <w:pStyle w:val="p2"/>
        <w:rPr>
          <w:rFonts w:ascii="Arial" w:hAnsi="Arial" w:cs="Arial"/>
          <w:sz w:val="20"/>
        </w:rPr>
      </w:pPr>
      <w:r>
        <w:rPr>
          <w:rFonts w:ascii="Arial" w:hAnsi="Arial" w:cs="Arial"/>
          <w:sz w:val="20"/>
        </w:rPr>
        <w:t xml:space="preserve">Полномочие может также явствовать из обстановки, в которой действует представитель (продавец в розничной торговле, кассир и т.п.). </w:t>
      </w:r>
    </w:p>
    <w:p w:rsidR="00FD64D5" w:rsidRDefault="00FD64D5">
      <w:pPr>
        <w:pStyle w:val="p2"/>
        <w:rPr>
          <w:rFonts w:ascii="Arial" w:hAnsi="Arial" w:cs="Arial"/>
          <w:sz w:val="20"/>
        </w:rPr>
      </w:pPr>
      <w:r>
        <w:rPr>
          <w:rFonts w:ascii="Arial" w:hAnsi="Arial" w:cs="Arial"/>
          <w:sz w:val="20"/>
        </w:rPr>
        <w:t xml:space="preserve">2. Не являются представителями лица, действующие хотя и в чужих интересах, но от собственного имени (коммерческие посредники, конкурсные управляющие при банкротстве, душеприказчики при наследовании и т.п.), а также лица, уполномоченные на вступление в переговоры относительно возможных в будущем сделок. </w:t>
      </w:r>
    </w:p>
    <w:p w:rsidR="00FD64D5" w:rsidRDefault="00FD64D5">
      <w:pPr>
        <w:pStyle w:val="p2"/>
        <w:rPr>
          <w:rFonts w:ascii="Arial" w:hAnsi="Arial" w:cs="Arial"/>
          <w:sz w:val="20"/>
        </w:rPr>
      </w:pPr>
      <w:r>
        <w:rPr>
          <w:rFonts w:ascii="Arial" w:hAnsi="Arial" w:cs="Arial"/>
          <w:sz w:val="20"/>
        </w:rPr>
        <w:t xml:space="preserve">3. Представитель не может совершать сделки от имени представляемого в отношении себя лично. Он не может также совершать такие сделки в отношении другого лица, представителем которого он одновременно является, за исключением случаев коммерческого представительства. </w:t>
      </w:r>
    </w:p>
    <w:p w:rsidR="00FD64D5" w:rsidRDefault="00FD64D5">
      <w:pPr>
        <w:pStyle w:val="p2"/>
        <w:rPr>
          <w:rFonts w:ascii="Arial" w:hAnsi="Arial" w:cs="Arial"/>
          <w:sz w:val="20"/>
        </w:rPr>
      </w:pPr>
      <w:r>
        <w:rPr>
          <w:rFonts w:ascii="Arial" w:hAnsi="Arial" w:cs="Arial"/>
          <w:sz w:val="20"/>
        </w:rPr>
        <w:t xml:space="preserve">4. Не допускается совершение через представителя сделки, которая по своему характеру может быть совершена только лично, а равно других сделок, указанных в законе. </w:t>
      </w:r>
    </w:p>
    <w:p w:rsidR="00FD64D5" w:rsidRDefault="00FD64D5">
      <w:pPr>
        <w:jc w:val="both"/>
        <w:rPr>
          <w:rFonts w:ascii="Arial" w:hAnsi="Arial" w:cs="Arial"/>
          <w:sz w:val="20"/>
        </w:rPr>
      </w:pPr>
    </w:p>
    <w:p w:rsidR="00FD64D5" w:rsidRDefault="00FD64D5">
      <w:pPr>
        <w:pStyle w:val="p3"/>
        <w:rPr>
          <w:rFonts w:ascii="Arial" w:hAnsi="Arial" w:cs="Arial"/>
          <w:sz w:val="20"/>
        </w:rPr>
      </w:pPr>
      <w:r>
        <w:rPr>
          <w:rFonts w:ascii="Arial" w:hAnsi="Arial" w:cs="Arial"/>
          <w:sz w:val="20"/>
        </w:rPr>
        <w:t xml:space="preserve">Статья 185. Доверенность </w:t>
      </w:r>
    </w:p>
    <w:p w:rsidR="00FD64D5" w:rsidRDefault="00FD64D5">
      <w:pPr>
        <w:pStyle w:val="p2"/>
        <w:rPr>
          <w:rFonts w:ascii="Arial" w:hAnsi="Arial" w:cs="Arial"/>
          <w:sz w:val="20"/>
        </w:rPr>
      </w:pPr>
      <w:r>
        <w:rPr>
          <w:rFonts w:ascii="Arial" w:hAnsi="Arial" w:cs="Arial"/>
          <w:sz w:val="20"/>
        </w:rPr>
        <w:t xml:space="preserve">1. Доверенностью признается письменное уполномочие, выдаваемое одним лицом другому лицу для представительства перед третьими лицами. Письменное уполномочие на совершение сделки представителем может быть представлено представляемым непосредственно соответствующему третьему лицу. </w:t>
      </w:r>
    </w:p>
    <w:p w:rsidR="00FD64D5" w:rsidRDefault="00FD64D5">
      <w:pPr>
        <w:pStyle w:val="p2"/>
        <w:rPr>
          <w:rFonts w:ascii="Arial" w:hAnsi="Arial" w:cs="Arial"/>
          <w:sz w:val="20"/>
        </w:rPr>
      </w:pPr>
      <w:r>
        <w:rPr>
          <w:rFonts w:ascii="Arial" w:hAnsi="Arial" w:cs="Arial"/>
          <w:sz w:val="20"/>
        </w:rPr>
        <w:t xml:space="preserve">2. Доверенность на совершение сделок, требующих нотариальной формы, должна быть нотариально удостоверена, за исключением случаев, предусмотренных законом. </w:t>
      </w:r>
    </w:p>
    <w:p w:rsidR="00FD64D5" w:rsidRDefault="00FD64D5">
      <w:pPr>
        <w:pStyle w:val="p2"/>
        <w:rPr>
          <w:rFonts w:ascii="Arial" w:hAnsi="Arial" w:cs="Arial"/>
          <w:sz w:val="20"/>
        </w:rPr>
      </w:pPr>
      <w:r>
        <w:rPr>
          <w:rFonts w:ascii="Arial" w:hAnsi="Arial" w:cs="Arial"/>
          <w:sz w:val="20"/>
        </w:rPr>
        <w:t xml:space="preserve">3. К нотариально удостоверенным доверенностям приравниваются: </w:t>
      </w:r>
    </w:p>
    <w:p w:rsidR="00FD64D5" w:rsidRDefault="00FD64D5">
      <w:pPr>
        <w:pStyle w:val="p2"/>
        <w:rPr>
          <w:rFonts w:ascii="Arial" w:hAnsi="Arial" w:cs="Arial"/>
          <w:sz w:val="20"/>
        </w:rPr>
      </w:pPr>
      <w:r>
        <w:rPr>
          <w:rFonts w:ascii="Arial" w:hAnsi="Arial" w:cs="Arial"/>
          <w:sz w:val="20"/>
        </w:rPr>
        <w:t xml:space="preserve">1) доверенности военнослужащих и других лиц, находящихся на излечении в госпиталях, санаториях и других военно-лечебных учреждениях, удостоверенные начальником такого учреждения, его заместителем по медицинской части, старшим или дежурным врачом; </w:t>
      </w:r>
    </w:p>
    <w:p w:rsidR="00FD64D5" w:rsidRDefault="00FD64D5">
      <w:pPr>
        <w:pStyle w:val="p2"/>
        <w:rPr>
          <w:rFonts w:ascii="Arial" w:hAnsi="Arial" w:cs="Arial"/>
          <w:sz w:val="20"/>
        </w:rPr>
      </w:pPr>
      <w:r>
        <w:rPr>
          <w:rFonts w:ascii="Arial" w:hAnsi="Arial" w:cs="Arial"/>
          <w:sz w:val="20"/>
        </w:rPr>
        <w:t xml:space="preserve">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рабочих и служащих, членов их семей и членов семей военнослужащих, удостоверенные командиром (начальником) этих части, соединения, учреждения или заведения; </w:t>
      </w:r>
    </w:p>
    <w:p w:rsidR="00FD64D5" w:rsidRDefault="00FD64D5">
      <w:pPr>
        <w:pStyle w:val="p2"/>
        <w:rPr>
          <w:rFonts w:ascii="Arial" w:hAnsi="Arial" w:cs="Arial"/>
          <w:sz w:val="20"/>
        </w:rPr>
      </w:pPr>
      <w:r>
        <w:rPr>
          <w:rFonts w:ascii="Arial" w:hAnsi="Arial" w:cs="Arial"/>
          <w:sz w:val="20"/>
        </w:rPr>
        <w:t xml:space="preserve">3) доверенности лиц, находящихся в местах лишения свободы, удостоверенные начальником соответствующего места лишения свободы; </w:t>
      </w:r>
    </w:p>
    <w:p w:rsidR="00FD64D5" w:rsidRDefault="00FD64D5">
      <w:pPr>
        <w:pStyle w:val="p2"/>
        <w:rPr>
          <w:rFonts w:ascii="Arial" w:hAnsi="Arial" w:cs="Arial"/>
          <w:sz w:val="20"/>
        </w:rPr>
      </w:pPr>
      <w:r>
        <w:rPr>
          <w:rFonts w:ascii="Arial" w:hAnsi="Arial" w:cs="Arial"/>
          <w:sz w:val="20"/>
        </w:rPr>
        <w:t xml:space="preserve">4) доверенности совершеннолетних дееспособных граждан, находящихся в учреждениях социальной защиты населения, удостоверенные администрацией этого учреждения или руководителем (его заместителем) соответствующего органа социальной защиты населения. </w:t>
      </w:r>
    </w:p>
    <w:p w:rsidR="00FD64D5" w:rsidRDefault="00FD64D5">
      <w:pPr>
        <w:pStyle w:val="p2"/>
        <w:rPr>
          <w:rFonts w:ascii="Arial" w:hAnsi="Arial" w:cs="Arial"/>
          <w:sz w:val="20"/>
        </w:rPr>
      </w:pPr>
      <w:r>
        <w:rPr>
          <w:rFonts w:ascii="Arial" w:hAnsi="Arial" w:cs="Arial"/>
          <w:sz w:val="20"/>
        </w:rPr>
        <w:t xml:space="preserve">4.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вкладов граждан в банках и на получение корреспонденции, в том числе денежной и посылочной, может быть удостоверена также организацией, в которой доверитель работает или учится, жилищно-эксплуатационной организацией по месту его жительства и администрацией стационарного лечебного учреждения, в котором он находится на излечении. </w:t>
      </w:r>
    </w:p>
    <w:p w:rsidR="00FD64D5" w:rsidRDefault="00FD64D5">
      <w:pPr>
        <w:pStyle w:val="p2"/>
        <w:rPr>
          <w:rFonts w:ascii="Arial" w:hAnsi="Arial" w:cs="Arial"/>
          <w:sz w:val="20"/>
        </w:rPr>
      </w:pPr>
      <w:r>
        <w:rPr>
          <w:rFonts w:ascii="Arial" w:hAnsi="Arial" w:cs="Arial"/>
          <w:sz w:val="20"/>
        </w:rPr>
        <w:t xml:space="preserve">Доверенность на получение представителем гражданина его вклада в банке, денежных средств с его банковского счета, адресованной ему корреспонденции в организациях связи, а также на совершение от имени гражданина иных сделок, указанных в абзаце первом настоящего пункта, может быть удостоверена соответствующими банком или организацией связи. Такая доверенность удостоверяется бесплатно. </w:t>
      </w:r>
    </w:p>
    <w:p w:rsidR="00FD64D5" w:rsidRDefault="00FD64D5">
      <w:pPr>
        <w:pStyle w:val="p2"/>
        <w:rPr>
          <w:rFonts w:ascii="Arial" w:hAnsi="Arial" w:cs="Arial"/>
          <w:sz w:val="20"/>
        </w:rPr>
      </w:pPr>
      <w:r>
        <w:rPr>
          <w:rFonts w:ascii="Arial" w:hAnsi="Arial" w:cs="Arial"/>
          <w:sz w:val="20"/>
        </w:rPr>
        <w:t xml:space="preserve">5. Доверенность от имени юридического лица выдается за подписью его руководителя или иного лица, уполномоченного на это его учредительными документами, с приложением печати этой организации. </w:t>
      </w:r>
    </w:p>
    <w:p w:rsidR="00FD64D5" w:rsidRDefault="00FD64D5">
      <w:pPr>
        <w:pStyle w:val="p2"/>
        <w:rPr>
          <w:rFonts w:ascii="Arial" w:hAnsi="Arial" w:cs="Arial"/>
          <w:sz w:val="20"/>
        </w:rPr>
      </w:pPr>
      <w:r>
        <w:rPr>
          <w:rFonts w:ascii="Arial" w:hAnsi="Arial" w:cs="Arial"/>
          <w:sz w:val="20"/>
        </w:rPr>
        <w:t xml:space="preserve">Доверенность от имени юридического лица, основанного на государственной или муниципальной собственности, на получение или выдачу денег и других имущественных ценностей должна быть подписана также главным (старшим) бухгалтером этой организации.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pStyle w:val="1"/>
        <w:jc w:val="both"/>
        <w:rPr>
          <w:sz w:val="20"/>
        </w:rPr>
      </w:pPr>
      <w:r>
        <w:rPr>
          <w:sz w:val="20"/>
        </w:rPr>
        <w:t>Глава 10. Представительство. Доверенность</w:t>
      </w:r>
    </w:p>
    <w:p w:rsidR="00FD64D5" w:rsidRDefault="00FD64D5">
      <w:pPr>
        <w:pStyle w:val="4"/>
        <w:jc w:val="both"/>
        <w:rPr>
          <w:rFonts w:ascii="Arial" w:hAnsi="Arial" w:cs="Arial"/>
          <w:sz w:val="20"/>
        </w:rPr>
      </w:pPr>
      <w:r>
        <w:rPr>
          <w:rFonts w:ascii="Arial" w:hAnsi="Arial" w:cs="Arial"/>
          <w:i/>
          <w:iCs/>
          <w:sz w:val="20"/>
        </w:rPr>
        <w:t>Статья 182. Представительство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Сделка, совершенная одним лицом (представителем) от имени другого лица (представляемого) в силу полномочия, основанного на доверенности, указании закона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Полномочие может также явствовать из обстановки, в которой действует представитель (продавец в розничной торговле, кассир и т.п.).</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Не являются представителями лица, действующие хотя и в чужих интересах, но от собственного имени (коммерческие посредники, конкурсные управляющие при банкротстве, душеприказчики при наследовании и т.п.), а также лица, уполномоченные на вступление в переговоры относительно возможных в будущем сделок.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Представитель не может совершать сделки от имени представляемого в отношении себя лично. Он не может также совершать такие сделки в отношении другого лица, представителем которого он одновременно является, за исключением случаев коммерческого представительства.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Не допускается совершение через представителя сделки, которая по своему характеру может быть совершена только лично, а равно других сделок, указанных в законе.</w:t>
      </w:r>
    </w:p>
    <w:p w:rsidR="00FD64D5" w:rsidRDefault="00FD64D5">
      <w:pPr>
        <w:pStyle w:val="4"/>
        <w:jc w:val="both"/>
        <w:rPr>
          <w:rFonts w:ascii="Arial" w:hAnsi="Arial" w:cs="Arial"/>
          <w:sz w:val="20"/>
        </w:rPr>
      </w:pPr>
      <w:r>
        <w:rPr>
          <w:rFonts w:ascii="Arial" w:hAnsi="Arial" w:cs="Arial"/>
          <w:i/>
          <w:iCs/>
          <w:sz w:val="20"/>
        </w:rPr>
        <w:t>Статья 183. Заключение сделки неуполномоченным лицом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другое лицо (представляемый) впоследствии прямо не одобрит данную сделку.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Последующее одобрение сделки представляемым создает, изменяет и прекращает для него гражданские права и обязанности по данной сделке с момента ее совершения.</w:t>
      </w:r>
    </w:p>
    <w:p w:rsidR="00FD64D5" w:rsidRDefault="00FD64D5">
      <w:pPr>
        <w:pStyle w:val="4"/>
        <w:jc w:val="both"/>
        <w:rPr>
          <w:rFonts w:ascii="Arial" w:hAnsi="Arial" w:cs="Arial"/>
          <w:sz w:val="20"/>
        </w:rPr>
      </w:pPr>
      <w:r>
        <w:rPr>
          <w:rFonts w:ascii="Arial" w:hAnsi="Arial" w:cs="Arial"/>
          <w:i/>
          <w:iCs/>
          <w:sz w:val="20"/>
        </w:rPr>
        <w:t>Статья 184. Коммерческое представительство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Одновременное коммерческое представительство разных сторон в сделке допускается с согласия этих сторон и в других случаях, предусмотренных законом. При этом коммерческий представитель обязан исполнять данные ему поручения с заботливостью обычного предпринимателя.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Коммерческий представитель вправе требовать уплаты обусловленного вознаграждения и возмещения понесенных им при исполнении поручения издержек от сторон договора в равных долях, если иное не предусмотрено соглашением между ними.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Коммерческое представительство осуществляется на основании договора, заключенного в письменной форме и содержащего указания на полномочия представителя, а при отсутствии таких указаний - также и доверенности.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Коммерческий представитель обязан сохранять в тайне ставшие ему известными сведения о торговых сделках и после исполнения данного ему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Особенности коммерческого представительства в отдельных сферах предпринимательской деятельности устанавливаются законом и иными правовыми актами.</w:t>
      </w:r>
    </w:p>
    <w:p w:rsidR="00FD64D5" w:rsidRDefault="00FD64D5">
      <w:pPr>
        <w:pStyle w:val="4"/>
        <w:jc w:val="both"/>
        <w:rPr>
          <w:rFonts w:ascii="Arial" w:hAnsi="Arial" w:cs="Arial"/>
          <w:sz w:val="20"/>
        </w:rPr>
      </w:pPr>
      <w:r>
        <w:rPr>
          <w:rFonts w:ascii="Arial" w:hAnsi="Arial" w:cs="Arial"/>
          <w:i/>
          <w:iCs/>
          <w:sz w:val="20"/>
        </w:rPr>
        <w:t>Статья 185. Доверенность</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Доверенностью признается письменное уполномочие, выдаваемое одним лицом другому лицу для представительства перед третьими лицами. Письменное уполномочие на совершение сделки представителем может быть представлено представляемым непосредственно соответствующему третьему лицу.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Доверенность на совершение сделок, требующих нотариальной формы, должна быть нотариально удостоверена, за исключением случаев, предусмотренных законом.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К нотариально удостоверенным доверенностям приравниваются: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доверенности военнослужащих и других лиц, находящихся на излечении в госпиталях, санаториях и других военно-лечебных учреждениях, удостоверенные начальником такого учреждения, его заместителем по медицинской части, старшим или дежурным врачом;</w:t>
      </w:r>
      <w:r>
        <w:rPr>
          <w:rFonts w:ascii="Arial" w:hAnsi="Arial" w:cs="Arial"/>
          <w:sz w:val="20"/>
        </w:rPr>
        <w:br/>
        <w:t>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рабочих и служащих, членов их семей и членов семей военнослужащих, удостоверенные командиром (начальником) этих части, соединения, учреждения или заведения;</w:t>
      </w:r>
      <w:r>
        <w:rPr>
          <w:rFonts w:ascii="Arial" w:hAnsi="Arial" w:cs="Arial"/>
          <w:sz w:val="20"/>
        </w:rPr>
        <w:br/>
        <w:t>3) доверенности лиц, находящихся в местах лишения свободы, удостоверенные начальником соответствующего места лишения свободы;</w:t>
      </w:r>
      <w:r>
        <w:rPr>
          <w:rFonts w:ascii="Arial" w:hAnsi="Arial" w:cs="Arial"/>
          <w:sz w:val="20"/>
        </w:rPr>
        <w:br/>
        <w:t>4) доверенности совершеннолетних дееспособных граждан, находящихся в учреждениях социальной защиты населения, удостоверенные администрацией этого учреждения или руководителем (его заместителем) соответствующего органа социальной защиты населения.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вкладов граждан в банках и на получение корреспонденции, в том числе денежной и посылочной, может быть удостоверена также организацией, в которой доверитель работает или учится, жилищно-эксплуатационной организацией по месту его жительства и администрацией стационарного лечебного учреждения, в котором он находится на излечении.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Доверенность на получение представителем гражданина его вклада в банке, денежных средств с его банковского счета, адресованной ему корреспонденции в организациях связи, а также на совершение от имени гражданина иных сделок, указанных в абзаце первом настоящего пункта, может быть удостоверена соответствующими банком или организацией связи. Такая доверенность удостоверяется бесплатно.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Доверенность от имени юридического лица выдается за подписью его руководителя или иного лица, уполномоченного на это его учредительными документами, с приложением печати этой организации.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Доверенность от имени юридического лица, основанного на государственной или муниципальной собственности, на получение или выдачу денег и других имущественных ценностей должна быть подписана также главным (старшим) бухгалтером этой организации.</w:t>
      </w:r>
    </w:p>
    <w:p w:rsidR="00FD64D5" w:rsidRDefault="00FD64D5">
      <w:pPr>
        <w:pStyle w:val="4"/>
        <w:jc w:val="both"/>
        <w:rPr>
          <w:rFonts w:ascii="Arial" w:hAnsi="Arial" w:cs="Arial"/>
          <w:sz w:val="20"/>
        </w:rPr>
      </w:pPr>
      <w:r>
        <w:rPr>
          <w:rFonts w:ascii="Arial" w:hAnsi="Arial" w:cs="Arial"/>
          <w:i/>
          <w:iCs/>
          <w:sz w:val="20"/>
        </w:rPr>
        <w:t>Статья 186. Срок доверенности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Срок действия доверенности не может превышать трех лет. Если срок в доверенности не указан, она сохраняет силу в течение года со дня ее совершения.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Доверенность, в которой не указана дата ее совершения, ничтожна.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Удостоверенная нотариусом доверенность, предназначенная для совершения действий за границей и не содержащая указание о сроке ее действия, сохраняет силу до ее отмены лицом, выдавшим доверенность.</w:t>
      </w:r>
    </w:p>
    <w:p w:rsidR="00FD64D5" w:rsidRDefault="00FD64D5">
      <w:pPr>
        <w:pStyle w:val="4"/>
        <w:jc w:val="both"/>
        <w:rPr>
          <w:rFonts w:ascii="Arial" w:hAnsi="Arial" w:cs="Arial"/>
          <w:sz w:val="20"/>
        </w:rPr>
      </w:pPr>
      <w:r>
        <w:rPr>
          <w:rFonts w:ascii="Arial" w:hAnsi="Arial" w:cs="Arial"/>
          <w:i/>
          <w:iCs/>
          <w:sz w:val="20"/>
        </w:rPr>
        <w:t>Статья 187. Передоверие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Лицо, которому выдана доверенность, должно лично совершать те действия, на которые оно уполномочено. Оно может передоверить их совершение другому лицу, если уполномочено на это доверенностью либо вынуждено к этому силою обстоятельств для охраны интересов выдавшего доверенность.</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Передавший полномочия другому лицу должен известить об этом выдавшего доверенность и сообщить ему необходимые сведения о лице, которому переданы полномочия. Неисполнение этой обязанности возлагает на передавшего полномочия ответственность за действия лица, которому он передал полномочия, как за свои собственные.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Доверенность, выдаваемая в порядке передоверия, должна быть нотариально удостоверена, за исключением случаев, предусмотренных пунктом 4 статьи 185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Срок действия доверенности, выданной в порядке передоверия, не может превышать срока действия доверенности, на основании которой она выдана.</w:t>
      </w:r>
    </w:p>
    <w:p w:rsidR="00FD64D5" w:rsidRDefault="00FD64D5">
      <w:pPr>
        <w:pStyle w:val="4"/>
        <w:jc w:val="both"/>
        <w:rPr>
          <w:rFonts w:ascii="Arial" w:hAnsi="Arial" w:cs="Arial"/>
          <w:sz w:val="20"/>
        </w:rPr>
      </w:pPr>
      <w:r>
        <w:rPr>
          <w:rFonts w:ascii="Arial" w:hAnsi="Arial" w:cs="Arial"/>
          <w:i/>
          <w:iCs/>
          <w:sz w:val="20"/>
        </w:rPr>
        <w:t>Статья 188. Прекращение доверенности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Действие доверенности прекращается вследствие: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истечения срока доверенности;</w:t>
      </w:r>
      <w:r>
        <w:rPr>
          <w:rFonts w:ascii="Arial" w:hAnsi="Arial" w:cs="Arial"/>
          <w:sz w:val="20"/>
        </w:rPr>
        <w:br/>
        <w:t>2) отмены доверенности лицом, выдавшим ее;</w:t>
      </w:r>
      <w:r>
        <w:rPr>
          <w:rFonts w:ascii="Arial" w:hAnsi="Arial" w:cs="Arial"/>
          <w:sz w:val="20"/>
        </w:rPr>
        <w:br/>
        <w:t>3) отказа лица, которому выдана доверенность;</w:t>
      </w:r>
      <w:r>
        <w:rPr>
          <w:rFonts w:ascii="Arial" w:hAnsi="Arial" w:cs="Arial"/>
          <w:sz w:val="20"/>
        </w:rPr>
        <w:br/>
        <w:t>4) прекращения юридического лица, от имени которого выдана доверенность;</w:t>
      </w:r>
      <w:r>
        <w:rPr>
          <w:rFonts w:ascii="Arial" w:hAnsi="Arial" w:cs="Arial"/>
          <w:sz w:val="20"/>
        </w:rPr>
        <w:br/>
        <w:t>5) прекращения юридического лица, которому выдана доверенность;</w:t>
      </w:r>
      <w:r>
        <w:rPr>
          <w:rFonts w:ascii="Arial" w:hAnsi="Arial" w:cs="Arial"/>
          <w:sz w:val="20"/>
        </w:rPr>
        <w:br/>
        <w:t>6) смерти гражданина, выдавшего доверенность, признания его недееспособным, ограниченно дееспособным или безвестно отсутствующим;</w:t>
      </w:r>
      <w:r>
        <w:rPr>
          <w:rFonts w:ascii="Arial" w:hAnsi="Arial" w:cs="Arial"/>
          <w:sz w:val="20"/>
        </w:rPr>
        <w:br/>
        <w:t>7) смерти гражданина, которому выдана доверенность, признания его недееспособным, ограниченно дееспособным или безвестно отсутствующим.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Лицо, выдавшее доверенность, может во всякое время отменить доверенность или передоверие, а лицо, которому доверенность выдана, - отказаться от нее. Соглашение об отказе от этих прав ничтожно.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С прекращением доверенности теряет силу передоверие.</w:t>
      </w:r>
    </w:p>
    <w:p w:rsidR="00FD64D5" w:rsidRDefault="00FD64D5">
      <w:pPr>
        <w:pStyle w:val="4"/>
        <w:jc w:val="both"/>
        <w:rPr>
          <w:rFonts w:ascii="Arial" w:hAnsi="Arial" w:cs="Arial"/>
          <w:sz w:val="20"/>
        </w:rPr>
      </w:pPr>
      <w:r>
        <w:rPr>
          <w:rFonts w:ascii="Arial" w:hAnsi="Arial" w:cs="Arial"/>
          <w:i/>
          <w:iCs/>
          <w:sz w:val="20"/>
        </w:rPr>
        <w:t>Статья 189. Последствия прекращения доверенности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подпунктах 4 и 6 пункта 1 статьи 188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Права и обязанности, возникшие в результате действий лица, которому выдана доверенность, до того, как это лицо узнало или должно было узнать о ее прекращении, сохраняют силу для выдавшего доверенность и его правопреемников в отношении третьих лиц. Это правило не применяется, если третье лицо знало или должно было знать, что действие доверенности прекратилось.</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По прекращении доверенности лицо, которому она выдана, или его правопреемники обязаны немедленно вернуть доверенность.</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pStyle w:val="3"/>
        <w:jc w:val="both"/>
        <w:rPr>
          <w:rFonts w:ascii="Arial" w:hAnsi="Arial" w:cs="Arial"/>
          <w:sz w:val="20"/>
        </w:rPr>
      </w:pPr>
      <w:r>
        <w:rPr>
          <w:rFonts w:ascii="Arial" w:hAnsi="Arial" w:cs="Arial"/>
          <w:sz w:val="20"/>
        </w:rPr>
        <w:t>4. Исковая давность, сроки давности, последствия истечения  срока исковой давности.</w:t>
      </w:r>
    </w:p>
    <w:p w:rsidR="00FD64D5" w:rsidRDefault="00FD64D5">
      <w:pPr>
        <w:jc w:val="both"/>
        <w:rPr>
          <w:rFonts w:ascii="Arial" w:hAnsi="Arial" w:cs="Arial"/>
          <w:sz w:val="20"/>
        </w:rPr>
      </w:pPr>
    </w:p>
    <w:tbl>
      <w:tblPr>
        <w:tblW w:w="5000" w:type="pct"/>
        <w:jc w:val="center"/>
        <w:tblCellSpacing w:w="0" w:type="dxa"/>
        <w:tblCellMar>
          <w:top w:w="75" w:type="dxa"/>
          <w:left w:w="75" w:type="dxa"/>
          <w:bottom w:w="75" w:type="dxa"/>
          <w:right w:w="75" w:type="dxa"/>
        </w:tblCellMar>
        <w:tblLook w:val="0000" w:firstRow="0" w:lastRow="0" w:firstColumn="0" w:lastColumn="0" w:noHBand="0" w:noVBand="0"/>
      </w:tblPr>
      <w:tblGrid>
        <w:gridCol w:w="9977"/>
        <w:gridCol w:w="1541"/>
      </w:tblGrid>
      <w:tr w:rsidR="00FD64D5">
        <w:trPr>
          <w:cantSplit/>
          <w:tblCellSpacing w:w="0" w:type="dxa"/>
          <w:jc w:val="center"/>
        </w:trPr>
        <w:tc>
          <w:tcPr>
            <w:tcW w:w="4331" w:type="pct"/>
            <w:vMerge w:val="restart"/>
          </w:tcPr>
          <w:p w:rsidR="00FD64D5" w:rsidRDefault="00FD64D5">
            <w:pPr>
              <w:pStyle w:val="p1"/>
              <w:jc w:val="both"/>
              <w:rPr>
                <w:rFonts w:ascii="Arial" w:hAnsi="Arial" w:cs="Arial"/>
                <w:sz w:val="20"/>
              </w:rPr>
            </w:pPr>
            <w:r>
              <w:rPr>
                <w:rFonts w:ascii="Arial" w:hAnsi="Arial" w:cs="Arial"/>
                <w:sz w:val="20"/>
              </w:rPr>
              <w:t xml:space="preserve">Подраздел 5. Сроки. Исковая давность </w:t>
            </w:r>
          </w:p>
        </w:tc>
        <w:tc>
          <w:tcPr>
            <w:tcW w:w="669" w:type="pct"/>
          </w:tcPr>
          <w:tbl>
            <w:tblPr>
              <w:tblW w:w="900" w:type="dxa"/>
              <w:jc w:val="right"/>
              <w:tblCellSpacing w:w="0" w:type="dxa"/>
              <w:tblCellMar>
                <w:top w:w="15" w:type="dxa"/>
                <w:left w:w="15" w:type="dxa"/>
                <w:bottom w:w="15" w:type="dxa"/>
                <w:right w:w="15" w:type="dxa"/>
              </w:tblCellMar>
              <w:tblLook w:val="0000" w:firstRow="0" w:lastRow="0" w:firstColumn="0" w:lastColumn="0" w:noHBand="0" w:noVBand="0"/>
            </w:tblPr>
            <w:tblGrid>
              <w:gridCol w:w="360"/>
              <w:gridCol w:w="360"/>
              <w:gridCol w:w="360"/>
            </w:tblGrid>
            <w:tr w:rsidR="00FD64D5">
              <w:trPr>
                <w:tblCellSpacing w:w="0" w:type="dxa"/>
                <w:jc w:val="right"/>
              </w:trPr>
              <w:tc>
                <w:tcPr>
                  <w:tcW w:w="300" w:type="dxa"/>
                  <w:vAlign w:val="center"/>
                </w:tcPr>
                <w:p w:rsidR="00FD64D5" w:rsidRDefault="006B1885">
                  <w:pPr>
                    <w:jc w:val="both"/>
                    <w:rPr>
                      <w:rFonts w:ascii="Arial" w:eastAsia="Arial Unicode MS" w:hAnsi="Arial" w:cs="Arial"/>
                      <w:sz w:val="20"/>
                    </w:rPr>
                  </w:pPr>
                  <w:r>
                    <w:rPr>
                      <w:rFonts w:ascii="Arial" w:hAnsi="Arial" w:cs="Arial"/>
                      <w:color w:val="004761"/>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Назад" href="10064072-016.htm" style="width:15pt;height:14.25pt" o:button="t">
                        <v:imagedata r:id="rId5" o:title=""/>
                      </v:shape>
                    </w:pict>
                  </w:r>
                </w:p>
              </w:tc>
              <w:tc>
                <w:tcPr>
                  <w:tcW w:w="300" w:type="dxa"/>
                  <w:vAlign w:val="center"/>
                </w:tcPr>
                <w:p w:rsidR="00FD64D5" w:rsidRDefault="006B1885">
                  <w:pPr>
                    <w:jc w:val="both"/>
                    <w:rPr>
                      <w:rFonts w:ascii="Arial" w:eastAsia="Arial Unicode MS" w:hAnsi="Arial" w:cs="Arial"/>
                      <w:sz w:val="20"/>
                    </w:rPr>
                  </w:pPr>
                  <w:r>
                    <w:rPr>
                      <w:rFonts w:ascii="Arial" w:hAnsi="Arial" w:cs="Arial"/>
                      <w:color w:val="004761"/>
                      <w:sz w:val="20"/>
                    </w:rPr>
                    <w:pict>
                      <v:shape id="_x0000_i1026" type="#_x0000_t75" alt="Содержание" href="10064072-001.htm" style="width:15pt;height:14.25pt" o:button="t">
                        <v:imagedata r:id="rId6" o:title=""/>
                      </v:shape>
                    </w:pict>
                  </w:r>
                </w:p>
              </w:tc>
              <w:tc>
                <w:tcPr>
                  <w:tcW w:w="300" w:type="dxa"/>
                  <w:vAlign w:val="center"/>
                </w:tcPr>
                <w:p w:rsidR="00FD64D5" w:rsidRDefault="006B1885">
                  <w:pPr>
                    <w:jc w:val="both"/>
                    <w:rPr>
                      <w:rFonts w:ascii="Arial" w:eastAsia="Arial Unicode MS" w:hAnsi="Arial" w:cs="Arial"/>
                      <w:sz w:val="20"/>
                    </w:rPr>
                  </w:pPr>
                  <w:r>
                    <w:rPr>
                      <w:rFonts w:ascii="Arial" w:hAnsi="Arial" w:cs="Arial"/>
                      <w:color w:val="004761"/>
                      <w:sz w:val="20"/>
                    </w:rPr>
                    <w:pict>
                      <v:shape id="_x0000_i1027" type="#_x0000_t75" alt="Вперед" href="10064072-018.htm" style="width:15pt;height:14.25pt" o:button="t">
                        <v:imagedata r:id="rId7" o:title=""/>
                      </v:shape>
                    </w:pict>
                  </w:r>
                </w:p>
              </w:tc>
            </w:tr>
          </w:tbl>
          <w:p w:rsidR="00FD64D5" w:rsidRDefault="00FD64D5">
            <w:pPr>
              <w:jc w:val="both"/>
              <w:rPr>
                <w:rFonts w:ascii="Arial" w:eastAsia="Arial Unicode MS" w:hAnsi="Arial" w:cs="Arial"/>
                <w:sz w:val="20"/>
              </w:rPr>
            </w:pPr>
          </w:p>
        </w:tc>
      </w:tr>
      <w:tr w:rsidR="00FD64D5">
        <w:trPr>
          <w:cantSplit/>
          <w:tblCellSpacing w:w="0" w:type="dxa"/>
          <w:jc w:val="center"/>
        </w:trPr>
        <w:tc>
          <w:tcPr>
            <w:tcW w:w="4331" w:type="pct"/>
            <w:vMerge/>
            <w:vAlign w:val="center"/>
          </w:tcPr>
          <w:p w:rsidR="00FD64D5" w:rsidRDefault="00FD64D5">
            <w:pPr>
              <w:jc w:val="both"/>
              <w:rPr>
                <w:rFonts w:ascii="Arial" w:eastAsia="Arial Unicode MS" w:hAnsi="Arial" w:cs="Arial"/>
                <w:b/>
                <w:bCs/>
                <w:color w:val="004761"/>
                <w:sz w:val="20"/>
              </w:rPr>
            </w:pPr>
          </w:p>
        </w:tc>
        <w:tc>
          <w:tcPr>
            <w:tcW w:w="669" w:type="pct"/>
            <w:vAlign w:val="bottom"/>
          </w:tcPr>
          <w:tbl>
            <w:tblPr>
              <w:tblW w:w="900" w:type="dxa"/>
              <w:jc w:val="right"/>
              <w:tblCellSpacing w:w="0" w:type="dxa"/>
              <w:tblCellMar>
                <w:top w:w="15" w:type="dxa"/>
                <w:left w:w="15" w:type="dxa"/>
                <w:bottom w:w="15" w:type="dxa"/>
                <w:right w:w="15" w:type="dxa"/>
              </w:tblCellMar>
              <w:tblLook w:val="0000" w:firstRow="0" w:lastRow="0" w:firstColumn="0" w:lastColumn="0" w:noHBand="0" w:noVBand="0"/>
            </w:tblPr>
            <w:tblGrid>
              <w:gridCol w:w="360"/>
              <w:gridCol w:w="360"/>
              <w:gridCol w:w="360"/>
            </w:tblGrid>
            <w:tr w:rsidR="00FD64D5">
              <w:trPr>
                <w:tblCellSpacing w:w="0" w:type="dxa"/>
                <w:jc w:val="right"/>
              </w:trPr>
              <w:tc>
                <w:tcPr>
                  <w:tcW w:w="300" w:type="dxa"/>
                  <w:vAlign w:val="center"/>
                </w:tcPr>
                <w:p w:rsidR="00FD64D5" w:rsidRDefault="006B1885">
                  <w:pPr>
                    <w:jc w:val="both"/>
                    <w:rPr>
                      <w:rFonts w:ascii="Arial" w:eastAsia="Arial Unicode MS" w:hAnsi="Arial" w:cs="Arial"/>
                      <w:sz w:val="20"/>
                    </w:rPr>
                  </w:pPr>
                  <w:r>
                    <w:rPr>
                      <w:rFonts w:ascii="Arial" w:hAnsi="Arial" w:cs="Arial"/>
                      <w:color w:val="004761"/>
                      <w:sz w:val="20"/>
                    </w:rPr>
                    <w:pict>
                      <v:shape id="_x0000_i1028" type="#_x0000_t75" alt="Назад" href="10064072-016.htm" style="width:15pt;height:14.25pt" o:button="t">
                        <v:imagedata r:id="rId5" o:title=""/>
                      </v:shape>
                    </w:pict>
                  </w:r>
                </w:p>
              </w:tc>
              <w:tc>
                <w:tcPr>
                  <w:tcW w:w="300" w:type="dxa"/>
                  <w:vAlign w:val="center"/>
                </w:tcPr>
                <w:p w:rsidR="00FD64D5" w:rsidRDefault="006B1885">
                  <w:pPr>
                    <w:jc w:val="both"/>
                    <w:rPr>
                      <w:rFonts w:ascii="Arial" w:eastAsia="Arial Unicode MS" w:hAnsi="Arial" w:cs="Arial"/>
                      <w:sz w:val="20"/>
                    </w:rPr>
                  </w:pPr>
                  <w:r>
                    <w:rPr>
                      <w:rFonts w:ascii="Arial" w:hAnsi="Arial" w:cs="Arial"/>
                      <w:color w:val="004761"/>
                      <w:sz w:val="20"/>
                    </w:rPr>
                    <w:pict>
                      <v:shape id="_x0000_i1029" type="#_x0000_t75" alt="Содержание" href="10064072-001.htm" style="width:15pt;height:14.25pt" o:button="t">
                        <v:imagedata r:id="rId6" o:title=""/>
                      </v:shape>
                    </w:pict>
                  </w:r>
                </w:p>
              </w:tc>
              <w:tc>
                <w:tcPr>
                  <w:tcW w:w="300" w:type="dxa"/>
                  <w:vAlign w:val="center"/>
                </w:tcPr>
                <w:p w:rsidR="00FD64D5" w:rsidRDefault="006B1885">
                  <w:pPr>
                    <w:jc w:val="both"/>
                    <w:rPr>
                      <w:rFonts w:ascii="Arial" w:eastAsia="Arial Unicode MS" w:hAnsi="Arial" w:cs="Arial"/>
                      <w:sz w:val="20"/>
                    </w:rPr>
                  </w:pPr>
                  <w:r>
                    <w:rPr>
                      <w:rFonts w:ascii="Arial" w:hAnsi="Arial" w:cs="Arial"/>
                      <w:color w:val="004761"/>
                      <w:sz w:val="20"/>
                    </w:rPr>
                    <w:pict>
                      <v:shape id="_x0000_i1030" type="#_x0000_t75" alt="Вперед" href="10064072-018.htm" style="width:15pt;height:14.25pt" o:button="t">
                        <v:imagedata r:id="rId7" o:title=""/>
                      </v:shape>
                    </w:pict>
                  </w:r>
                </w:p>
              </w:tc>
            </w:tr>
          </w:tbl>
          <w:p w:rsidR="00FD64D5" w:rsidRDefault="00FD64D5">
            <w:pPr>
              <w:jc w:val="both"/>
              <w:rPr>
                <w:rFonts w:ascii="Arial" w:eastAsia="Arial Unicode MS" w:hAnsi="Arial" w:cs="Arial"/>
                <w:sz w:val="20"/>
              </w:rPr>
            </w:pPr>
          </w:p>
        </w:tc>
      </w:tr>
      <w:tr w:rsidR="00FD64D5">
        <w:trPr>
          <w:tblCellSpacing w:w="0" w:type="dxa"/>
          <w:jc w:val="center"/>
        </w:trPr>
        <w:tc>
          <w:tcPr>
            <w:tcW w:w="5000" w:type="pct"/>
            <w:gridSpan w:val="2"/>
            <w:vAlign w:val="center"/>
          </w:tcPr>
          <w:tbl>
            <w:tblPr>
              <w:tblW w:w="0" w:type="auto"/>
              <w:jc w:val="center"/>
              <w:tblCellSpacing w:w="0" w:type="dxa"/>
              <w:tblCellMar>
                <w:left w:w="0" w:type="dxa"/>
                <w:right w:w="0" w:type="dxa"/>
              </w:tblCellMar>
              <w:tblLook w:val="0000" w:firstRow="0" w:lastRow="0" w:firstColumn="0" w:lastColumn="0" w:noHBand="0" w:noVBand="0"/>
            </w:tblPr>
            <w:tblGrid>
              <w:gridCol w:w="50"/>
            </w:tblGrid>
            <w:tr w:rsidR="00FD64D5">
              <w:trPr>
                <w:trHeight w:val="150"/>
                <w:tblCellSpacing w:w="0" w:type="dxa"/>
                <w:jc w:val="center"/>
              </w:trPr>
              <w:tc>
                <w:tcPr>
                  <w:tcW w:w="0" w:type="auto"/>
                  <w:vAlign w:val="center"/>
                </w:tcPr>
                <w:p w:rsidR="00FD64D5" w:rsidRDefault="00FD64D5">
                  <w:pPr>
                    <w:jc w:val="both"/>
                    <w:rPr>
                      <w:rFonts w:ascii="Arial" w:eastAsia="Arial Unicode MS" w:hAnsi="Arial" w:cs="Arial"/>
                      <w:sz w:val="20"/>
                    </w:rPr>
                  </w:pPr>
                </w:p>
              </w:tc>
            </w:tr>
          </w:tbl>
          <w:p w:rsidR="00FD64D5" w:rsidRDefault="00FD64D5">
            <w:pPr>
              <w:jc w:val="both"/>
              <w:rPr>
                <w:rFonts w:ascii="Arial" w:eastAsia="Arial Unicode MS" w:hAnsi="Arial" w:cs="Arial"/>
                <w:sz w:val="20"/>
              </w:rPr>
            </w:pPr>
          </w:p>
        </w:tc>
      </w:tr>
    </w:tbl>
    <w:p w:rsidR="00FD64D5" w:rsidRDefault="00FD64D5">
      <w:pPr>
        <w:pStyle w:val="p3"/>
        <w:rPr>
          <w:rFonts w:ascii="Arial" w:hAnsi="Arial" w:cs="Arial"/>
          <w:sz w:val="20"/>
        </w:rPr>
      </w:pPr>
      <w:r>
        <w:rPr>
          <w:rFonts w:ascii="Arial" w:hAnsi="Arial" w:cs="Arial"/>
          <w:sz w:val="20"/>
        </w:rPr>
        <w:t xml:space="preserve">Статья 195. Понятие исковой давности </w:t>
      </w:r>
    </w:p>
    <w:p w:rsidR="00FD64D5" w:rsidRDefault="00FD64D5">
      <w:pPr>
        <w:pStyle w:val="p2"/>
        <w:rPr>
          <w:rFonts w:ascii="Arial" w:hAnsi="Arial" w:cs="Arial"/>
          <w:sz w:val="20"/>
        </w:rPr>
      </w:pPr>
      <w:r>
        <w:rPr>
          <w:rFonts w:ascii="Arial" w:hAnsi="Arial" w:cs="Arial"/>
          <w:sz w:val="20"/>
        </w:rPr>
        <w:t xml:space="preserve">Исковой давностью признается срок для защиты права по иску лица, право которого нарушено. </w:t>
      </w:r>
    </w:p>
    <w:p w:rsidR="00FD64D5" w:rsidRDefault="00FD64D5">
      <w:pPr>
        <w:pStyle w:val="p3"/>
        <w:rPr>
          <w:rFonts w:ascii="Arial" w:hAnsi="Arial" w:cs="Arial"/>
          <w:sz w:val="20"/>
        </w:rPr>
      </w:pPr>
      <w:r>
        <w:rPr>
          <w:rFonts w:ascii="Arial" w:hAnsi="Arial" w:cs="Arial"/>
          <w:sz w:val="20"/>
        </w:rPr>
        <w:t xml:space="preserve">Статья 196. Общий срок исковой давности </w:t>
      </w:r>
    </w:p>
    <w:p w:rsidR="00FD64D5" w:rsidRDefault="00FD64D5">
      <w:pPr>
        <w:pStyle w:val="p2"/>
        <w:rPr>
          <w:rFonts w:ascii="Arial" w:hAnsi="Arial" w:cs="Arial"/>
          <w:sz w:val="20"/>
        </w:rPr>
      </w:pPr>
      <w:r>
        <w:rPr>
          <w:rFonts w:ascii="Arial" w:hAnsi="Arial" w:cs="Arial"/>
          <w:sz w:val="20"/>
        </w:rPr>
        <w:t xml:space="preserve">Общий срок исковой давности устанавливается в три года. </w:t>
      </w:r>
    </w:p>
    <w:p w:rsidR="00FD64D5" w:rsidRDefault="00FD64D5">
      <w:pPr>
        <w:pStyle w:val="p3"/>
        <w:rPr>
          <w:rFonts w:ascii="Arial" w:hAnsi="Arial" w:cs="Arial"/>
          <w:sz w:val="20"/>
        </w:rPr>
      </w:pPr>
      <w:r>
        <w:rPr>
          <w:rFonts w:ascii="Arial" w:hAnsi="Arial" w:cs="Arial"/>
          <w:sz w:val="20"/>
        </w:rPr>
        <w:t xml:space="preserve">Статья 197. Специальные сроки исковой давности </w:t>
      </w:r>
    </w:p>
    <w:p w:rsidR="00FD64D5" w:rsidRDefault="00FD64D5">
      <w:pPr>
        <w:pStyle w:val="p2"/>
        <w:rPr>
          <w:rFonts w:ascii="Arial" w:hAnsi="Arial" w:cs="Arial"/>
          <w:sz w:val="20"/>
        </w:rPr>
      </w:pPr>
      <w:r>
        <w:rPr>
          <w:rFonts w:ascii="Arial" w:hAnsi="Arial" w:cs="Arial"/>
          <w:sz w:val="20"/>
        </w:rPr>
        <w:t xml:space="preserve">1.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 </w:t>
      </w:r>
    </w:p>
    <w:p w:rsidR="00FD64D5" w:rsidRDefault="00FD64D5">
      <w:pPr>
        <w:pStyle w:val="p2"/>
        <w:rPr>
          <w:rFonts w:ascii="Arial" w:hAnsi="Arial" w:cs="Arial"/>
          <w:sz w:val="20"/>
        </w:rPr>
      </w:pPr>
      <w:r>
        <w:rPr>
          <w:rFonts w:ascii="Arial" w:hAnsi="Arial" w:cs="Arial"/>
          <w:sz w:val="20"/>
        </w:rPr>
        <w:t xml:space="preserve">2. Правила статей </w:t>
      </w:r>
      <w:r w:rsidRPr="00EB35DF">
        <w:rPr>
          <w:rFonts w:ascii="Arial" w:hAnsi="Arial" w:cs="Arial"/>
          <w:b/>
          <w:bCs/>
          <w:sz w:val="20"/>
        </w:rPr>
        <w:t>195</w:t>
      </w:r>
      <w:r>
        <w:rPr>
          <w:rFonts w:ascii="Arial" w:hAnsi="Arial" w:cs="Arial"/>
          <w:sz w:val="20"/>
        </w:rPr>
        <w:t xml:space="preserve">, </w:t>
      </w:r>
      <w:r w:rsidRPr="00EB35DF">
        <w:rPr>
          <w:rFonts w:ascii="Arial" w:hAnsi="Arial" w:cs="Arial"/>
          <w:b/>
          <w:bCs/>
          <w:sz w:val="20"/>
        </w:rPr>
        <w:t>198 - 207</w:t>
      </w:r>
      <w:r>
        <w:rPr>
          <w:rFonts w:ascii="Arial" w:hAnsi="Arial" w:cs="Arial"/>
          <w:sz w:val="20"/>
        </w:rPr>
        <w:t xml:space="preserve"> настоящего Кодекса распространяются также на специальные сроки давности, если законом не установлено иное. </w:t>
      </w:r>
    </w:p>
    <w:p w:rsidR="00FD64D5" w:rsidRDefault="00FD64D5">
      <w:pPr>
        <w:pStyle w:val="p3"/>
        <w:rPr>
          <w:rFonts w:ascii="Arial" w:hAnsi="Arial" w:cs="Arial"/>
          <w:sz w:val="20"/>
        </w:rPr>
      </w:pPr>
      <w:r>
        <w:rPr>
          <w:rFonts w:ascii="Arial" w:hAnsi="Arial" w:cs="Arial"/>
          <w:sz w:val="20"/>
        </w:rPr>
        <w:t xml:space="preserve">Статья 198. Недействительность соглашения об изменении сроков исковой давности </w:t>
      </w:r>
    </w:p>
    <w:p w:rsidR="00FD64D5" w:rsidRDefault="00FD64D5">
      <w:pPr>
        <w:pStyle w:val="p2"/>
        <w:rPr>
          <w:rFonts w:ascii="Arial" w:hAnsi="Arial" w:cs="Arial"/>
          <w:sz w:val="20"/>
        </w:rPr>
      </w:pPr>
      <w:r>
        <w:rPr>
          <w:rFonts w:ascii="Arial" w:hAnsi="Arial" w:cs="Arial"/>
          <w:sz w:val="20"/>
        </w:rPr>
        <w:t xml:space="preserve">Сроки исковой давности и порядок их исчисления не могут быть изменены соглашением сторон. </w:t>
      </w:r>
    </w:p>
    <w:p w:rsidR="00FD64D5" w:rsidRDefault="00FD64D5">
      <w:pPr>
        <w:pStyle w:val="p2"/>
        <w:rPr>
          <w:rFonts w:ascii="Arial" w:hAnsi="Arial" w:cs="Arial"/>
          <w:sz w:val="20"/>
        </w:rPr>
      </w:pPr>
      <w:r>
        <w:rPr>
          <w:rFonts w:ascii="Arial" w:hAnsi="Arial" w:cs="Arial"/>
          <w:sz w:val="20"/>
        </w:rPr>
        <w:t xml:space="preserve">Основания приостановления и перерыва течения сроков исковой давности устанавливаются настоящим Кодексом и иными законами. </w:t>
      </w:r>
    </w:p>
    <w:p w:rsidR="00FD64D5" w:rsidRDefault="00FD64D5">
      <w:pPr>
        <w:pStyle w:val="p3"/>
        <w:rPr>
          <w:rFonts w:ascii="Arial" w:hAnsi="Arial" w:cs="Arial"/>
          <w:sz w:val="20"/>
        </w:rPr>
      </w:pPr>
      <w:r>
        <w:rPr>
          <w:rFonts w:ascii="Arial" w:hAnsi="Arial" w:cs="Arial"/>
          <w:sz w:val="20"/>
        </w:rPr>
        <w:t xml:space="preserve">Статья 199. Применение исковой давности </w:t>
      </w:r>
    </w:p>
    <w:p w:rsidR="00FD64D5" w:rsidRDefault="00FD64D5">
      <w:pPr>
        <w:pStyle w:val="p2"/>
        <w:rPr>
          <w:rFonts w:ascii="Arial" w:hAnsi="Arial" w:cs="Arial"/>
          <w:sz w:val="20"/>
        </w:rPr>
      </w:pPr>
      <w:r>
        <w:rPr>
          <w:rFonts w:ascii="Arial" w:hAnsi="Arial" w:cs="Arial"/>
          <w:sz w:val="20"/>
        </w:rPr>
        <w:t xml:space="preserve">1. Требование о защите нарушенного права принимается к рассмотрению судом независимо от истечения срока исковой давности. </w:t>
      </w:r>
    </w:p>
    <w:p w:rsidR="00FD64D5" w:rsidRDefault="00FD64D5">
      <w:pPr>
        <w:pStyle w:val="p2"/>
        <w:rPr>
          <w:rFonts w:ascii="Arial" w:hAnsi="Arial" w:cs="Arial"/>
          <w:sz w:val="20"/>
        </w:rPr>
      </w:pPr>
      <w:r>
        <w:rPr>
          <w:rFonts w:ascii="Arial" w:hAnsi="Arial" w:cs="Arial"/>
          <w:sz w:val="20"/>
        </w:rPr>
        <w:t xml:space="preserve">2. Исковая давность применяется судом только по заявлению стороны в споре, сделанному до вынесения судом решения. </w:t>
      </w:r>
    </w:p>
    <w:p w:rsidR="00FD64D5" w:rsidRDefault="00FD64D5">
      <w:pPr>
        <w:pStyle w:val="p2"/>
        <w:rPr>
          <w:rFonts w:ascii="Arial" w:hAnsi="Arial" w:cs="Arial"/>
          <w:sz w:val="20"/>
        </w:rPr>
      </w:pPr>
      <w:r>
        <w:rPr>
          <w:rFonts w:ascii="Arial" w:hAnsi="Arial" w:cs="Arial"/>
          <w:sz w:val="20"/>
        </w:rPr>
        <w:t xml:space="preserve">Истечение срока исковой давности, о применении которой заявлено стороной в споре, является основанием к вынесению судом решения об отказе в иске. </w:t>
      </w:r>
    </w:p>
    <w:p w:rsidR="00FD64D5" w:rsidRDefault="00FD64D5">
      <w:pPr>
        <w:pStyle w:val="p3"/>
        <w:rPr>
          <w:rFonts w:ascii="Arial" w:hAnsi="Arial" w:cs="Arial"/>
          <w:sz w:val="20"/>
        </w:rPr>
      </w:pPr>
      <w:r>
        <w:rPr>
          <w:rFonts w:ascii="Arial" w:hAnsi="Arial" w:cs="Arial"/>
          <w:sz w:val="20"/>
        </w:rPr>
        <w:t xml:space="preserve">Статья 200. Начало течения срока исковой давности </w:t>
      </w:r>
    </w:p>
    <w:p w:rsidR="00FD64D5" w:rsidRDefault="00FD64D5">
      <w:pPr>
        <w:pStyle w:val="p2"/>
        <w:rPr>
          <w:rFonts w:ascii="Arial" w:hAnsi="Arial" w:cs="Arial"/>
          <w:sz w:val="20"/>
        </w:rPr>
      </w:pPr>
      <w:r>
        <w:rPr>
          <w:rFonts w:ascii="Arial" w:hAnsi="Arial" w:cs="Arial"/>
          <w:sz w:val="20"/>
        </w:rPr>
        <w:t xml:space="preserve">1. Течение срока исковой давности начинается со дня, когда лицо узнало или должно было узнать о нарушении своего права. Изъятия из этого правила устанавливаются настоящим Кодексом и иными законами. </w:t>
      </w:r>
    </w:p>
    <w:p w:rsidR="00FD64D5" w:rsidRDefault="00FD64D5">
      <w:pPr>
        <w:pStyle w:val="p2"/>
        <w:rPr>
          <w:rFonts w:ascii="Arial" w:hAnsi="Arial" w:cs="Arial"/>
          <w:sz w:val="20"/>
        </w:rPr>
      </w:pPr>
      <w:r>
        <w:rPr>
          <w:rFonts w:ascii="Arial" w:hAnsi="Arial" w:cs="Arial"/>
          <w:sz w:val="20"/>
        </w:rPr>
        <w:t xml:space="preserve">2. По обязательствам с определенным сроком исполнения течение исковой давности начинается по окончании срока исполнения. </w:t>
      </w:r>
    </w:p>
    <w:p w:rsidR="00FD64D5" w:rsidRDefault="00FD64D5">
      <w:pPr>
        <w:pStyle w:val="p2"/>
        <w:rPr>
          <w:rFonts w:ascii="Arial" w:hAnsi="Arial" w:cs="Arial"/>
          <w:sz w:val="20"/>
        </w:rPr>
      </w:pPr>
      <w:r>
        <w:rPr>
          <w:rFonts w:ascii="Arial" w:hAnsi="Arial" w:cs="Arial"/>
          <w:sz w:val="20"/>
        </w:rPr>
        <w:t xml:space="preserve">По обязательствам, срок исполнения которых не определен либо определен моментом востребования, течение исковой давности начинается с момента, когда у кредитора возникает право предъявить требование об исполнении обязательства, а если должнику предоставляется льготный срок для исполнения такого требования, исчисление исковой давности начинается по окончании указанного срока. </w:t>
      </w:r>
    </w:p>
    <w:p w:rsidR="00FD64D5" w:rsidRDefault="00FD64D5">
      <w:pPr>
        <w:pStyle w:val="p2"/>
        <w:rPr>
          <w:rFonts w:ascii="Arial" w:hAnsi="Arial" w:cs="Arial"/>
          <w:sz w:val="20"/>
        </w:rPr>
      </w:pPr>
      <w:r>
        <w:rPr>
          <w:rFonts w:ascii="Arial" w:hAnsi="Arial" w:cs="Arial"/>
          <w:sz w:val="20"/>
        </w:rPr>
        <w:t xml:space="preserve">3. По регрессным обязательствам течение исковой давности начинается с момента исполнения основного обязательства. </w:t>
      </w:r>
    </w:p>
    <w:p w:rsidR="00FD64D5" w:rsidRDefault="00FD64D5">
      <w:pPr>
        <w:pStyle w:val="p3"/>
        <w:rPr>
          <w:rFonts w:ascii="Arial" w:hAnsi="Arial" w:cs="Arial"/>
          <w:sz w:val="20"/>
        </w:rPr>
      </w:pPr>
      <w:r>
        <w:rPr>
          <w:rFonts w:ascii="Arial" w:hAnsi="Arial" w:cs="Arial"/>
          <w:sz w:val="20"/>
        </w:rPr>
        <w:t xml:space="preserve">Статья 201. Срок исковой давности при перемене лиц в обязательстве </w:t>
      </w:r>
    </w:p>
    <w:p w:rsidR="00FD64D5" w:rsidRDefault="00FD64D5">
      <w:pPr>
        <w:pStyle w:val="p2"/>
        <w:rPr>
          <w:rFonts w:ascii="Arial" w:hAnsi="Arial" w:cs="Arial"/>
          <w:sz w:val="20"/>
        </w:rPr>
      </w:pPr>
      <w:r>
        <w:rPr>
          <w:rFonts w:ascii="Arial" w:hAnsi="Arial" w:cs="Arial"/>
          <w:sz w:val="20"/>
        </w:rPr>
        <w:t xml:space="preserve">Перемена лиц в обязательстве не влечет изменения срока исковой давности и порядка его исчисления. </w:t>
      </w:r>
    </w:p>
    <w:p w:rsidR="00FD64D5" w:rsidRDefault="00FD64D5">
      <w:pPr>
        <w:pStyle w:val="p3"/>
        <w:rPr>
          <w:rFonts w:ascii="Arial" w:hAnsi="Arial" w:cs="Arial"/>
          <w:sz w:val="20"/>
        </w:rPr>
      </w:pPr>
      <w:r>
        <w:rPr>
          <w:rFonts w:ascii="Arial" w:hAnsi="Arial" w:cs="Arial"/>
          <w:sz w:val="20"/>
        </w:rPr>
        <w:t xml:space="preserve">Статья 202. Приостановление течения срока исковой давности </w:t>
      </w:r>
    </w:p>
    <w:p w:rsidR="00FD64D5" w:rsidRDefault="00FD64D5">
      <w:pPr>
        <w:pStyle w:val="p2"/>
        <w:rPr>
          <w:rFonts w:ascii="Arial" w:hAnsi="Arial" w:cs="Arial"/>
          <w:sz w:val="20"/>
        </w:rPr>
      </w:pPr>
      <w:r>
        <w:rPr>
          <w:rFonts w:ascii="Arial" w:hAnsi="Arial" w:cs="Arial"/>
          <w:sz w:val="20"/>
        </w:rPr>
        <w:t xml:space="preserve">1. Течение срока исковой давности приостанавливается: </w:t>
      </w:r>
    </w:p>
    <w:p w:rsidR="00FD64D5" w:rsidRDefault="00FD64D5">
      <w:pPr>
        <w:pStyle w:val="p2"/>
        <w:rPr>
          <w:rFonts w:ascii="Arial" w:hAnsi="Arial" w:cs="Arial"/>
          <w:sz w:val="20"/>
        </w:rPr>
      </w:pPr>
      <w:r>
        <w:rPr>
          <w:rFonts w:ascii="Arial" w:hAnsi="Arial" w:cs="Arial"/>
          <w:sz w:val="20"/>
        </w:rPr>
        <w:t xml:space="preserve">1) если предъявлению иска препятствовало чрезвычайное и непредотвратимое при данных условиях обстоятельство (непреодолимая сила); </w:t>
      </w:r>
    </w:p>
    <w:p w:rsidR="00FD64D5" w:rsidRDefault="00FD64D5">
      <w:pPr>
        <w:pStyle w:val="p2"/>
        <w:rPr>
          <w:rFonts w:ascii="Arial" w:hAnsi="Arial" w:cs="Arial"/>
          <w:sz w:val="20"/>
        </w:rPr>
      </w:pPr>
      <w:r>
        <w:rPr>
          <w:rFonts w:ascii="Arial" w:hAnsi="Arial" w:cs="Arial"/>
          <w:sz w:val="20"/>
        </w:rPr>
        <w:t xml:space="preserve">2) если истец или ответчик находится в составе Вооруженных Сил, переведенных на военное положение; </w:t>
      </w:r>
    </w:p>
    <w:p w:rsidR="00FD64D5" w:rsidRDefault="00FD64D5">
      <w:pPr>
        <w:pStyle w:val="p2"/>
        <w:rPr>
          <w:rFonts w:ascii="Arial" w:hAnsi="Arial" w:cs="Arial"/>
          <w:sz w:val="20"/>
        </w:rPr>
      </w:pPr>
      <w:r>
        <w:rPr>
          <w:rFonts w:ascii="Arial" w:hAnsi="Arial" w:cs="Arial"/>
          <w:sz w:val="20"/>
        </w:rPr>
        <w:t xml:space="preserve">3) в силу установленной на основании закона Правительством Российской Федерации отсрочки исполнения обязательств (мораторий); </w:t>
      </w:r>
    </w:p>
    <w:p w:rsidR="00FD64D5" w:rsidRDefault="00FD64D5">
      <w:pPr>
        <w:pStyle w:val="p2"/>
        <w:rPr>
          <w:rFonts w:ascii="Arial" w:hAnsi="Arial" w:cs="Arial"/>
          <w:sz w:val="20"/>
        </w:rPr>
      </w:pPr>
      <w:r>
        <w:rPr>
          <w:rFonts w:ascii="Arial" w:hAnsi="Arial" w:cs="Arial"/>
          <w:sz w:val="20"/>
        </w:rPr>
        <w:t xml:space="preserve">4) в силу приостановления действия закона или иного правового акта, регулирующего соответствующее отношение. </w:t>
      </w:r>
    </w:p>
    <w:p w:rsidR="00FD64D5" w:rsidRDefault="00FD64D5">
      <w:pPr>
        <w:pStyle w:val="p2"/>
        <w:rPr>
          <w:rFonts w:ascii="Arial" w:hAnsi="Arial" w:cs="Arial"/>
          <w:sz w:val="20"/>
        </w:rPr>
      </w:pPr>
      <w:r>
        <w:rPr>
          <w:rFonts w:ascii="Arial" w:hAnsi="Arial" w:cs="Arial"/>
          <w:sz w:val="20"/>
        </w:rPr>
        <w:t xml:space="preserve">2. Течение срока исковой давности приостанавливается при условии, если указанные в настоящей статье обстоятельства возникли или продолжали существовать в последние шесть месяцев срока давности, а если этот срок равен шести месяцам или менее шести месяцев - в течение срока давности. </w:t>
      </w:r>
    </w:p>
    <w:p w:rsidR="00FD64D5" w:rsidRDefault="00FD64D5">
      <w:pPr>
        <w:pStyle w:val="p2"/>
        <w:rPr>
          <w:rFonts w:ascii="Arial" w:hAnsi="Arial" w:cs="Arial"/>
          <w:sz w:val="20"/>
        </w:rPr>
      </w:pPr>
      <w:r>
        <w:rPr>
          <w:rFonts w:ascii="Arial" w:hAnsi="Arial" w:cs="Arial"/>
          <w:sz w:val="20"/>
        </w:rPr>
        <w:t xml:space="preserve">3. Со дня прекращения обстоятельства, послужившего основанием приостановления давности, течение ее срока продолжается. Остающаяся часть срока удлиняется до шести месяцев, а если срок исковой давности равен шести месяцам или менее шести месяцев - до срока давности. </w:t>
      </w:r>
    </w:p>
    <w:p w:rsidR="00FD64D5" w:rsidRDefault="00FD64D5">
      <w:pPr>
        <w:pStyle w:val="p3"/>
        <w:rPr>
          <w:rFonts w:ascii="Arial" w:hAnsi="Arial" w:cs="Arial"/>
          <w:sz w:val="20"/>
        </w:rPr>
      </w:pPr>
      <w:r>
        <w:rPr>
          <w:rFonts w:ascii="Arial" w:hAnsi="Arial" w:cs="Arial"/>
          <w:sz w:val="20"/>
        </w:rPr>
        <w:t xml:space="preserve">Статья 203. Перерыв течения срока исковой давности </w:t>
      </w:r>
    </w:p>
    <w:p w:rsidR="00FD64D5" w:rsidRDefault="00FD64D5">
      <w:pPr>
        <w:pStyle w:val="p2"/>
        <w:rPr>
          <w:rFonts w:ascii="Arial" w:hAnsi="Arial" w:cs="Arial"/>
          <w:sz w:val="20"/>
        </w:rPr>
      </w:pPr>
      <w:r>
        <w:rPr>
          <w:rFonts w:ascii="Arial" w:hAnsi="Arial" w:cs="Arial"/>
          <w:sz w:val="20"/>
        </w:rPr>
        <w:t xml:space="preserve">Течение срока исковой давности прерывается предъявлением иска в установленном порядке, а также совершением обязанным лицом действий, свидетельствующих о признании долга. </w:t>
      </w:r>
    </w:p>
    <w:p w:rsidR="00FD64D5" w:rsidRDefault="00FD64D5">
      <w:pPr>
        <w:pStyle w:val="p2"/>
        <w:rPr>
          <w:rFonts w:ascii="Arial" w:hAnsi="Arial" w:cs="Arial"/>
          <w:sz w:val="20"/>
        </w:rPr>
      </w:pPr>
      <w:r>
        <w:rPr>
          <w:rFonts w:ascii="Arial" w:hAnsi="Arial" w:cs="Arial"/>
          <w:sz w:val="20"/>
        </w:rPr>
        <w:t xml:space="preserve">После перерыва течение срока исковой давности начинается заново; время, истекшее до перерыва, не засчитывается в новый срок. </w:t>
      </w:r>
    </w:p>
    <w:p w:rsidR="00FD64D5" w:rsidRDefault="00FD64D5">
      <w:pPr>
        <w:pStyle w:val="p3"/>
        <w:rPr>
          <w:rFonts w:ascii="Arial" w:hAnsi="Arial" w:cs="Arial"/>
          <w:sz w:val="20"/>
        </w:rPr>
      </w:pPr>
      <w:r>
        <w:rPr>
          <w:rFonts w:ascii="Arial" w:hAnsi="Arial" w:cs="Arial"/>
          <w:sz w:val="20"/>
        </w:rPr>
        <w:t xml:space="preserve">Статья 204. Течение срока исковой давности в случае оставления иска без рассмотрения </w:t>
      </w:r>
    </w:p>
    <w:p w:rsidR="00FD64D5" w:rsidRDefault="00FD64D5">
      <w:pPr>
        <w:pStyle w:val="p2"/>
        <w:rPr>
          <w:rFonts w:ascii="Arial" w:hAnsi="Arial" w:cs="Arial"/>
          <w:sz w:val="20"/>
        </w:rPr>
      </w:pPr>
      <w:r>
        <w:rPr>
          <w:rFonts w:ascii="Arial" w:hAnsi="Arial" w:cs="Arial"/>
          <w:sz w:val="20"/>
        </w:rPr>
        <w:t xml:space="preserve">Если иск оставлен судом без рассмотрения, то начавшееся до предъявления иска течение срока исковой давности продолжается в общем порядке. </w:t>
      </w:r>
    </w:p>
    <w:p w:rsidR="00FD64D5" w:rsidRDefault="00FD64D5">
      <w:pPr>
        <w:pStyle w:val="p2"/>
        <w:rPr>
          <w:rFonts w:ascii="Arial" w:hAnsi="Arial" w:cs="Arial"/>
          <w:sz w:val="20"/>
        </w:rPr>
      </w:pPr>
      <w:r>
        <w:rPr>
          <w:rFonts w:ascii="Arial" w:hAnsi="Arial" w:cs="Arial"/>
          <w:sz w:val="20"/>
        </w:rPr>
        <w:t xml:space="preserve">Если судом оставлен без рассмотрения иск, предъявленный в уголовном деле, то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 время, в течение которого давность была приостановлена, не засчитывается в срок исковой давности. При этом если остающаяся часть срока менее шести месяцев, она удлиняется до шести месяцев. </w:t>
      </w:r>
    </w:p>
    <w:p w:rsidR="00FD64D5" w:rsidRDefault="00FD64D5">
      <w:pPr>
        <w:pStyle w:val="p3"/>
        <w:rPr>
          <w:rFonts w:ascii="Arial" w:hAnsi="Arial" w:cs="Arial"/>
          <w:sz w:val="20"/>
        </w:rPr>
      </w:pPr>
      <w:r>
        <w:rPr>
          <w:rFonts w:ascii="Arial" w:hAnsi="Arial" w:cs="Arial"/>
          <w:sz w:val="20"/>
        </w:rPr>
        <w:t xml:space="preserve">Статья 205. Восстановление срока исковой давности </w:t>
      </w:r>
    </w:p>
    <w:p w:rsidR="00FD64D5" w:rsidRDefault="00FD64D5">
      <w:pPr>
        <w:pStyle w:val="p2"/>
        <w:rPr>
          <w:rFonts w:ascii="Arial" w:hAnsi="Arial" w:cs="Arial"/>
          <w:sz w:val="20"/>
        </w:rPr>
      </w:pPr>
      <w:r>
        <w:rPr>
          <w:rFonts w:ascii="Arial" w:hAnsi="Arial" w:cs="Arial"/>
          <w:sz w:val="20"/>
        </w:rPr>
        <w:t xml:space="preserve">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 </w:t>
      </w:r>
    </w:p>
    <w:p w:rsidR="00FD64D5" w:rsidRDefault="00FD64D5">
      <w:pPr>
        <w:pStyle w:val="p3"/>
        <w:rPr>
          <w:rFonts w:ascii="Arial" w:hAnsi="Arial" w:cs="Arial"/>
          <w:sz w:val="20"/>
        </w:rPr>
      </w:pPr>
      <w:r>
        <w:rPr>
          <w:rFonts w:ascii="Arial" w:hAnsi="Arial" w:cs="Arial"/>
          <w:sz w:val="20"/>
        </w:rPr>
        <w:t xml:space="preserve">Статья 206. Исполнение обязанности по истечении срока исковой давности </w:t>
      </w:r>
    </w:p>
    <w:p w:rsidR="00FD64D5" w:rsidRDefault="00FD64D5">
      <w:pPr>
        <w:pStyle w:val="p2"/>
        <w:rPr>
          <w:rFonts w:ascii="Arial" w:hAnsi="Arial" w:cs="Arial"/>
          <w:sz w:val="20"/>
        </w:rPr>
      </w:pPr>
      <w:r>
        <w:rPr>
          <w:rFonts w:ascii="Arial" w:hAnsi="Arial" w:cs="Arial"/>
          <w:sz w:val="20"/>
        </w:rPr>
        <w:t xml:space="preserve">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 </w:t>
      </w:r>
    </w:p>
    <w:p w:rsidR="00FD64D5" w:rsidRDefault="00FD64D5">
      <w:pPr>
        <w:pStyle w:val="p3"/>
        <w:rPr>
          <w:rFonts w:ascii="Arial" w:hAnsi="Arial" w:cs="Arial"/>
          <w:sz w:val="20"/>
        </w:rPr>
      </w:pPr>
      <w:r>
        <w:rPr>
          <w:rFonts w:ascii="Arial" w:hAnsi="Arial" w:cs="Arial"/>
          <w:sz w:val="20"/>
        </w:rPr>
        <w:t xml:space="preserve">Статья 207. Применение исковой давности к дополнительным требованиям </w:t>
      </w:r>
    </w:p>
    <w:p w:rsidR="00FD64D5" w:rsidRDefault="00FD64D5">
      <w:pPr>
        <w:pStyle w:val="p2"/>
        <w:rPr>
          <w:rFonts w:ascii="Arial" w:hAnsi="Arial" w:cs="Arial"/>
          <w:sz w:val="20"/>
        </w:rPr>
      </w:pPr>
      <w:r>
        <w:rPr>
          <w:rFonts w:ascii="Arial" w:hAnsi="Arial" w:cs="Arial"/>
          <w:sz w:val="20"/>
        </w:rPr>
        <w:t xml:space="preserve">С истечением срока исковой давности по главному требованию истекает срок исковой давности и по дополнительным требованиям (неустойка, залог, поручительство и т.п.). </w:t>
      </w:r>
    </w:p>
    <w:p w:rsidR="00FD64D5" w:rsidRDefault="00FD64D5">
      <w:pPr>
        <w:pStyle w:val="p3"/>
        <w:rPr>
          <w:rFonts w:ascii="Arial" w:hAnsi="Arial" w:cs="Arial"/>
          <w:sz w:val="20"/>
        </w:rPr>
      </w:pPr>
      <w:r>
        <w:rPr>
          <w:rFonts w:ascii="Arial" w:hAnsi="Arial" w:cs="Arial"/>
          <w:sz w:val="20"/>
        </w:rPr>
        <w:t xml:space="preserve">Статья 208. Требования, на которые исковая давность не распространяется </w:t>
      </w:r>
    </w:p>
    <w:p w:rsidR="00FD64D5" w:rsidRDefault="00FD64D5">
      <w:pPr>
        <w:pStyle w:val="p2"/>
        <w:rPr>
          <w:rFonts w:ascii="Arial" w:hAnsi="Arial" w:cs="Arial"/>
          <w:sz w:val="20"/>
        </w:rPr>
      </w:pPr>
      <w:r>
        <w:rPr>
          <w:rFonts w:ascii="Arial" w:hAnsi="Arial" w:cs="Arial"/>
          <w:sz w:val="20"/>
        </w:rPr>
        <w:t xml:space="preserve">Исковая давность не распространяется на: </w:t>
      </w:r>
    </w:p>
    <w:p w:rsidR="00FD64D5" w:rsidRDefault="00FD64D5">
      <w:pPr>
        <w:pStyle w:val="p2"/>
        <w:rPr>
          <w:rFonts w:ascii="Arial" w:hAnsi="Arial" w:cs="Arial"/>
          <w:sz w:val="20"/>
        </w:rPr>
      </w:pPr>
      <w:r>
        <w:rPr>
          <w:rFonts w:ascii="Arial" w:hAnsi="Arial" w:cs="Arial"/>
          <w:sz w:val="20"/>
        </w:rPr>
        <w:t xml:space="preserve">требования о защите личных неимущественных прав и других нематериальных благ, кроме случаев, предусмотренных законом; </w:t>
      </w:r>
    </w:p>
    <w:p w:rsidR="00FD64D5" w:rsidRDefault="00FD64D5">
      <w:pPr>
        <w:pStyle w:val="p2"/>
        <w:rPr>
          <w:rFonts w:ascii="Arial" w:hAnsi="Arial" w:cs="Arial"/>
          <w:sz w:val="20"/>
        </w:rPr>
      </w:pPr>
      <w:r>
        <w:rPr>
          <w:rFonts w:ascii="Arial" w:hAnsi="Arial" w:cs="Arial"/>
          <w:sz w:val="20"/>
        </w:rPr>
        <w:t xml:space="preserve">требования вкладчиков к банку о выдаче вкладов; </w:t>
      </w:r>
    </w:p>
    <w:p w:rsidR="00FD64D5" w:rsidRDefault="00FD64D5">
      <w:pPr>
        <w:pStyle w:val="p2"/>
        <w:rPr>
          <w:rFonts w:ascii="Arial" w:hAnsi="Arial" w:cs="Arial"/>
          <w:sz w:val="20"/>
        </w:rPr>
      </w:pPr>
      <w:r>
        <w:rPr>
          <w:rFonts w:ascii="Arial" w:hAnsi="Arial" w:cs="Arial"/>
          <w:sz w:val="20"/>
        </w:rPr>
        <w:t xml:space="preserve">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w:t>
      </w:r>
    </w:p>
    <w:p w:rsidR="00FD64D5" w:rsidRDefault="00FD64D5">
      <w:pPr>
        <w:pStyle w:val="p2"/>
        <w:rPr>
          <w:rFonts w:ascii="Arial" w:hAnsi="Arial" w:cs="Arial"/>
          <w:sz w:val="20"/>
        </w:rPr>
      </w:pPr>
      <w:r>
        <w:rPr>
          <w:rFonts w:ascii="Arial" w:hAnsi="Arial" w:cs="Arial"/>
          <w:sz w:val="20"/>
        </w:rPr>
        <w:t>требования собственника или иного владельца об устранении всяких нарушений его права, хотя бы эти нарушения не были соединены с лишением владения (</w:t>
      </w:r>
      <w:r w:rsidRPr="00EB35DF">
        <w:rPr>
          <w:rFonts w:ascii="Arial" w:hAnsi="Arial" w:cs="Arial"/>
          <w:b/>
          <w:bCs/>
          <w:sz w:val="20"/>
        </w:rPr>
        <w:t>статья 304</w:t>
      </w:r>
      <w:r>
        <w:rPr>
          <w:rFonts w:ascii="Arial" w:hAnsi="Arial" w:cs="Arial"/>
          <w:sz w:val="20"/>
        </w:rPr>
        <w:t xml:space="preserve">); </w:t>
      </w:r>
    </w:p>
    <w:p w:rsidR="00FD64D5" w:rsidRDefault="00FD64D5">
      <w:pPr>
        <w:pStyle w:val="p2"/>
        <w:rPr>
          <w:rFonts w:ascii="Arial" w:hAnsi="Arial" w:cs="Arial"/>
          <w:sz w:val="20"/>
        </w:rPr>
      </w:pPr>
      <w:r>
        <w:rPr>
          <w:rFonts w:ascii="Arial" w:hAnsi="Arial" w:cs="Arial"/>
          <w:sz w:val="20"/>
        </w:rPr>
        <w:t xml:space="preserve">другие требования в случаях, установленных законом.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rPr>
      </w:pPr>
      <w:r>
        <w:rPr>
          <w:rFonts w:ascii="Arial" w:hAnsi="Arial" w:cs="Arial"/>
          <w:b/>
          <w:bCs/>
          <w:sz w:val="20"/>
        </w:rPr>
        <w:t>5. Убытки и их виды. Неустойка. Соотношение убытков и неустойки.</w:t>
      </w:r>
    </w:p>
    <w:p w:rsidR="00FD64D5" w:rsidRDefault="00FD64D5">
      <w:pPr>
        <w:jc w:val="both"/>
        <w:rPr>
          <w:rFonts w:ascii="Arial" w:hAnsi="Arial" w:cs="Arial"/>
          <w:sz w:val="20"/>
        </w:rPr>
      </w:pPr>
    </w:p>
    <w:p w:rsidR="00FD64D5" w:rsidRDefault="00FD64D5">
      <w:pPr>
        <w:pStyle w:val="a3"/>
        <w:jc w:val="both"/>
        <w:rPr>
          <w:rFonts w:ascii="Arial" w:hAnsi="Arial" w:cs="Arial"/>
          <w:color w:val="333333"/>
          <w:sz w:val="20"/>
          <w:szCs w:val="22"/>
        </w:rPr>
      </w:pPr>
      <w:r>
        <w:rPr>
          <w:rFonts w:ascii="Arial" w:hAnsi="Arial" w:cs="Arial"/>
          <w:b/>
          <w:bCs/>
          <w:color w:val="333333"/>
          <w:sz w:val="20"/>
          <w:szCs w:val="22"/>
        </w:rPr>
        <w:t>Статья 524. Исчисление убытков при расторжении договора</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1. Если в разумный срок после расторжения договора вследствие нарушения обязательства 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4. Удовлетворение требований, предусмотренных пунктами 1, 2 и 3 настоящей статьи, не освобождает сторону, не исполнившую или ненадлежаще исполнившую обязательство, от возмещения иных убытков, причиненных другой стороне, на основании статьи </w:t>
      </w:r>
      <w:r w:rsidRPr="00EB35DF">
        <w:rPr>
          <w:rFonts w:ascii="Arial" w:hAnsi="Arial" w:cs="Arial"/>
          <w:b/>
          <w:bCs/>
          <w:color w:val="333333"/>
          <w:sz w:val="20"/>
          <w:szCs w:val="22"/>
        </w:rPr>
        <w:t>15</w:t>
      </w:r>
      <w:r>
        <w:rPr>
          <w:rFonts w:ascii="Arial" w:hAnsi="Arial" w:cs="Arial"/>
          <w:color w:val="333333"/>
          <w:sz w:val="20"/>
          <w:szCs w:val="22"/>
        </w:rPr>
        <w:t xml:space="preserve"> настоящего Кодекса. </w:t>
      </w:r>
    </w:p>
    <w:p w:rsidR="00FD64D5" w:rsidRDefault="00FD64D5">
      <w:pPr>
        <w:jc w:val="both"/>
        <w:rPr>
          <w:rFonts w:ascii="Arial" w:hAnsi="Arial" w:cs="Arial"/>
          <w:sz w:val="20"/>
        </w:rPr>
      </w:pPr>
    </w:p>
    <w:p w:rsidR="00FD64D5" w:rsidRDefault="00FD64D5">
      <w:pPr>
        <w:pStyle w:val="a3"/>
        <w:jc w:val="both"/>
        <w:rPr>
          <w:rFonts w:ascii="Arial" w:hAnsi="Arial" w:cs="Arial"/>
          <w:color w:val="333333"/>
          <w:sz w:val="20"/>
          <w:szCs w:val="22"/>
        </w:rPr>
      </w:pPr>
      <w:r>
        <w:rPr>
          <w:rFonts w:ascii="Arial" w:hAnsi="Arial" w:cs="Arial"/>
          <w:b/>
          <w:bCs/>
          <w:color w:val="333333"/>
          <w:sz w:val="20"/>
          <w:szCs w:val="22"/>
        </w:rPr>
        <w:t>Статья 521. Неустойка за недопоставку или просрочку поставки товаров</w:t>
      </w:r>
      <w:r>
        <w:rPr>
          <w:rFonts w:ascii="Arial" w:hAnsi="Arial" w:cs="Arial"/>
          <w:color w:val="333333"/>
          <w:sz w:val="20"/>
          <w:szCs w:val="22"/>
        </w:rPr>
        <w:t xml:space="preserve"> </w:t>
      </w:r>
    </w:p>
    <w:p w:rsidR="00FD64D5" w:rsidRDefault="00FD64D5">
      <w:pPr>
        <w:pStyle w:val="a3"/>
        <w:jc w:val="both"/>
        <w:rPr>
          <w:rFonts w:ascii="Arial" w:hAnsi="Arial" w:cs="Arial"/>
          <w:color w:val="333333"/>
          <w:sz w:val="20"/>
          <w:szCs w:val="22"/>
        </w:rPr>
      </w:pPr>
      <w:r>
        <w:rPr>
          <w:rFonts w:ascii="Arial" w:hAnsi="Arial" w:cs="Arial"/>
          <w:color w:val="333333"/>
          <w:sz w:val="20"/>
          <w:szCs w:val="22"/>
        </w:rPr>
        <w:t xml:space="preserve">Установленная законом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6. Ответственность за неисполнение  денежного обязательства по ГК РФ 1994г.</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pStyle w:val="20"/>
        <w:jc w:val="both"/>
        <w:rPr>
          <w:rFonts w:ascii="Arial" w:hAnsi="Arial" w:cs="Arial"/>
          <w:b/>
          <w:bCs/>
          <w:sz w:val="20"/>
        </w:rPr>
      </w:pPr>
      <w:r>
        <w:rPr>
          <w:rFonts w:ascii="Arial" w:hAnsi="Arial" w:cs="Arial"/>
          <w:b/>
          <w:bCs/>
          <w:sz w:val="20"/>
        </w:rPr>
        <w:t>7. Юридический характер ОУП СЭВ, СССР – Финляндия, ОУП между бывшим СССР и бывшей СФР.</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pStyle w:val="3"/>
        <w:jc w:val="both"/>
        <w:rPr>
          <w:rFonts w:ascii="Arial" w:hAnsi="Arial" w:cs="Arial"/>
          <w:sz w:val="20"/>
        </w:rPr>
      </w:pPr>
      <w:r>
        <w:rPr>
          <w:rFonts w:ascii="Arial" w:hAnsi="Arial" w:cs="Arial"/>
          <w:sz w:val="20"/>
        </w:rPr>
        <w:t>8. Средства правовой защиты покупателя по конвенции ООН о договорах международной купли-продажи товаров 1980г.</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11. Инкотермс 2000г., его значение и юридический характер.</w:t>
      </w:r>
    </w:p>
    <w:p w:rsidR="00FD64D5" w:rsidRDefault="00FD64D5">
      <w:pPr>
        <w:pStyle w:val="a3"/>
        <w:jc w:val="both"/>
        <w:rPr>
          <w:rFonts w:ascii="Arial" w:eastAsia="Times New Roman" w:hAnsi="Arial" w:cs="Arial"/>
          <w:color w:val="auto"/>
          <w:sz w:val="20"/>
        </w:rPr>
      </w:pPr>
      <w:r>
        <w:rPr>
          <w:rFonts w:ascii="Arial" w:eastAsia="Times New Roman" w:hAnsi="Arial" w:cs="Arial"/>
          <w:color w:val="auto"/>
          <w:sz w:val="20"/>
        </w:rPr>
        <w:t xml:space="preserve">Целью Инкотермс является обеспечение комплекта международных правил по толкованию наиболее широко используемых торговых терминов в области внешней торговли. Таким образом, можно избежать или, по крайней мере, в значительной степени сократить неопределенность различной интерпретации таких терминов в различных странах. </w:t>
      </w:r>
    </w:p>
    <w:p w:rsidR="00FD64D5" w:rsidRDefault="00FD64D5">
      <w:pPr>
        <w:pStyle w:val="a3"/>
        <w:jc w:val="both"/>
        <w:rPr>
          <w:rFonts w:ascii="Arial" w:eastAsia="Times New Roman" w:hAnsi="Arial" w:cs="Arial"/>
          <w:color w:val="auto"/>
          <w:sz w:val="20"/>
        </w:rPr>
      </w:pPr>
      <w:r>
        <w:rPr>
          <w:rFonts w:ascii="Arial" w:eastAsia="Times New Roman" w:hAnsi="Arial" w:cs="Arial"/>
          <w:color w:val="auto"/>
          <w:sz w:val="20"/>
        </w:rPr>
        <w:t>     Зачастую стороны, заключающие контракт, незнакомы с различной практикой ведения торговли в соответствующих странах. Это может послужить причиной недоразумений, разногласий и судебных разбирательств с вытекающей пустой тратой времени и денег.</w:t>
      </w:r>
      <w:r>
        <w:rPr>
          <w:rFonts w:ascii="Arial" w:hAnsi="Arial" w:cs="Arial"/>
          <w:sz w:val="20"/>
        </w:rPr>
        <w:t xml:space="preserve"> </w:t>
      </w:r>
      <w:r>
        <w:rPr>
          <w:rFonts w:ascii="Arial" w:eastAsia="Times New Roman" w:hAnsi="Arial" w:cs="Arial"/>
          <w:color w:val="auto"/>
          <w:sz w:val="20"/>
        </w:rPr>
        <w:t xml:space="preserve">Для разрешения всех этих проблем Международная торговая палата опубликовала впервые в 1936 году свод международных правил для точного определения торговых терминов. Эти правила известны как "Инкотермс 1936". Поправки и дополнения были позднее сделаны в 1953, 1967, 1976, 1980, 1990 и в настоящее время в 2000 году для приведения этих правил в соответствие с современной практикой международной торговли. </w:t>
      </w:r>
    </w:p>
    <w:p w:rsidR="00FD64D5" w:rsidRDefault="00FD64D5">
      <w:pPr>
        <w:pStyle w:val="a3"/>
        <w:jc w:val="both"/>
        <w:rPr>
          <w:rFonts w:ascii="Arial" w:eastAsia="Times New Roman" w:hAnsi="Arial" w:cs="Arial"/>
          <w:color w:val="auto"/>
          <w:sz w:val="20"/>
        </w:rPr>
      </w:pPr>
      <w:r>
        <w:rPr>
          <w:rFonts w:ascii="Arial" w:eastAsia="Times New Roman" w:hAnsi="Arial" w:cs="Arial"/>
          <w:color w:val="auto"/>
          <w:sz w:val="20"/>
        </w:rPr>
        <w:t xml:space="preserve">     Следует подчеркнуть, что сфера действия Инкотермс ограничена вопросами, связанными с правами и обязанностями сторон договора купли-продажи в отношении поставки проданных товаров (под словом товары здесь подразумеваются "материальные товары", исключая "нематериальные товары", такие как компьютерное программное обеспечение). </w:t>
      </w:r>
    </w:p>
    <w:p w:rsidR="00FD64D5" w:rsidRDefault="00FD64D5">
      <w:pPr>
        <w:pStyle w:val="a3"/>
        <w:jc w:val="both"/>
        <w:rPr>
          <w:rFonts w:ascii="Arial" w:eastAsia="Times New Roman" w:hAnsi="Arial" w:cs="Arial"/>
          <w:color w:val="auto"/>
          <w:sz w:val="20"/>
        </w:rPr>
      </w:pPr>
      <w:r>
        <w:rPr>
          <w:rFonts w:ascii="Arial" w:eastAsia="Times New Roman" w:hAnsi="Arial" w:cs="Arial"/>
          <w:color w:val="auto"/>
          <w:sz w:val="20"/>
        </w:rPr>
        <w:t>     Наиболее часто в практике встречаются два варианта неправильного понимания Инкотермс. Первым является неправильное понимание Инкотермс как имеющих большее отношение к договору перевозки, а не к договору купли-продажи. Вторым является</w:t>
      </w:r>
      <w:r>
        <w:rPr>
          <w:rFonts w:ascii="Arial" w:hAnsi="Arial" w:cs="Arial"/>
          <w:sz w:val="20"/>
        </w:rPr>
        <w:t xml:space="preserve"> </w:t>
      </w:r>
      <w:r>
        <w:rPr>
          <w:rFonts w:ascii="Arial" w:eastAsia="Times New Roman" w:hAnsi="Arial" w:cs="Arial"/>
          <w:color w:val="auto"/>
          <w:sz w:val="20"/>
        </w:rPr>
        <w:t xml:space="preserve">иногда неправильное представление о том, что они должны охватывать все обязанности, которые стороны хотели бы включить в договор. </w:t>
      </w:r>
    </w:p>
    <w:p w:rsidR="00FD64D5" w:rsidRDefault="00FD64D5">
      <w:pPr>
        <w:pStyle w:val="a4"/>
        <w:rPr>
          <w:rFonts w:ascii="Arial" w:hAnsi="Arial" w:cs="Arial"/>
          <w:sz w:val="20"/>
        </w:rPr>
      </w:pPr>
      <w:r>
        <w:rPr>
          <w:rFonts w:ascii="Arial" w:hAnsi="Arial" w:cs="Arial"/>
          <w:sz w:val="20"/>
        </w:rPr>
        <w:t xml:space="preserve">      Как всегда подчеркивалось Международной торговой палатой, Инкотермс имеют дело только с отношениями между продавцами и покупателями в рамках договоров купли-продажи, более того, только в определенных аспектах. </w:t>
      </w:r>
    </w:p>
    <w:p w:rsidR="00FD64D5" w:rsidRDefault="00FD64D5">
      <w:pPr>
        <w:pStyle w:val="a4"/>
        <w:rPr>
          <w:rFonts w:ascii="Arial" w:hAnsi="Arial" w:cs="Arial"/>
          <w:sz w:val="20"/>
        </w:rPr>
      </w:pPr>
      <w:r>
        <w:rPr>
          <w:rFonts w:ascii="Arial" w:hAnsi="Arial" w:cs="Arial"/>
          <w:sz w:val="20"/>
        </w:rPr>
        <w:t xml:space="preserve">     В то время, как экспортерам и импортерам важно учитывать фактические отношения между различными договорами, необходимыми для осуществления международной сделки продажи - где необходим не только договор купли-продажи, но и договоры перевозки, страхования и финансирования - Инкотермс относятся только к одному из этих договоров, а именно договору купли-продажи. </w:t>
      </w:r>
    </w:p>
    <w:p w:rsidR="00FD64D5" w:rsidRDefault="00FD64D5">
      <w:pPr>
        <w:pStyle w:val="a4"/>
        <w:rPr>
          <w:rFonts w:ascii="Arial" w:hAnsi="Arial" w:cs="Arial"/>
          <w:sz w:val="20"/>
        </w:rPr>
      </w:pPr>
      <w:r>
        <w:rPr>
          <w:rFonts w:ascii="Arial" w:hAnsi="Arial" w:cs="Arial"/>
          <w:sz w:val="20"/>
        </w:rPr>
        <w:t xml:space="preserve">     Тем не менее, договор сторон использовать определенный термин имеет значение и для всех прочих договоров. Приведем лишь несколько примеров: согласившись на условия CFR или CIF, продавец не может выполнить этот договор любым иным видом транспорта, кроме морского, так как по этим условиям он должен представить покупателю коносамент или другой морской транспортный документ, что просто невозможно при использовании иных видов транспорта. Более того, документ, необходимый в соответствии с документарным кредитом, будет обязательно зависеть от средств транспортировки, которые будут использованы. </w:t>
      </w:r>
    </w:p>
    <w:p w:rsidR="00FD64D5" w:rsidRDefault="00FD64D5">
      <w:pPr>
        <w:pStyle w:val="a4"/>
        <w:rPr>
          <w:rFonts w:ascii="Arial" w:hAnsi="Arial" w:cs="Arial"/>
          <w:sz w:val="20"/>
        </w:rPr>
      </w:pPr>
      <w:r>
        <w:rPr>
          <w:rFonts w:ascii="Arial" w:hAnsi="Arial" w:cs="Arial"/>
          <w:sz w:val="20"/>
        </w:rPr>
        <w:t xml:space="preserve">     Во-вторых, Инкотермс имеют дело с некоторыми определенными обязанностями сторон - такими как обязанность продавца поставить товара в распоряжение покупателя или передать его для перевозки или доставить его в пункт назначения - и с распределением риска между сторонами в этих случаях. </w:t>
      </w:r>
    </w:p>
    <w:p w:rsidR="00FD64D5" w:rsidRDefault="00FD64D5">
      <w:pPr>
        <w:jc w:val="both"/>
        <w:rPr>
          <w:rFonts w:ascii="Arial" w:hAnsi="Arial" w:cs="Arial"/>
          <w:sz w:val="20"/>
        </w:rPr>
      </w:pPr>
      <w:r>
        <w:rPr>
          <w:rFonts w:ascii="Arial" w:hAnsi="Arial" w:cs="Arial"/>
          <w:sz w:val="20"/>
        </w:rPr>
        <w:t xml:space="preserve">     Далее, они связаны с обязанностями очистить товар для экспорта и импорта, упаковкой товара, обязанностью покупателя принять поставку, а также обязанностью представить подтверждение того, что соответствующие обязательства были должным образом выполнены. Хотя Инкотермс крайне важны для осуществления договора купли - продажи, большое количество проблем, которые могут возникнуть в таком договоре, вообще не рассматриваются, например, передача права владения, другие права собственности, нарушения договоренности и последствия таких нарушений, а также освобождение от ответственности в определенных ситуациях. Следует подчеркнуть, что Инкотермс не предназначены для замены условий договора, необходимых для полного договора купли - продажи либо посредством включения нормативных условий, либо индивидуально оговоренных условий. </w:t>
      </w:r>
    </w:p>
    <w:p w:rsidR="00FD64D5" w:rsidRDefault="00FD64D5">
      <w:pPr>
        <w:jc w:val="both"/>
        <w:rPr>
          <w:rFonts w:ascii="Arial" w:hAnsi="Arial" w:cs="Arial"/>
          <w:sz w:val="20"/>
        </w:rPr>
      </w:pPr>
      <w:r>
        <w:rPr>
          <w:rFonts w:ascii="Arial" w:hAnsi="Arial" w:cs="Arial"/>
          <w:sz w:val="20"/>
        </w:rPr>
        <w:t xml:space="preserve">     Инкотермс вообще не имеют дела с последствиями нарушения договора и освобождением от ответственности вследствие различных препятствий. Эти вопросы должны разрешаться другими условиями договора купли - продажи и соответствующими законами. </w:t>
      </w:r>
    </w:p>
    <w:p w:rsidR="00FD64D5" w:rsidRDefault="00FD64D5">
      <w:pPr>
        <w:pStyle w:val="a4"/>
        <w:rPr>
          <w:rFonts w:ascii="Arial" w:hAnsi="Arial" w:cs="Arial"/>
          <w:sz w:val="20"/>
        </w:rPr>
      </w:pPr>
      <w:r>
        <w:rPr>
          <w:rFonts w:ascii="Arial" w:hAnsi="Arial" w:cs="Arial"/>
          <w:sz w:val="20"/>
        </w:rPr>
        <w:t>     Инкотермс изначально всегда предназначались для использования в тех случаях, когда товары продавались для поставки через национальные границы: таким образом, это международные торговые термины. Однако, Инкотермс на практике зачастую включаются в договоры для продажи товаров исключительно в пределах внутренних рынков. В тех случаях, когда Инкотермс используются таким образом, статьи А.2. и Б.2. и любые другие условия других статей, касающиеся экспорта и импорта, конечно, становятся лишними.</w:t>
      </w:r>
    </w:p>
    <w:p w:rsidR="00FD64D5" w:rsidRDefault="00FD64D5">
      <w:pPr>
        <w:jc w:val="both"/>
        <w:rPr>
          <w:rFonts w:ascii="Arial" w:hAnsi="Arial" w:cs="Arial"/>
          <w:sz w:val="20"/>
        </w:rPr>
      </w:pPr>
    </w:p>
    <w:p w:rsidR="00FD64D5" w:rsidRDefault="00FD64D5">
      <w:pPr>
        <w:jc w:val="both"/>
        <w:rPr>
          <w:rFonts w:ascii="Arial" w:eastAsia="Arial Unicode MS" w:hAnsi="Arial" w:cs="Arial"/>
          <w:sz w:val="20"/>
        </w:rPr>
      </w:pPr>
      <w:r>
        <w:rPr>
          <w:rFonts w:ascii="Arial" w:hAnsi="Arial" w:cs="Arial"/>
          <w:sz w:val="20"/>
        </w:rPr>
        <w:t xml:space="preserve">В течение процесса редактирования, который занял примерно два года, Международная торговая палата постаралась привлечь широкий круг работников мировой торговли, представленных различными секторами в национальных комитетах, через посредство которых работает Международная торговая палата, к высказыванию своих взглядов и откликов на последующие проекты. Было в самом деле приятно видеть, что этот процесс редактирования вызвал намного больше откликов со стороны пользователей во всем мире, чем любая из предыдущих редакций Инкотермс. Результатом этого диалога явились Инкотермс 2000, в которые, как может показаться, в сравнении с Инкотермс 1990 внесено незначительное количество изменений. Понятно, однако, что Инкотермс теперь признаны во всем мире, и поэтому Международная торговая палата решила закрепить это признание и избегать изменений ради самих изменений. С другой стороны, были приложены значительные усилия для обеспечения ясного и точного отражения практики торговли формулировками, используемыми в Инкотермс 2000. Кроме того, значительные изменения были внесены в две области: </w:t>
      </w:r>
    </w:p>
    <w:p w:rsidR="00FD64D5" w:rsidRDefault="00FD64D5">
      <w:pPr>
        <w:pStyle w:val="a4"/>
        <w:rPr>
          <w:rFonts w:ascii="Arial" w:hAnsi="Arial" w:cs="Arial"/>
          <w:sz w:val="20"/>
        </w:rPr>
      </w:pPr>
      <w:r>
        <w:rPr>
          <w:rFonts w:ascii="Arial" w:hAnsi="Arial" w:cs="Arial"/>
          <w:sz w:val="20"/>
        </w:rPr>
        <w:t xml:space="preserve">     - таможенную очистку и осуществление таможенных платежей по терминам FAS и DEQ; </w:t>
      </w:r>
    </w:p>
    <w:p w:rsidR="00FD64D5" w:rsidRDefault="00FD64D5">
      <w:pPr>
        <w:jc w:val="both"/>
        <w:rPr>
          <w:rFonts w:ascii="Arial" w:hAnsi="Arial" w:cs="Arial"/>
          <w:sz w:val="20"/>
        </w:rPr>
      </w:pPr>
      <w:r>
        <w:rPr>
          <w:rFonts w:ascii="Arial" w:hAnsi="Arial" w:cs="Arial"/>
          <w:sz w:val="20"/>
        </w:rPr>
        <w:t xml:space="preserve">     - обязанности по погрузке и разгрузке по термину FCA. </w:t>
      </w:r>
    </w:p>
    <w:p w:rsidR="00FD64D5" w:rsidRDefault="00FD64D5">
      <w:pPr>
        <w:jc w:val="both"/>
        <w:rPr>
          <w:rFonts w:ascii="Arial" w:hAnsi="Arial" w:cs="Arial"/>
          <w:sz w:val="20"/>
        </w:rPr>
      </w:pPr>
      <w:r>
        <w:rPr>
          <w:rFonts w:ascii="Arial" w:hAnsi="Arial" w:cs="Arial"/>
          <w:sz w:val="20"/>
        </w:rPr>
        <w:t>     Все изменения, существенные и формальные, были сделаны на основе тщательных исследований среди пользователей Инкотермс. Особое внимание было уделено запросам, полученным с 1990 года Группой экспертов Инкотермс, организованной в качестве дополнительной службы для пользователей Инкотермс.</w:t>
      </w:r>
    </w:p>
    <w:p w:rsidR="00FD64D5" w:rsidRDefault="00FD64D5">
      <w:pPr>
        <w:jc w:val="both"/>
        <w:rPr>
          <w:rFonts w:ascii="Arial" w:hAnsi="Arial" w:cs="Arial"/>
          <w:sz w:val="20"/>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110"/>
        <w:gridCol w:w="10258"/>
      </w:tblGrid>
      <w:tr w:rsidR="00FD64D5">
        <w:trPr>
          <w:tblCellSpacing w:w="0" w:type="dxa"/>
        </w:trPr>
        <w:tc>
          <w:tcPr>
            <w:tcW w:w="0" w:type="auto"/>
            <w:gridSpan w:val="2"/>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Группа Е Отправление</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EXW</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Франко завод (... название места)</w:t>
            </w:r>
          </w:p>
        </w:tc>
      </w:tr>
      <w:tr w:rsidR="00FD64D5">
        <w:trPr>
          <w:tblCellSpacing w:w="0" w:type="dxa"/>
        </w:trPr>
        <w:tc>
          <w:tcPr>
            <w:tcW w:w="0" w:type="auto"/>
            <w:gridSpan w:val="2"/>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Группа F Основная перевозка не оплачена</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FCA</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Франко перевозчик (... название места назначения)</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FAS</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Франко вдоль борта судна (... название порта отгрузки)</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FOB</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Франко борт (... название порта отгрузки)</w:t>
            </w:r>
          </w:p>
        </w:tc>
      </w:tr>
      <w:tr w:rsidR="00FD64D5">
        <w:trPr>
          <w:tblCellSpacing w:w="0" w:type="dxa"/>
        </w:trPr>
        <w:tc>
          <w:tcPr>
            <w:tcW w:w="0" w:type="auto"/>
            <w:gridSpan w:val="2"/>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Группа С Основная перевозка оплачена</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CFR</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Стоимость и фрахт (... название порта назначения)</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CIF</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Стоимость, страхование и фрахт (... название порта назначения)</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CPT</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Фрахт/перевозка оплачены до (... название места назначения)</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CIP</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Фрахт/перевозка и страхование оплачены до (... название места назначения)</w:t>
            </w:r>
          </w:p>
        </w:tc>
      </w:tr>
      <w:tr w:rsidR="00FD64D5">
        <w:trPr>
          <w:tblCellSpacing w:w="0" w:type="dxa"/>
        </w:trPr>
        <w:tc>
          <w:tcPr>
            <w:tcW w:w="0" w:type="auto"/>
            <w:gridSpan w:val="2"/>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Группа D Прибытие</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DAF</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Поставка до границы (... название места доставки)</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DES</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Поставка с судна (... название порта назначения)</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lang w:val="en-US"/>
              </w:rPr>
              <w:t>DEQ</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Поставка с пристани (... название порта назначения)</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DDU</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Поставка без оплаты пошлины (... название места назначения)</w:t>
            </w:r>
          </w:p>
        </w:tc>
      </w:tr>
      <w:tr w:rsidR="00FD64D5">
        <w:trPr>
          <w:tblCellSpacing w:w="0" w:type="dxa"/>
        </w:trPr>
        <w:tc>
          <w:tcPr>
            <w:tcW w:w="915"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DDP</w:t>
            </w:r>
          </w:p>
        </w:tc>
        <w:tc>
          <w:tcPr>
            <w:tcW w:w="8460" w:type="dxa"/>
            <w:tcBorders>
              <w:top w:val="outset" w:sz="6" w:space="0" w:color="auto"/>
              <w:left w:val="outset" w:sz="6" w:space="0" w:color="auto"/>
              <w:bottom w:val="outset" w:sz="6" w:space="0" w:color="auto"/>
              <w:right w:val="outset" w:sz="6" w:space="0" w:color="auto"/>
            </w:tcBorders>
          </w:tcPr>
          <w:p w:rsidR="00FD64D5" w:rsidRDefault="00FD64D5">
            <w:pPr>
              <w:pStyle w:val="a3"/>
              <w:jc w:val="both"/>
              <w:rPr>
                <w:rFonts w:ascii="Arial" w:hAnsi="Arial" w:cs="Arial"/>
                <w:sz w:val="20"/>
              </w:rPr>
            </w:pPr>
            <w:r>
              <w:rPr>
                <w:rFonts w:ascii="Arial" w:hAnsi="Arial" w:cs="Arial"/>
                <w:sz w:val="20"/>
              </w:rPr>
              <w:t>Поставка с оплатой пошлины (... название места назначения)</w:t>
            </w:r>
          </w:p>
        </w:tc>
      </w:tr>
    </w:tbl>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12. Договор поручения.</w:t>
      </w:r>
    </w:p>
    <w:p w:rsidR="00FD64D5" w:rsidRDefault="00FD64D5">
      <w:pPr>
        <w:jc w:val="both"/>
        <w:rPr>
          <w:rFonts w:ascii="Arial" w:hAnsi="Arial" w:cs="Arial"/>
          <w:sz w:val="20"/>
        </w:rPr>
      </w:pPr>
    </w:p>
    <w:p w:rsidR="00FD64D5" w:rsidRDefault="00FD64D5">
      <w:pPr>
        <w:pStyle w:val="4"/>
        <w:jc w:val="both"/>
        <w:rPr>
          <w:rFonts w:ascii="Arial" w:hAnsi="Arial" w:cs="Arial"/>
          <w:sz w:val="20"/>
        </w:rPr>
      </w:pPr>
      <w:r>
        <w:rPr>
          <w:rFonts w:ascii="Arial" w:hAnsi="Arial" w:cs="Arial"/>
          <w:i/>
          <w:iCs/>
          <w:sz w:val="20"/>
        </w:rPr>
        <w:t>Статья 971. Договор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непосредственно у доверителя.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FD64D5" w:rsidRDefault="00FD64D5">
      <w:pPr>
        <w:pStyle w:val="4"/>
        <w:jc w:val="both"/>
        <w:rPr>
          <w:rFonts w:ascii="Arial" w:hAnsi="Arial" w:cs="Arial"/>
          <w:sz w:val="20"/>
        </w:rPr>
      </w:pPr>
      <w:r>
        <w:rPr>
          <w:rFonts w:ascii="Arial" w:hAnsi="Arial" w:cs="Arial"/>
          <w:i/>
          <w:iCs/>
          <w:sz w:val="20"/>
        </w:rPr>
        <w:t>Статья 972. Вознаграждение поверенного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Доверитель обязан уплатить поверенному вознаграждение, если это предусмотрено законом, иными правовыми актами или договором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соответствии с пунктом 3 статьи 424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Поверенный, действующий в качестве коммерческого представителя (пункт 1 статьи 184), вправе в соответствии со статьей 359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FD64D5" w:rsidRDefault="00FD64D5">
      <w:pPr>
        <w:pStyle w:val="4"/>
        <w:jc w:val="both"/>
        <w:rPr>
          <w:rFonts w:ascii="Arial" w:hAnsi="Arial" w:cs="Arial"/>
          <w:sz w:val="20"/>
        </w:rPr>
      </w:pPr>
      <w:r>
        <w:rPr>
          <w:rFonts w:ascii="Arial" w:hAnsi="Arial" w:cs="Arial"/>
          <w:i/>
          <w:iCs/>
          <w:sz w:val="20"/>
        </w:rPr>
        <w:t>Статья 973. Исполнение поручения в соответствии с указаниями доверителя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отступлениях, как только уведомление стало возможным.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Поверенному, действующему в качестве коммерческого представителя (пункт 1 статьи 184), может быть предоставлено доверителем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поручения.</w:t>
      </w:r>
    </w:p>
    <w:p w:rsidR="00FD64D5" w:rsidRDefault="00FD64D5">
      <w:pPr>
        <w:pStyle w:val="4"/>
        <w:jc w:val="both"/>
        <w:rPr>
          <w:rFonts w:ascii="Arial" w:hAnsi="Arial" w:cs="Arial"/>
          <w:sz w:val="20"/>
        </w:rPr>
      </w:pPr>
      <w:r>
        <w:rPr>
          <w:rFonts w:ascii="Arial" w:hAnsi="Arial" w:cs="Arial"/>
          <w:i/>
          <w:iCs/>
          <w:sz w:val="20"/>
        </w:rPr>
        <w:t>Статья 974. Обязанности поверенного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Поверенный обязан:</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лично исполнять данное ему поручение, за исключением случаев, указанных в статье 976 настоящего Кодекса;</w:t>
      </w:r>
      <w:r>
        <w:rPr>
          <w:rFonts w:ascii="Arial" w:hAnsi="Arial" w:cs="Arial"/>
          <w:sz w:val="20"/>
        </w:rPr>
        <w:br/>
        <w:t>сообщать доверителю по его требованию все сведения о ходе исполнения поручения;</w:t>
      </w:r>
      <w:r>
        <w:rPr>
          <w:rFonts w:ascii="Arial" w:hAnsi="Arial" w:cs="Arial"/>
          <w:sz w:val="20"/>
        </w:rPr>
        <w:br/>
        <w:t>передавать доверителю без промедления все полученное по сделкам, совершенным во исполнение поручения;</w:t>
      </w:r>
      <w:r>
        <w:rPr>
          <w:rFonts w:ascii="Arial" w:hAnsi="Arial" w:cs="Arial"/>
          <w:sz w:val="20"/>
        </w:rPr>
        <w:br/>
        <w:t>по исполнении поручения или при прекращении договора поручения до его исполнения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условиям договора или характеру поручения.</w:t>
      </w:r>
    </w:p>
    <w:p w:rsidR="00FD64D5" w:rsidRDefault="00FD64D5">
      <w:pPr>
        <w:pStyle w:val="4"/>
        <w:jc w:val="both"/>
        <w:rPr>
          <w:rFonts w:ascii="Arial" w:hAnsi="Arial" w:cs="Arial"/>
          <w:sz w:val="20"/>
        </w:rPr>
      </w:pPr>
      <w:r>
        <w:rPr>
          <w:rFonts w:ascii="Arial" w:hAnsi="Arial" w:cs="Arial"/>
          <w:i/>
          <w:iCs/>
          <w:sz w:val="20"/>
        </w:rPr>
        <w:t>Статья 975. Обязанности доверителя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Доверитель обязан выдать поверенному доверенность (доверенности) на совершение юридических действий, предусмотренных договором поручения, за исключением случаев, предусмотренных абзацем вторым пункта 1 статьи 182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Доверитель обязан, если иное не предусмотрено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возмещать поверенному понесенные издержки;</w:t>
      </w:r>
      <w:r>
        <w:rPr>
          <w:rFonts w:ascii="Arial" w:hAnsi="Arial" w:cs="Arial"/>
          <w:sz w:val="20"/>
        </w:rPr>
        <w:br/>
        <w:t>обеспечивать поверенного средствами, необходимыми для исполнения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Доверитель обязан без промедления принять от поверенного все исполненное им в соответствии с договором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Доверитель обязан уплатить поверенному вознаграждение, если в соответствии со статьей 972 настоящего Кодекса договор поручения является возмездным.</w:t>
      </w:r>
    </w:p>
    <w:p w:rsidR="00FD64D5" w:rsidRDefault="00FD64D5">
      <w:pPr>
        <w:pStyle w:val="4"/>
        <w:jc w:val="both"/>
        <w:rPr>
          <w:rFonts w:ascii="Arial" w:hAnsi="Arial" w:cs="Arial"/>
          <w:sz w:val="20"/>
        </w:rPr>
      </w:pPr>
      <w:r>
        <w:rPr>
          <w:rFonts w:ascii="Arial" w:hAnsi="Arial" w:cs="Arial"/>
          <w:i/>
          <w:iCs/>
          <w:sz w:val="20"/>
        </w:rPr>
        <w:t>Статья 976. Передоверие исполнения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Поверенный вправе передать исполнение поручения другому лицу (заместителю) лишь в случаях и на условиях, предусмотренных статьей 187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Доверитель вправе отвести заместителя, избранного поверенным.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возможный заместитель поверенного поименован в договоре поручения, поверенный не отвечает ни за его выбор, ни за ведение им дел.</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FD64D5" w:rsidRDefault="00FD64D5">
      <w:pPr>
        <w:pStyle w:val="4"/>
        <w:jc w:val="both"/>
        <w:rPr>
          <w:rFonts w:ascii="Arial" w:hAnsi="Arial" w:cs="Arial"/>
          <w:sz w:val="20"/>
        </w:rPr>
      </w:pPr>
      <w:r>
        <w:rPr>
          <w:rFonts w:ascii="Arial" w:hAnsi="Arial" w:cs="Arial"/>
          <w:i/>
          <w:iCs/>
          <w:sz w:val="20"/>
        </w:rPr>
        <w:t>Статья 977. Прекращение договора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 поручения прекращается вследствие: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отмены поручения доверителем;</w:t>
      </w:r>
      <w:r>
        <w:rPr>
          <w:rFonts w:ascii="Arial" w:hAnsi="Arial" w:cs="Arial"/>
          <w:sz w:val="20"/>
        </w:rPr>
        <w:br/>
        <w:t>отказа поверенного;</w:t>
      </w:r>
      <w:r>
        <w:rPr>
          <w:rFonts w:ascii="Arial" w:hAnsi="Arial" w:cs="Arial"/>
          <w:sz w:val="20"/>
        </w:rPr>
        <w:br/>
        <w:t>смерти доверителя или поверенного, признания кого-либо из них недееспособным, ограниченно дееспособным или безвестно отсутствующим.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Доверитель вправе отменить поручение, а поверенный отказаться от него во всякое время. Соглашение об отказе от этого права ничтожно.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Сторона, отказывающаяся от договора поручения, предусматривающего действия поверенного в качестве коммерческого представителя, должна уведомить другую сторону о прекращении договора не позднее чем за тридцать дней, если договором не предусмотрен более длительный срок.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реорганизации юридического лица, являющегося коммерческим представителем, доверитель вправе отменить поручение без такого предварительного уведомления.</w:t>
      </w:r>
    </w:p>
    <w:p w:rsidR="00FD64D5" w:rsidRDefault="00FD64D5">
      <w:pPr>
        <w:pStyle w:val="4"/>
        <w:jc w:val="both"/>
        <w:rPr>
          <w:rFonts w:ascii="Arial" w:hAnsi="Arial" w:cs="Arial"/>
          <w:sz w:val="20"/>
        </w:rPr>
      </w:pPr>
      <w:r>
        <w:rPr>
          <w:rFonts w:ascii="Arial" w:hAnsi="Arial" w:cs="Arial"/>
          <w:i/>
          <w:iCs/>
          <w:sz w:val="20"/>
        </w:rPr>
        <w:t>Статья 978. Последствия прекращения договора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коммерческого представителя.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FD64D5" w:rsidRDefault="00FD64D5">
      <w:pPr>
        <w:pStyle w:val="4"/>
        <w:jc w:val="both"/>
        <w:rPr>
          <w:rFonts w:ascii="Arial" w:hAnsi="Arial" w:cs="Arial"/>
          <w:sz w:val="20"/>
        </w:rPr>
      </w:pPr>
      <w:r>
        <w:rPr>
          <w:rFonts w:ascii="Arial" w:hAnsi="Arial" w:cs="Arial"/>
          <w:i/>
          <w:iCs/>
          <w:sz w:val="20"/>
        </w:rPr>
        <w:t>Статья 979. Обязанности наследников поверенного и ликвидатора юридического лица, являющегося поверенным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имущество доверителю.</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Такая же обязанность лежит на ликвидаторе юридического лица, являющегося поверенным.</w:t>
      </w: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13. Понятие конвенционного приоритета и его значение.</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pStyle w:val="a3"/>
        <w:jc w:val="both"/>
        <w:rPr>
          <w:rFonts w:ascii="Arial" w:hAnsi="Arial" w:cs="Arial"/>
          <w:sz w:val="20"/>
          <w:szCs w:val="20"/>
        </w:rPr>
      </w:pPr>
      <w:r>
        <w:rPr>
          <w:rFonts w:ascii="Arial" w:hAnsi="Arial" w:cs="Arial"/>
          <w:b/>
          <w:bCs/>
          <w:sz w:val="20"/>
          <w:szCs w:val="20"/>
        </w:rPr>
        <w:t>Конвенционный приоритет</w:t>
      </w:r>
    </w:p>
    <w:p w:rsidR="00FD64D5" w:rsidRDefault="00FD64D5">
      <w:pPr>
        <w:pStyle w:val="a3"/>
        <w:jc w:val="both"/>
        <w:rPr>
          <w:rFonts w:ascii="Arial" w:hAnsi="Arial" w:cs="Arial"/>
          <w:sz w:val="20"/>
          <w:szCs w:val="20"/>
        </w:rPr>
      </w:pPr>
      <w:r>
        <w:rPr>
          <w:rFonts w:ascii="Arial" w:hAnsi="Arial" w:cs="Arial"/>
          <w:sz w:val="20"/>
          <w:szCs w:val="20"/>
        </w:rPr>
        <w:t>Важнейшее преимущество, которое предоставляется странам-участницам Конвенции - право приоритета (</w:t>
      </w:r>
      <w:r>
        <w:rPr>
          <w:rFonts w:ascii="Arial" w:hAnsi="Arial" w:cs="Arial"/>
          <w:b/>
          <w:bCs/>
          <w:sz w:val="20"/>
          <w:szCs w:val="20"/>
        </w:rPr>
        <w:t>конвенционный приоритет</w:t>
      </w:r>
      <w:r>
        <w:rPr>
          <w:rFonts w:ascii="Arial" w:hAnsi="Arial" w:cs="Arial"/>
          <w:sz w:val="20"/>
          <w:szCs w:val="20"/>
        </w:rPr>
        <w:t>). Оно предусматривает, что любой заявитель или его правопреемник, подавший правильно оформленную заявку на патент на изобретение, полезную модель, промышленный образец или товарный знак в одной стране, может в течение определенного срока истребовать охрану во всех остальных странах-участницах с сохранением приоритета первой заявки. Для патентов на изобретения и полезные модели этот срок равен 12 месяцам со дня подачи первоначальной заявки, для промышленных образцов и товарных знаков - 6 мес.</w:t>
      </w:r>
    </w:p>
    <w:p w:rsidR="00FD64D5" w:rsidRDefault="00FD64D5">
      <w:pPr>
        <w:pStyle w:val="a3"/>
        <w:jc w:val="both"/>
        <w:rPr>
          <w:rFonts w:ascii="Arial" w:hAnsi="Arial" w:cs="Arial"/>
          <w:sz w:val="20"/>
          <w:szCs w:val="20"/>
        </w:rPr>
      </w:pPr>
      <w:r>
        <w:rPr>
          <w:rFonts w:ascii="Arial" w:hAnsi="Arial" w:cs="Arial"/>
          <w:b/>
          <w:bCs/>
          <w:sz w:val="20"/>
          <w:szCs w:val="20"/>
        </w:rPr>
        <w:t>Правило о конвенционном приоритете</w:t>
      </w:r>
      <w:r>
        <w:rPr>
          <w:rFonts w:ascii="Arial" w:hAnsi="Arial" w:cs="Arial"/>
          <w:sz w:val="20"/>
          <w:szCs w:val="20"/>
        </w:rPr>
        <w:t xml:space="preserve"> позволяет заявителю </w:t>
      </w:r>
      <w:r>
        <w:rPr>
          <w:rFonts w:ascii="Arial" w:hAnsi="Arial" w:cs="Arial"/>
          <w:b/>
          <w:bCs/>
          <w:sz w:val="20"/>
          <w:szCs w:val="20"/>
        </w:rPr>
        <w:t>оформить заявочную документацию</w:t>
      </w:r>
      <w:r>
        <w:rPr>
          <w:rFonts w:ascii="Arial" w:hAnsi="Arial" w:cs="Arial"/>
          <w:sz w:val="20"/>
          <w:szCs w:val="20"/>
        </w:rPr>
        <w:t xml:space="preserve"> для подачи ее в патентные ведомства стран-участниц без опасения в течение установленного срока </w:t>
      </w:r>
      <w:r>
        <w:rPr>
          <w:rFonts w:ascii="Arial" w:hAnsi="Arial" w:cs="Arial"/>
          <w:b/>
          <w:bCs/>
          <w:sz w:val="20"/>
          <w:szCs w:val="20"/>
        </w:rPr>
        <w:t>утратить новизну предмета заявки</w:t>
      </w:r>
      <w:r>
        <w:rPr>
          <w:rFonts w:ascii="Arial" w:hAnsi="Arial" w:cs="Arial"/>
          <w:sz w:val="20"/>
          <w:szCs w:val="20"/>
        </w:rPr>
        <w:t xml:space="preserve">, так как любые действия, совершаемые в период между датами подачи первой и более поздних заявок в пределах оговоренного срока, </w:t>
      </w:r>
      <w:r>
        <w:rPr>
          <w:rFonts w:ascii="Arial" w:hAnsi="Arial" w:cs="Arial"/>
          <w:b/>
          <w:bCs/>
          <w:sz w:val="20"/>
          <w:szCs w:val="20"/>
        </w:rPr>
        <w:t>не лишают заявителя права</w:t>
      </w:r>
      <w:r>
        <w:rPr>
          <w:rFonts w:ascii="Arial" w:hAnsi="Arial" w:cs="Arial"/>
          <w:sz w:val="20"/>
          <w:szCs w:val="20"/>
        </w:rPr>
        <w:t xml:space="preserve"> на получение охранного документа по более поздней заявке.</w:t>
      </w:r>
    </w:p>
    <w:p w:rsidR="00FD64D5" w:rsidRDefault="00FD64D5">
      <w:pPr>
        <w:pStyle w:val="a3"/>
        <w:jc w:val="both"/>
        <w:rPr>
          <w:rFonts w:ascii="Arial" w:hAnsi="Arial" w:cs="Arial"/>
          <w:sz w:val="20"/>
          <w:szCs w:val="20"/>
        </w:rPr>
      </w:pPr>
      <w:r>
        <w:rPr>
          <w:rFonts w:ascii="Arial" w:hAnsi="Arial" w:cs="Arial"/>
          <w:sz w:val="20"/>
          <w:szCs w:val="20"/>
        </w:rPr>
        <w:t>Отказ или изъятие первой заявки не являются препятствием для истребования по ней льготного конвенционного приоритета.</w:t>
      </w:r>
    </w:p>
    <w:p w:rsidR="00FD64D5" w:rsidRDefault="00FD64D5">
      <w:pPr>
        <w:pStyle w:val="a3"/>
        <w:jc w:val="both"/>
        <w:rPr>
          <w:rFonts w:ascii="Arial" w:hAnsi="Arial" w:cs="Arial"/>
          <w:sz w:val="20"/>
          <w:szCs w:val="20"/>
        </w:rPr>
      </w:pPr>
      <w:r>
        <w:rPr>
          <w:rFonts w:ascii="Arial" w:hAnsi="Arial" w:cs="Arial"/>
          <w:sz w:val="20"/>
          <w:szCs w:val="20"/>
        </w:rPr>
        <w:t>Согласно конвенции первая и последующие заявки могут быть поданы разными лицами, однако, совпадение предмета первой и последующих заявок обязательно.</w:t>
      </w:r>
    </w:p>
    <w:p w:rsidR="00FD64D5" w:rsidRDefault="00FD64D5">
      <w:pPr>
        <w:pStyle w:val="a3"/>
        <w:jc w:val="both"/>
        <w:rPr>
          <w:rFonts w:ascii="Arial" w:hAnsi="Arial" w:cs="Arial"/>
          <w:sz w:val="20"/>
          <w:szCs w:val="20"/>
        </w:rPr>
      </w:pPr>
      <w:r>
        <w:rPr>
          <w:rFonts w:ascii="Arial" w:hAnsi="Arial" w:cs="Arial"/>
          <w:sz w:val="20"/>
          <w:szCs w:val="20"/>
        </w:rPr>
        <w:t xml:space="preserve">Конвенцией допускается подача заявок с </w:t>
      </w:r>
      <w:r>
        <w:rPr>
          <w:rFonts w:ascii="Arial" w:hAnsi="Arial" w:cs="Arial"/>
          <w:b/>
          <w:bCs/>
          <w:sz w:val="20"/>
          <w:szCs w:val="20"/>
        </w:rPr>
        <w:t>"множественным"</w:t>
      </w:r>
      <w:r>
        <w:rPr>
          <w:rFonts w:ascii="Arial" w:hAnsi="Arial" w:cs="Arial"/>
          <w:sz w:val="20"/>
          <w:szCs w:val="20"/>
        </w:rPr>
        <w:t xml:space="preserve"> и </w:t>
      </w:r>
      <w:r>
        <w:rPr>
          <w:rFonts w:ascii="Arial" w:hAnsi="Arial" w:cs="Arial"/>
          <w:b/>
          <w:bCs/>
          <w:sz w:val="20"/>
          <w:szCs w:val="20"/>
        </w:rPr>
        <w:t>"частичным"</w:t>
      </w:r>
      <w:r>
        <w:rPr>
          <w:rFonts w:ascii="Arial" w:hAnsi="Arial" w:cs="Arial"/>
          <w:sz w:val="20"/>
          <w:szCs w:val="20"/>
        </w:rPr>
        <w:t xml:space="preserve"> приоритетом. Множественный приоритет возникает в отношении двух или более заявок на патенты, относящихся к одному и тому же техническому решению, поданных в одной или нескольких странах, а затем объединенных в одну общую заявку для подачи в другую страну - участницу Конвенции. Право приоритета при этом возникает для отдельных частей заявки, которые могут иметь и разные даты приоритета.</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14. Лицензионный договор и его виды. Основные права и обязанности сторон договора.</w:t>
      </w: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15. Товарный знак и знак обслуживания, их правовая охрана по нормам отечественного законодательства и по правилам международной конвенции.</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pStyle w:val="a3"/>
        <w:jc w:val="both"/>
        <w:rPr>
          <w:rFonts w:ascii="Arial" w:hAnsi="Arial" w:cs="Arial"/>
          <w:sz w:val="20"/>
          <w:szCs w:val="20"/>
        </w:rPr>
      </w:pPr>
      <w:r>
        <w:rPr>
          <w:rFonts w:ascii="Arial" w:hAnsi="Arial" w:cs="Arial"/>
          <w:b/>
          <w:bCs/>
          <w:sz w:val="20"/>
          <w:szCs w:val="20"/>
        </w:rPr>
        <w:t>Использование товарных знаков</w:t>
      </w:r>
    </w:p>
    <w:p w:rsidR="00FD64D5" w:rsidRDefault="00FD64D5">
      <w:pPr>
        <w:pStyle w:val="a3"/>
        <w:jc w:val="both"/>
        <w:rPr>
          <w:rFonts w:ascii="Arial" w:hAnsi="Arial" w:cs="Arial"/>
          <w:sz w:val="20"/>
          <w:szCs w:val="20"/>
        </w:rPr>
      </w:pPr>
      <w:r>
        <w:rPr>
          <w:rFonts w:ascii="Arial" w:hAnsi="Arial" w:cs="Arial"/>
          <w:sz w:val="20"/>
          <w:szCs w:val="20"/>
        </w:rPr>
        <w:t>В некоторых странах, где предусмотрена регистрация товарных знаков, требуется также, чтобы знак, будучи зарегистрированным, обязательно использовался в течение определенного периода. В противном случае товарный знак может быть исключен из регистра. При этом под использованием обычно понимается продажа товаров, маркированных данным знаком, хотя национальное законодательство может более широко интерпретировать термин "использование".</w:t>
      </w:r>
    </w:p>
    <w:p w:rsidR="00FD64D5" w:rsidRDefault="00FD64D5">
      <w:pPr>
        <w:pStyle w:val="a3"/>
        <w:jc w:val="both"/>
        <w:rPr>
          <w:rFonts w:ascii="Arial" w:hAnsi="Arial" w:cs="Arial"/>
          <w:sz w:val="20"/>
          <w:szCs w:val="20"/>
        </w:rPr>
      </w:pPr>
      <w:r>
        <w:rPr>
          <w:rFonts w:ascii="Arial" w:hAnsi="Arial" w:cs="Arial"/>
          <w:b/>
          <w:bCs/>
          <w:sz w:val="20"/>
          <w:szCs w:val="20"/>
        </w:rPr>
        <w:t>Статья 5С(1)</w:t>
      </w:r>
      <w:r>
        <w:rPr>
          <w:rFonts w:ascii="Arial" w:hAnsi="Arial" w:cs="Arial"/>
          <w:sz w:val="20"/>
          <w:szCs w:val="20"/>
        </w:rPr>
        <w:t xml:space="preserve"> устанавливает, что если требуется обязательное использование, то регистрация товарного знака может быть аннулирована на основании </w:t>
      </w:r>
      <w:r>
        <w:rPr>
          <w:rFonts w:ascii="Arial" w:hAnsi="Arial" w:cs="Arial"/>
          <w:b/>
          <w:bCs/>
          <w:sz w:val="20"/>
          <w:szCs w:val="20"/>
        </w:rPr>
        <w:t>неиспользования</w:t>
      </w:r>
      <w:r>
        <w:rPr>
          <w:rFonts w:ascii="Arial" w:hAnsi="Arial" w:cs="Arial"/>
          <w:sz w:val="20"/>
          <w:szCs w:val="20"/>
        </w:rPr>
        <w:t xml:space="preserve"> только по истечении </w:t>
      </w:r>
      <w:r>
        <w:rPr>
          <w:rFonts w:ascii="Arial" w:hAnsi="Arial" w:cs="Arial"/>
          <w:b/>
          <w:bCs/>
          <w:sz w:val="20"/>
          <w:szCs w:val="20"/>
        </w:rPr>
        <w:t>достаточного периода</w:t>
      </w:r>
      <w:r>
        <w:rPr>
          <w:rFonts w:ascii="Arial" w:hAnsi="Arial" w:cs="Arial"/>
          <w:sz w:val="20"/>
          <w:szCs w:val="20"/>
        </w:rPr>
        <w:t xml:space="preserve"> времени и только в случае, если владелец знака не представит доказательств, оправдывающих причины своего бездействия.</w:t>
      </w:r>
    </w:p>
    <w:p w:rsidR="00FD64D5" w:rsidRDefault="00FD64D5">
      <w:pPr>
        <w:pStyle w:val="a3"/>
        <w:jc w:val="both"/>
        <w:rPr>
          <w:rFonts w:ascii="Arial" w:hAnsi="Arial" w:cs="Arial"/>
          <w:sz w:val="20"/>
          <w:szCs w:val="20"/>
        </w:rPr>
      </w:pPr>
      <w:r>
        <w:rPr>
          <w:rFonts w:ascii="Arial" w:hAnsi="Arial" w:cs="Arial"/>
          <w:sz w:val="20"/>
          <w:szCs w:val="20"/>
        </w:rPr>
        <w:t>Определение "достаточного периода" оставлено за национальным законодательством каждой страны или же его устанавливают соответствующие компетентные органы. Этот период предусмотрен для того, чтобы владелец товарного знака имел достаточно времени для подготовки к его использованию; при этом учитывается, что нередко владельцу приходится использовать этот знак в разных странах.</w:t>
      </w:r>
    </w:p>
    <w:p w:rsidR="00FD64D5" w:rsidRDefault="00FD64D5">
      <w:pPr>
        <w:pStyle w:val="a3"/>
        <w:jc w:val="both"/>
        <w:rPr>
          <w:rFonts w:ascii="Arial" w:hAnsi="Arial" w:cs="Arial"/>
          <w:sz w:val="20"/>
          <w:szCs w:val="20"/>
        </w:rPr>
      </w:pPr>
      <w:r>
        <w:rPr>
          <w:rFonts w:ascii="Arial" w:hAnsi="Arial" w:cs="Arial"/>
          <w:sz w:val="20"/>
          <w:szCs w:val="20"/>
        </w:rPr>
        <w:t>Решение об аннулировании регистрации знака может быть принято, если владелец знака оправдает его неиспользование. Оправдание принимается, если оно обосновано юридическими и экономическими причинами, не зависящими от владельца, например если ввоз товаров был запрещен по решению правительства.</w:t>
      </w:r>
    </w:p>
    <w:p w:rsidR="00FD64D5" w:rsidRDefault="00FD64D5">
      <w:pPr>
        <w:pStyle w:val="a3"/>
        <w:jc w:val="both"/>
        <w:rPr>
          <w:rFonts w:ascii="Arial" w:hAnsi="Arial" w:cs="Arial"/>
          <w:sz w:val="20"/>
          <w:szCs w:val="20"/>
        </w:rPr>
      </w:pPr>
      <w:r>
        <w:rPr>
          <w:rFonts w:ascii="Arial" w:hAnsi="Arial" w:cs="Arial"/>
          <w:b/>
          <w:bCs/>
          <w:sz w:val="20"/>
          <w:szCs w:val="20"/>
        </w:rPr>
        <w:t>Статьей 5С(2)</w:t>
      </w:r>
      <w:r>
        <w:rPr>
          <w:rFonts w:ascii="Arial" w:hAnsi="Arial" w:cs="Arial"/>
          <w:sz w:val="20"/>
          <w:szCs w:val="20"/>
        </w:rPr>
        <w:t xml:space="preserve"> конвенции устанавливается также, что использование товарного знака его владельцем в такой форме, которая отличается от зарегистрированной в какой-либо из стран Парижского союза лишь отдельными элементами, не изменяющими отличительного характера знака, не влечет за собой признания недействительности регистрации и не ограничивает уровня охраны знака.</w:t>
      </w:r>
    </w:p>
    <w:p w:rsidR="00FD64D5" w:rsidRDefault="00FD64D5">
      <w:pPr>
        <w:pStyle w:val="a3"/>
        <w:jc w:val="both"/>
        <w:rPr>
          <w:rFonts w:ascii="Arial" w:hAnsi="Arial" w:cs="Arial"/>
          <w:sz w:val="20"/>
          <w:szCs w:val="20"/>
        </w:rPr>
      </w:pPr>
      <w:r>
        <w:rPr>
          <w:rFonts w:ascii="Arial" w:hAnsi="Arial" w:cs="Arial"/>
          <w:b/>
          <w:bCs/>
          <w:sz w:val="20"/>
          <w:szCs w:val="20"/>
        </w:rPr>
        <w:t>Одновременное использование одинаковых товарных знаков различными предприятиями</w:t>
      </w:r>
    </w:p>
    <w:p w:rsidR="00FD64D5" w:rsidRDefault="00FD64D5">
      <w:pPr>
        <w:pStyle w:val="a3"/>
        <w:jc w:val="both"/>
        <w:rPr>
          <w:rFonts w:ascii="Arial" w:hAnsi="Arial" w:cs="Arial"/>
          <w:sz w:val="20"/>
          <w:szCs w:val="20"/>
        </w:rPr>
      </w:pPr>
      <w:r>
        <w:rPr>
          <w:rFonts w:ascii="Arial" w:hAnsi="Arial" w:cs="Arial"/>
          <w:b/>
          <w:bCs/>
          <w:sz w:val="20"/>
          <w:szCs w:val="20"/>
        </w:rPr>
        <w:t>Статья 5С(3)</w:t>
      </w:r>
      <w:r>
        <w:rPr>
          <w:rFonts w:ascii="Arial" w:hAnsi="Arial" w:cs="Arial"/>
          <w:sz w:val="20"/>
          <w:szCs w:val="20"/>
        </w:rPr>
        <w:t xml:space="preserve"> предусматривает, что использование знака для идентичных или сходных товаров двумя и более промышленными или торговыми предприятиями, рассматриваемыми в качестве совладельцев знака в соответствии с положениями закона страны, где испрашивается охрана, не препятствует регистрации знака и никоим образом не ограничивает охрану, предоставленную указанному знаку в какой-либо стране союза, если только такое применение не вводит потребителя в заблуждение или не противоречит общественным интересам.</w:t>
      </w:r>
    </w:p>
    <w:p w:rsidR="00FD64D5" w:rsidRDefault="00FD64D5">
      <w:pPr>
        <w:pStyle w:val="a3"/>
        <w:jc w:val="both"/>
        <w:rPr>
          <w:rFonts w:ascii="Arial" w:hAnsi="Arial" w:cs="Arial"/>
          <w:sz w:val="20"/>
          <w:szCs w:val="20"/>
        </w:rPr>
      </w:pPr>
      <w:r>
        <w:rPr>
          <w:rFonts w:ascii="Arial" w:hAnsi="Arial" w:cs="Arial"/>
          <w:sz w:val="20"/>
          <w:szCs w:val="20"/>
        </w:rPr>
        <w:t>Это положение, однако, не касается случая использования товарного знака предприятиями, когда одновременное его применение вводит потребителя в заблуждение или противоречит общественным интересам. Подобное возможно, если одновременное использование знака не вводит потребителя в заблуждение относительно происхождения изделия, проданного с таким же знаком, или если качество товаров, продаваемых примерно в одно время совладельцами знака, различно. Такие случаи оставлены для национального законодательства.</w:t>
      </w:r>
    </w:p>
    <w:p w:rsidR="00FD64D5" w:rsidRDefault="00FD64D5">
      <w:pPr>
        <w:pStyle w:val="a3"/>
        <w:jc w:val="both"/>
        <w:rPr>
          <w:rFonts w:ascii="Arial" w:hAnsi="Arial" w:cs="Arial"/>
          <w:sz w:val="20"/>
          <w:szCs w:val="20"/>
        </w:rPr>
      </w:pPr>
      <w:r>
        <w:rPr>
          <w:rFonts w:ascii="Arial" w:hAnsi="Arial" w:cs="Arial"/>
          <w:b/>
          <w:bCs/>
          <w:sz w:val="20"/>
          <w:szCs w:val="20"/>
        </w:rPr>
        <w:t>Охрана товарных знаков, зарегистрированных в одной стране союза, в других странах-участницах</w:t>
      </w:r>
    </w:p>
    <w:p w:rsidR="00FD64D5" w:rsidRDefault="00FD64D5">
      <w:pPr>
        <w:pStyle w:val="a3"/>
        <w:jc w:val="both"/>
        <w:rPr>
          <w:rFonts w:ascii="Arial" w:hAnsi="Arial" w:cs="Arial"/>
          <w:sz w:val="20"/>
          <w:szCs w:val="20"/>
        </w:rPr>
      </w:pPr>
      <w:r>
        <w:rPr>
          <w:rFonts w:ascii="Arial" w:hAnsi="Arial" w:cs="Arial"/>
          <w:sz w:val="20"/>
          <w:szCs w:val="20"/>
        </w:rPr>
        <w:t xml:space="preserve">Одновременно с принципом </w:t>
      </w:r>
      <w:r>
        <w:rPr>
          <w:rFonts w:ascii="Arial" w:hAnsi="Arial" w:cs="Arial"/>
          <w:b/>
          <w:bCs/>
          <w:sz w:val="20"/>
          <w:szCs w:val="20"/>
        </w:rPr>
        <w:t>независимости</w:t>
      </w:r>
      <w:r>
        <w:rPr>
          <w:rFonts w:ascii="Arial" w:hAnsi="Arial" w:cs="Arial"/>
          <w:sz w:val="20"/>
          <w:szCs w:val="20"/>
        </w:rPr>
        <w:t xml:space="preserve"> заявок и </w:t>
      </w:r>
      <w:r>
        <w:rPr>
          <w:rFonts w:ascii="Arial" w:hAnsi="Arial" w:cs="Arial"/>
          <w:b/>
          <w:bCs/>
          <w:sz w:val="20"/>
          <w:szCs w:val="20"/>
        </w:rPr>
        <w:t>регистрации</w:t>
      </w:r>
      <w:r>
        <w:rPr>
          <w:rFonts w:ascii="Arial" w:hAnsi="Arial" w:cs="Arial"/>
          <w:sz w:val="20"/>
          <w:szCs w:val="20"/>
        </w:rPr>
        <w:t xml:space="preserve"> знаков, включенным в положения </w:t>
      </w:r>
      <w:r>
        <w:rPr>
          <w:rFonts w:ascii="Arial" w:hAnsi="Arial" w:cs="Arial"/>
          <w:b/>
          <w:bCs/>
          <w:sz w:val="20"/>
          <w:szCs w:val="20"/>
        </w:rPr>
        <w:t>ст. 6</w:t>
      </w:r>
      <w:r>
        <w:rPr>
          <w:rFonts w:ascii="Arial" w:hAnsi="Arial" w:cs="Arial"/>
          <w:sz w:val="20"/>
          <w:szCs w:val="20"/>
        </w:rPr>
        <w:t xml:space="preserve">, конвенция устанавливает, что каждый товарный знак, надлежащим образом зарегистрированный в стране происхождения, может быть заявлен в другой стране союза и охраняться таким, каков он есть, за некоторыми исключениями. Последние оговариваются в </w:t>
      </w:r>
      <w:r>
        <w:rPr>
          <w:rFonts w:ascii="Arial" w:hAnsi="Arial" w:cs="Arial"/>
          <w:b/>
          <w:bCs/>
          <w:sz w:val="20"/>
          <w:szCs w:val="20"/>
        </w:rPr>
        <w:t>ст. 64</w:t>
      </w:r>
      <w:r>
        <w:rPr>
          <w:rFonts w:ascii="Arial" w:hAnsi="Arial" w:cs="Arial"/>
          <w:b/>
          <w:bCs/>
          <w:sz w:val="20"/>
          <w:szCs w:val="20"/>
          <w:vertAlign w:val="superscript"/>
        </w:rPr>
        <w:t>quinques</w:t>
      </w:r>
      <w:r>
        <w:rPr>
          <w:rFonts w:ascii="Arial" w:hAnsi="Arial" w:cs="Arial"/>
          <w:sz w:val="20"/>
          <w:szCs w:val="20"/>
        </w:rPr>
        <w:t xml:space="preserve"> и сводятся к целующим случаям:</w:t>
      </w:r>
    </w:p>
    <w:tbl>
      <w:tblPr>
        <w:tblW w:w="0" w:type="auto"/>
        <w:tblCellSpacing w:w="15" w:type="dxa"/>
        <w:tblInd w:w="720" w:type="dxa"/>
        <w:tblCellMar>
          <w:top w:w="15" w:type="dxa"/>
          <w:left w:w="15" w:type="dxa"/>
          <w:bottom w:w="15" w:type="dxa"/>
          <w:right w:w="15" w:type="dxa"/>
        </w:tblCellMar>
        <w:tblLook w:val="0000" w:firstRow="0" w:lastRow="0" w:firstColumn="0" w:lastColumn="0" w:noHBand="0" w:noVBand="0"/>
      </w:tblPr>
      <w:tblGrid>
        <w:gridCol w:w="282"/>
        <w:gridCol w:w="10426"/>
      </w:tblGrid>
      <w:tr w:rsidR="00FD64D5">
        <w:trPr>
          <w:tblCellSpacing w:w="15" w:type="dxa"/>
        </w:trPr>
        <w:tc>
          <w:tcPr>
            <w:tcW w:w="0" w:type="auto"/>
          </w:tcPr>
          <w:p w:rsidR="00FD64D5" w:rsidRDefault="006B1885">
            <w:pPr>
              <w:jc w:val="both"/>
              <w:rPr>
                <w:rFonts w:ascii="Arial" w:eastAsia="Arial Unicode MS" w:hAnsi="Arial" w:cs="Arial"/>
                <w:color w:val="000000"/>
                <w:sz w:val="20"/>
              </w:rPr>
            </w:pPr>
            <w:r>
              <w:rPr>
                <w:rFonts w:ascii="Arial" w:hAnsi="Arial" w:cs="Arial"/>
                <w:sz w:val="20"/>
              </w:rPr>
              <w:pict>
                <v:shape id="_x0000_i1031" type="#_x0000_t75" alt="*" style="width:10.5pt;height:10.5pt">
                  <v:imagedata r:id="rId8" o:title=""/>
                </v:shape>
              </w:pict>
            </w:r>
          </w:p>
        </w:tc>
        <w:tc>
          <w:tcPr>
            <w:tcW w:w="0" w:type="auto"/>
            <w:vAlign w:val="center"/>
          </w:tcPr>
          <w:p w:rsidR="00FD64D5" w:rsidRDefault="00FD64D5">
            <w:pPr>
              <w:jc w:val="both"/>
              <w:rPr>
                <w:rFonts w:ascii="Arial" w:eastAsia="Arial Unicode MS" w:hAnsi="Arial" w:cs="Arial"/>
                <w:color w:val="000000"/>
                <w:sz w:val="20"/>
              </w:rPr>
            </w:pPr>
            <w:r>
              <w:rPr>
                <w:rFonts w:ascii="Arial" w:hAnsi="Arial" w:cs="Arial"/>
                <w:sz w:val="20"/>
                <w:szCs w:val="20"/>
              </w:rPr>
              <w:t>во-первых, когда товарный знак нарушает права третьей стороны, приобретенные в стране, где заявлена охрана. Это могут быть либо права на товарные знаки, уже охраняемые в рассматриваемой стране, либо другие права, например право на фирменное наименование или авторское право;</w:t>
            </w:r>
          </w:p>
        </w:tc>
      </w:tr>
      <w:tr w:rsidR="00FD64D5">
        <w:trPr>
          <w:tblCellSpacing w:w="15" w:type="dxa"/>
        </w:trPr>
        <w:tc>
          <w:tcPr>
            <w:tcW w:w="0" w:type="auto"/>
          </w:tcPr>
          <w:p w:rsidR="00FD64D5" w:rsidRDefault="006B1885">
            <w:pPr>
              <w:jc w:val="both"/>
              <w:rPr>
                <w:rFonts w:ascii="Arial" w:eastAsia="Arial Unicode MS" w:hAnsi="Arial" w:cs="Arial"/>
                <w:color w:val="000000"/>
                <w:sz w:val="20"/>
              </w:rPr>
            </w:pPr>
            <w:r>
              <w:rPr>
                <w:rFonts w:ascii="Arial" w:hAnsi="Arial" w:cs="Arial"/>
                <w:sz w:val="20"/>
              </w:rPr>
              <w:pict>
                <v:shape id="_x0000_i1032" type="#_x0000_t75" alt="*" style="width:10.5pt;height:10.5pt">
                  <v:imagedata r:id="rId8" o:title=""/>
                </v:shape>
              </w:pict>
            </w:r>
          </w:p>
        </w:tc>
        <w:tc>
          <w:tcPr>
            <w:tcW w:w="0" w:type="auto"/>
            <w:vAlign w:val="center"/>
          </w:tcPr>
          <w:p w:rsidR="00FD64D5" w:rsidRDefault="00FD64D5">
            <w:pPr>
              <w:jc w:val="both"/>
              <w:rPr>
                <w:rFonts w:ascii="Arial" w:eastAsia="Arial Unicode MS" w:hAnsi="Arial" w:cs="Arial"/>
                <w:color w:val="000000"/>
                <w:sz w:val="20"/>
              </w:rPr>
            </w:pPr>
            <w:r>
              <w:rPr>
                <w:rFonts w:ascii="Arial" w:hAnsi="Arial" w:cs="Arial"/>
                <w:sz w:val="20"/>
                <w:szCs w:val="20"/>
              </w:rPr>
              <w:t>во-вторых, когда товарный знак утратил свой отличительный характер или является чисто описательным, или состоит из родового названия;</w:t>
            </w:r>
          </w:p>
        </w:tc>
      </w:tr>
      <w:tr w:rsidR="00FD64D5">
        <w:trPr>
          <w:tblCellSpacing w:w="15" w:type="dxa"/>
        </w:trPr>
        <w:tc>
          <w:tcPr>
            <w:tcW w:w="0" w:type="auto"/>
          </w:tcPr>
          <w:p w:rsidR="00FD64D5" w:rsidRDefault="006B1885">
            <w:pPr>
              <w:jc w:val="both"/>
              <w:rPr>
                <w:rFonts w:ascii="Arial" w:eastAsia="Arial Unicode MS" w:hAnsi="Arial" w:cs="Arial"/>
                <w:color w:val="000000"/>
                <w:sz w:val="20"/>
              </w:rPr>
            </w:pPr>
            <w:r>
              <w:rPr>
                <w:rFonts w:ascii="Arial" w:hAnsi="Arial" w:cs="Arial"/>
                <w:sz w:val="20"/>
              </w:rPr>
              <w:pict>
                <v:shape id="_x0000_i1033" type="#_x0000_t75" alt="*" style="width:10.5pt;height:10.5pt">
                  <v:imagedata r:id="rId8" o:title=""/>
                </v:shape>
              </w:pict>
            </w:r>
          </w:p>
        </w:tc>
        <w:tc>
          <w:tcPr>
            <w:tcW w:w="0" w:type="auto"/>
            <w:vAlign w:val="center"/>
          </w:tcPr>
          <w:p w:rsidR="00FD64D5" w:rsidRDefault="00FD64D5">
            <w:pPr>
              <w:jc w:val="both"/>
              <w:rPr>
                <w:rFonts w:ascii="Arial" w:eastAsia="Arial Unicode MS" w:hAnsi="Arial" w:cs="Arial"/>
                <w:color w:val="000000"/>
                <w:sz w:val="20"/>
              </w:rPr>
            </w:pPr>
            <w:r>
              <w:rPr>
                <w:rFonts w:ascii="Arial" w:hAnsi="Arial" w:cs="Arial"/>
                <w:sz w:val="20"/>
                <w:szCs w:val="20"/>
              </w:rPr>
              <w:t>в-третьих, когда товарный знак противоречит морали или общественным установлениям, принятым в стране, где заявлена охрана. Это же относится к товарным знакам, специально предназначенным для обмана потребителя;</w:t>
            </w:r>
          </w:p>
        </w:tc>
      </w:tr>
      <w:tr w:rsidR="00FD64D5">
        <w:trPr>
          <w:tblCellSpacing w:w="15" w:type="dxa"/>
        </w:trPr>
        <w:tc>
          <w:tcPr>
            <w:tcW w:w="0" w:type="auto"/>
          </w:tcPr>
          <w:p w:rsidR="00FD64D5" w:rsidRDefault="006B1885">
            <w:pPr>
              <w:jc w:val="both"/>
              <w:rPr>
                <w:rFonts w:ascii="Arial" w:eastAsia="Arial Unicode MS" w:hAnsi="Arial" w:cs="Arial"/>
                <w:color w:val="000000"/>
                <w:sz w:val="20"/>
              </w:rPr>
            </w:pPr>
            <w:r>
              <w:rPr>
                <w:rFonts w:ascii="Arial" w:hAnsi="Arial" w:cs="Arial"/>
                <w:sz w:val="20"/>
              </w:rPr>
              <w:pict>
                <v:shape id="_x0000_i1034" type="#_x0000_t75" alt="*" style="width:10.5pt;height:10.5pt">
                  <v:imagedata r:id="rId8" o:title=""/>
                </v:shape>
              </w:pict>
            </w:r>
          </w:p>
        </w:tc>
        <w:tc>
          <w:tcPr>
            <w:tcW w:w="0" w:type="auto"/>
            <w:vAlign w:val="center"/>
          </w:tcPr>
          <w:p w:rsidR="00FD64D5" w:rsidRDefault="00FD64D5">
            <w:pPr>
              <w:jc w:val="both"/>
              <w:rPr>
                <w:rFonts w:ascii="Arial" w:eastAsia="Arial Unicode MS" w:hAnsi="Arial" w:cs="Arial"/>
                <w:color w:val="000000"/>
                <w:sz w:val="20"/>
              </w:rPr>
            </w:pPr>
            <w:r>
              <w:rPr>
                <w:rFonts w:ascii="Arial" w:hAnsi="Arial" w:cs="Arial"/>
                <w:sz w:val="20"/>
                <w:szCs w:val="20"/>
              </w:rPr>
              <w:t>в-четвертых, когда регистрация товарного знака приведет к недобросовестной конкуренции;</w:t>
            </w:r>
          </w:p>
        </w:tc>
      </w:tr>
      <w:tr w:rsidR="00FD64D5">
        <w:trPr>
          <w:tblCellSpacing w:w="15" w:type="dxa"/>
        </w:trPr>
        <w:tc>
          <w:tcPr>
            <w:tcW w:w="0" w:type="auto"/>
          </w:tcPr>
          <w:p w:rsidR="00FD64D5" w:rsidRDefault="006B1885">
            <w:pPr>
              <w:jc w:val="both"/>
              <w:rPr>
                <w:rFonts w:ascii="Arial" w:eastAsia="Arial Unicode MS" w:hAnsi="Arial" w:cs="Arial"/>
                <w:color w:val="000000"/>
                <w:sz w:val="20"/>
              </w:rPr>
            </w:pPr>
            <w:r>
              <w:rPr>
                <w:rFonts w:ascii="Arial" w:hAnsi="Arial" w:cs="Arial"/>
                <w:sz w:val="20"/>
              </w:rPr>
              <w:pict>
                <v:shape id="_x0000_i1035" type="#_x0000_t75" alt="*" style="width:10.5pt;height:10.5pt">
                  <v:imagedata r:id="rId8" o:title=""/>
                </v:shape>
              </w:pict>
            </w:r>
          </w:p>
        </w:tc>
        <w:tc>
          <w:tcPr>
            <w:tcW w:w="0" w:type="auto"/>
            <w:vAlign w:val="center"/>
          </w:tcPr>
          <w:p w:rsidR="00FD64D5" w:rsidRDefault="00FD64D5">
            <w:pPr>
              <w:jc w:val="both"/>
              <w:rPr>
                <w:rFonts w:ascii="Arial" w:eastAsia="Arial Unicode MS" w:hAnsi="Arial" w:cs="Arial"/>
                <w:color w:val="000000"/>
                <w:sz w:val="20"/>
              </w:rPr>
            </w:pPr>
            <w:r>
              <w:rPr>
                <w:rFonts w:ascii="Arial" w:hAnsi="Arial" w:cs="Arial"/>
                <w:sz w:val="20"/>
                <w:szCs w:val="20"/>
              </w:rPr>
              <w:t>в-пятых, когда товарный знак используется владельцем в форме, существенно отличной от той, в которой он зарегистрирован в стране происхождения. Несущественные отличия не могут служить основанием для отказа в охране или аннулирования.</w:t>
            </w:r>
          </w:p>
        </w:tc>
      </w:tr>
    </w:tbl>
    <w:p w:rsidR="00FD64D5" w:rsidRDefault="00FD64D5">
      <w:pPr>
        <w:pStyle w:val="a3"/>
        <w:jc w:val="both"/>
        <w:rPr>
          <w:rFonts w:ascii="Arial" w:hAnsi="Arial" w:cs="Arial"/>
          <w:sz w:val="20"/>
          <w:szCs w:val="20"/>
        </w:rPr>
      </w:pPr>
      <w:r>
        <w:rPr>
          <w:rFonts w:ascii="Arial" w:hAnsi="Arial" w:cs="Arial"/>
          <w:b/>
          <w:bCs/>
          <w:sz w:val="20"/>
          <w:szCs w:val="20"/>
        </w:rPr>
        <w:t>Знаки обслуживания</w:t>
      </w:r>
    </w:p>
    <w:p w:rsidR="00FD64D5" w:rsidRDefault="00FD64D5">
      <w:pPr>
        <w:pStyle w:val="a3"/>
        <w:jc w:val="both"/>
        <w:rPr>
          <w:rFonts w:ascii="Arial" w:hAnsi="Arial" w:cs="Arial"/>
          <w:sz w:val="20"/>
          <w:szCs w:val="20"/>
        </w:rPr>
      </w:pPr>
      <w:r>
        <w:rPr>
          <w:rFonts w:ascii="Arial" w:hAnsi="Arial" w:cs="Arial"/>
          <w:sz w:val="20"/>
          <w:szCs w:val="20"/>
        </w:rPr>
        <w:t>Cтраны-участницы гарантируют охрану знаков обслуживания, но не обязаны предусматривать их регистрацию. Это положение не означает требования разрабатывать специальное законодательство по знакам обслуживания. Страна-участница может подчиняться положению о гарантиях охраны не только путем введения специального законодательства, направленного на защиту знаков обслуживания, но и предоставлением подобной охраны другим способом, например с помощью законов о недобросовестной конкуренции.</w:t>
      </w:r>
    </w:p>
    <w:p w:rsidR="00FD64D5" w:rsidRDefault="00FD64D5">
      <w:pPr>
        <w:pStyle w:val="a3"/>
        <w:jc w:val="both"/>
        <w:rPr>
          <w:rFonts w:ascii="Arial" w:hAnsi="Arial" w:cs="Arial"/>
          <w:sz w:val="20"/>
          <w:szCs w:val="20"/>
        </w:rPr>
      </w:pPr>
      <w:r>
        <w:rPr>
          <w:rFonts w:ascii="Arial" w:hAnsi="Arial" w:cs="Arial"/>
          <w:b/>
          <w:bCs/>
          <w:sz w:val="20"/>
          <w:szCs w:val="20"/>
        </w:rPr>
        <w:t>Характер маркированного товара</w:t>
      </w:r>
    </w:p>
    <w:p w:rsidR="00FD64D5" w:rsidRDefault="00FD64D5">
      <w:pPr>
        <w:pStyle w:val="a3"/>
        <w:jc w:val="both"/>
        <w:rPr>
          <w:rFonts w:ascii="Arial" w:hAnsi="Arial" w:cs="Arial"/>
          <w:sz w:val="20"/>
          <w:szCs w:val="20"/>
        </w:rPr>
      </w:pPr>
      <w:r>
        <w:rPr>
          <w:rFonts w:ascii="Arial" w:hAnsi="Arial" w:cs="Arial"/>
          <w:b/>
          <w:bCs/>
          <w:sz w:val="20"/>
          <w:szCs w:val="20"/>
        </w:rPr>
        <w:t>Статья 7</w:t>
      </w:r>
      <w:r>
        <w:rPr>
          <w:rFonts w:ascii="Arial" w:hAnsi="Arial" w:cs="Arial"/>
          <w:sz w:val="20"/>
          <w:szCs w:val="20"/>
        </w:rPr>
        <w:t xml:space="preserve"> конвенции утверждает, что характер товара, для которого предназначен товарный знак, не может служить причиной отказа в регистрации знака. Назначение этого правила, а также аналогичного ему, изложенного в ст. 4quater и относящегося к патентам на изобретения, в том, чтобы охрана промышленной собственности предоставлялась независимо от того, могут ли товары, на которые распространяется эта охрана, продаваться в стране, где она испрашивается.</w:t>
      </w:r>
    </w:p>
    <w:p w:rsidR="00FD64D5" w:rsidRDefault="00FD64D5">
      <w:pPr>
        <w:pStyle w:val="a3"/>
        <w:jc w:val="both"/>
        <w:rPr>
          <w:rFonts w:ascii="Arial" w:hAnsi="Arial" w:cs="Arial"/>
          <w:sz w:val="20"/>
          <w:szCs w:val="20"/>
        </w:rPr>
      </w:pPr>
      <w:r>
        <w:rPr>
          <w:rFonts w:ascii="Arial" w:hAnsi="Arial" w:cs="Arial"/>
          <w:b/>
          <w:bCs/>
          <w:sz w:val="20"/>
          <w:szCs w:val="20"/>
        </w:rPr>
        <w:t>Коллективные знаки</w:t>
      </w:r>
    </w:p>
    <w:p w:rsidR="00FD64D5" w:rsidRDefault="00FD64D5">
      <w:pPr>
        <w:pStyle w:val="a3"/>
        <w:jc w:val="both"/>
        <w:rPr>
          <w:rFonts w:ascii="Arial" w:hAnsi="Arial" w:cs="Arial"/>
          <w:sz w:val="20"/>
          <w:szCs w:val="20"/>
        </w:rPr>
      </w:pPr>
      <w:r>
        <w:rPr>
          <w:rFonts w:ascii="Arial" w:hAnsi="Arial" w:cs="Arial"/>
          <w:b/>
          <w:bCs/>
          <w:sz w:val="20"/>
          <w:szCs w:val="20"/>
        </w:rPr>
        <w:t>Статья 7</w:t>
      </w:r>
      <w:r>
        <w:rPr>
          <w:rFonts w:ascii="Arial" w:hAnsi="Arial" w:cs="Arial"/>
          <w:b/>
          <w:bCs/>
          <w:sz w:val="20"/>
          <w:szCs w:val="20"/>
          <w:vertAlign w:val="superscript"/>
        </w:rPr>
        <w:t>bis</w:t>
      </w:r>
      <w:r>
        <w:rPr>
          <w:rFonts w:ascii="Arial" w:hAnsi="Arial" w:cs="Arial"/>
          <w:sz w:val="20"/>
          <w:szCs w:val="20"/>
        </w:rPr>
        <w:t xml:space="preserve"> конвенции посвящена коллективным знакам. Она обязывает страны-участницы осуществлять регистрацию и охрану коллективных знаков, принадлежащих ассоциациям, согласно принятым в стране правилам. Обычно это ассоциации производителей, оптовых, розничных и иных торговцев товарами, производящимися в той или иной стране, регионе или районе или имеющими другие общие характеристики. Коллективные знаки государств других общественных организаций не подпадают под это положение.</w:t>
      </w:r>
    </w:p>
    <w:p w:rsidR="00FD64D5" w:rsidRDefault="00FD64D5">
      <w:pPr>
        <w:pStyle w:val="a3"/>
        <w:jc w:val="both"/>
        <w:rPr>
          <w:rFonts w:ascii="Arial" w:hAnsi="Arial" w:cs="Arial"/>
          <w:sz w:val="20"/>
          <w:szCs w:val="20"/>
        </w:rPr>
      </w:pPr>
      <w:r>
        <w:rPr>
          <w:rFonts w:ascii="Arial" w:hAnsi="Arial" w:cs="Arial"/>
          <w:b/>
          <w:bCs/>
          <w:sz w:val="20"/>
          <w:szCs w:val="20"/>
        </w:rPr>
        <w:t>Товарные знаки, используемые на международных выставках</w:t>
      </w:r>
    </w:p>
    <w:p w:rsidR="00FD64D5" w:rsidRDefault="00FD64D5">
      <w:pPr>
        <w:pStyle w:val="a3"/>
        <w:jc w:val="both"/>
        <w:rPr>
          <w:rFonts w:ascii="Arial" w:hAnsi="Arial" w:cs="Arial"/>
          <w:sz w:val="20"/>
          <w:szCs w:val="20"/>
        </w:rPr>
      </w:pPr>
      <w:r>
        <w:rPr>
          <w:rFonts w:ascii="Arial" w:hAnsi="Arial" w:cs="Arial"/>
          <w:sz w:val="20"/>
          <w:szCs w:val="20"/>
        </w:rPr>
        <w:t xml:space="preserve">В </w:t>
      </w:r>
      <w:r>
        <w:rPr>
          <w:rFonts w:ascii="Arial" w:hAnsi="Arial" w:cs="Arial"/>
          <w:b/>
          <w:bCs/>
          <w:sz w:val="20"/>
          <w:szCs w:val="20"/>
        </w:rPr>
        <w:t>статье 11</w:t>
      </w:r>
      <w:r>
        <w:rPr>
          <w:rFonts w:ascii="Arial" w:hAnsi="Arial" w:cs="Arial"/>
          <w:sz w:val="20"/>
          <w:szCs w:val="20"/>
        </w:rPr>
        <w:t xml:space="preserve"> содержится правило, согласно которому страны-участницы обязаны гарантировать в соответствии со своим национальным законодательством </w:t>
      </w:r>
      <w:r>
        <w:rPr>
          <w:rFonts w:ascii="Arial" w:hAnsi="Arial" w:cs="Arial"/>
          <w:b/>
          <w:bCs/>
          <w:sz w:val="20"/>
          <w:szCs w:val="20"/>
        </w:rPr>
        <w:t>временную охрану</w:t>
      </w:r>
      <w:r>
        <w:rPr>
          <w:rFonts w:ascii="Arial" w:hAnsi="Arial" w:cs="Arial"/>
          <w:sz w:val="20"/>
          <w:szCs w:val="20"/>
        </w:rPr>
        <w:t xml:space="preserve"> товарных знаков, которыми маркированы товары, выставляемые на официальных и официально признанных международных выставках, проводимых на территории любой из стран-участниц.</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19. Субъекты ВЭД</w:t>
      </w:r>
    </w:p>
    <w:p w:rsidR="00FD64D5" w:rsidRDefault="00FD64D5">
      <w:pPr>
        <w:jc w:val="both"/>
        <w:rPr>
          <w:rFonts w:ascii="Arial" w:hAnsi="Arial" w:cs="Arial"/>
          <w:sz w:val="20"/>
        </w:rPr>
      </w:pPr>
    </w:p>
    <w:p w:rsidR="00FD64D5" w:rsidRDefault="00FD64D5">
      <w:pPr>
        <w:pStyle w:val="txtcolor"/>
        <w:jc w:val="both"/>
        <w:rPr>
          <w:rFonts w:ascii="Arial" w:hAnsi="Arial" w:cs="Arial"/>
          <w:sz w:val="20"/>
        </w:rPr>
      </w:pPr>
      <w:r>
        <w:rPr>
          <w:rFonts w:ascii="Arial" w:hAnsi="Arial" w:cs="Arial"/>
          <w:sz w:val="20"/>
        </w:rPr>
        <w:t>Специальные санкции в государственном регулировании внешнеэкономической деятельности</w:t>
      </w:r>
    </w:p>
    <w:p w:rsidR="00FD64D5" w:rsidRDefault="00FD64D5">
      <w:pPr>
        <w:pStyle w:val="a3"/>
        <w:jc w:val="both"/>
        <w:rPr>
          <w:rFonts w:ascii="Arial" w:hAnsi="Arial" w:cs="Arial"/>
          <w:sz w:val="20"/>
        </w:rPr>
      </w:pPr>
      <w:r>
        <w:rPr>
          <w:rFonts w:ascii="Arial" w:hAnsi="Arial" w:cs="Arial"/>
          <w:sz w:val="20"/>
        </w:rPr>
        <w:t>В современной экономической практике каждое государство всегда устанавливает определенные правила работы своих субъектов хозяйствования как на внутреннем, так и на внешнем рынках. Это необходимо как для защиты внутреннего рынка, так и для осуществления контроля со стороны государства за внешнеэкономической деятельностью (ВЭД) субъектов хозяйствования в рамках правового поля.</w:t>
      </w:r>
    </w:p>
    <w:p w:rsidR="00FD64D5" w:rsidRDefault="00FD64D5">
      <w:pPr>
        <w:pStyle w:val="a3"/>
        <w:jc w:val="both"/>
        <w:rPr>
          <w:rFonts w:ascii="Arial" w:hAnsi="Arial" w:cs="Arial"/>
          <w:sz w:val="20"/>
        </w:rPr>
      </w:pPr>
      <w:r>
        <w:rPr>
          <w:rStyle w:val="a6"/>
          <w:rFonts w:ascii="Arial" w:hAnsi="Arial" w:cs="Arial"/>
          <w:sz w:val="20"/>
        </w:rPr>
        <w:t>Специальные санкции в качестве регулирования внешнеэкономической деятельности без дополнительного вмешательства</w:t>
      </w:r>
    </w:p>
    <w:p w:rsidR="00FD64D5" w:rsidRDefault="00FD64D5">
      <w:pPr>
        <w:pStyle w:val="a3"/>
        <w:jc w:val="both"/>
        <w:rPr>
          <w:rFonts w:ascii="Arial" w:hAnsi="Arial" w:cs="Arial"/>
          <w:sz w:val="20"/>
        </w:rPr>
      </w:pPr>
      <w:r>
        <w:rPr>
          <w:rFonts w:ascii="Arial" w:hAnsi="Arial" w:cs="Arial"/>
          <w:sz w:val="20"/>
        </w:rPr>
        <w:t>Верховная Рада Украины еще в 1991 году, принимая один из самых "мягких" в мировой практике законодательных актов в сфере ВЭД, ввела норму ответственности за нарушение Закона Украины "О внешнеэкономической деятельности" (от 16 апреля 1991 года № 959-XII) и других связанных с ним законов.</w:t>
      </w:r>
    </w:p>
    <w:p w:rsidR="00FD64D5" w:rsidRDefault="00FD64D5">
      <w:pPr>
        <w:pStyle w:val="a3"/>
        <w:jc w:val="both"/>
        <w:rPr>
          <w:rFonts w:ascii="Arial" w:hAnsi="Arial" w:cs="Arial"/>
          <w:sz w:val="20"/>
        </w:rPr>
      </w:pPr>
      <w:r>
        <w:rPr>
          <w:rFonts w:ascii="Arial" w:hAnsi="Arial" w:cs="Arial"/>
          <w:sz w:val="20"/>
        </w:rPr>
        <w:t>Выполнение нормы, а именно статьи 37 Закона Украины "О внешнеэкономической деятельности" по применению специальных санкций было возложено на Министерство внешних экономических связей и торговли Украины как орган исполнительной власти, уполномоченный государством осуществлять регулирование и координацию внешнеэкономической деятельности. Осуществление контроля за соблюдением субъектами ВЭД действующего законодательства Украины является одной из основных задач МВЭСТорга, а применение специальных санкций согласно статье 37 вышеупомянутого Закона – одним из основных инструментов осуществления данной задачи.</w:t>
      </w:r>
    </w:p>
    <w:p w:rsidR="00FD64D5" w:rsidRDefault="00FD64D5">
      <w:pPr>
        <w:pStyle w:val="a3"/>
        <w:jc w:val="both"/>
        <w:rPr>
          <w:rFonts w:ascii="Arial" w:hAnsi="Arial" w:cs="Arial"/>
          <w:sz w:val="20"/>
        </w:rPr>
      </w:pPr>
      <w:r>
        <w:rPr>
          <w:rFonts w:ascii="Arial" w:hAnsi="Arial" w:cs="Arial"/>
          <w:sz w:val="20"/>
        </w:rPr>
        <w:t>Задачей системы государственного регулирования ВЭД является, с одной стороны, содействие увеличению внешнеторгового оборота, а с другой – осуществление эффективного контроля за деятельностью каждого субъекта ВЭД и предотвращение незаконного оттока валютных и материальных ценностей за границу.</w:t>
      </w:r>
    </w:p>
    <w:p w:rsidR="00FD64D5" w:rsidRDefault="00FD64D5">
      <w:pPr>
        <w:pStyle w:val="a3"/>
        <w:jc w:val="both"/>
        <w:rPr>
          <w:rFonts w:ascii="Arial" w:hAnsi="Arial" w:cs="Arial"/>
          <w:sz w:val="20"/>
        </w:rPr>
      </w:pPr>
      <w:r>
        <w:rPr>
          <w:rFonts w:ascii="Arial" w:hAnsi="Arial" w:cs="Arial"/>
          <w:sz w:val="20"/>
        </w:rPr>
        <w:t>Применение специальных санкций, предусмотренных статьей 37 Закона Украины "О внешнеэкономической деятельности" является практически единственным законодательным механизмом, который создает правовые основания для запрета внешнеэкономической деятельности в случае нарушения субъектом хозяйственной деятельности действующего законодательства Украины в сфере ВЭД. Указанная статья предусматривает, что специальные санкции, – индивидуальный режим лицензирования и временное прекращение внешнеэкономической деятельности – применяются к украинским субъектам внешнеэкономической деятельности и к иностранным субъектам хозяйствования.</w:t>
      </w:r>
    </w:p>
    <w:p w:rsidR="00FD64D5" w:rsidRDefault="00FD64D5">
      <w:pPr>
        <w:pStyle w:val="a3"/>
        <w:jc w:val="both"/>
        <w:rPr>
          <w:rFonts w:ascii="Arial" w:hAnsi="Arial" w:cs="Arial"/>
          <w:sz w:val="20"/>
        </w:rPr>
      </w:pPr>
      <w:r>
        <w:rPr>
          <w:rFonts w:ascii="Arial" w:hAnsi="Arial" w:cs="Arial"/>
          <w:sz w:val="20"/>
        </w:rPr>
        <w:t>В случае применения указанных санкций внешнеэкономические операции субъектов предпринимательской деятельности становятся полностью прозрачными для государственных органов. Конечно, не всем это нравится, но использование таких мер повышает степень ответственности за нарушение действующего законодательства.</w:t>
      </w:r>
    </w:p>
    <w:p w:rsidR="00FD64D5" w:rsidRDefault="00FD64D5">
      <w:pPr>
        <w:pStyle w:val="a3"/>
        <w:jc w:val="both"/>
        <w:rPr>
          <w:rFonts w:ascii="Arial" w:hAnsi="Arial" w:cs="Arial"/>
          <w:sz w:val="20"/>
        </w:rPr>
      </w:pPr>
      <w:r>
        <w:rPr>
          <w:rFonts w:ascii="Arial" w:hAnsi="Arial" w:cs="Arial"/>
          <w:sz w:val="20"/>
        </w:rPr>
        <w:t>Применение специальных санкций в соответствии со статьей 37 Закона Украины "О внешнеэкономической деятельности" – это обычная мировая практика нетарифных методов регулирования, и их можно поставить в один ряд с санкциями, которые широко применяются всеми государствами, в том числе и начисление пени, штрафов, используемых исключительно в отношении нарушителей закона.</w:t>
      </w:r>
    </w:p>
    <w:p w:rsidR="00FD64D5" w:rsidRDefault="00FD64D5">
      <w:pPr>
        <w:pStyle w:val="a3"/>
        <w:jc w:val="both"/>
        <w:rPr>
          <w:rFonts w:ascii="Arial" w:hAnsi="Arial" w:cs="Arial"/>
          <w:sz w:val="20"/>
        </w:rPr>
      </w:pPr>
      <w:r>
        <w:rPr>
          <w:rFonts w:ascii="Arial" w:hAnsi="Arial" w:cs="Arial"/>
          <w:sz w:val="20"/>
        </w:rPr>
        <w:t>В 1999 году МВЭСТоргом применены специальные санкции к 9708 субъектам ВЭД (из них 4621 иностранный субъект хозяйствования). Сумма возвращенных в Украину валютных средств в следствие этого составила 105,99 млн. USD. Общая сумма возвращенных валютных средств в период с 1992 года по 1999 год с помощью специальных санкций составляет 289,31 млн. USD.</w:t>
      </w:r>
    </w:p>
    <w:p w:rsidR="00FD64D5" w:rsidRDefault="00FD64D5">
      <w:pPr>
        <w:pStyle w:val="a3"/>
        <w:jc w:val="both"/>
        <w:rPr>
          <w:rFonts w:ascii="Arial" w:hAnsi="Arial" w:cs="Arial"/>
          <w:sz w:val="20"/>
        </w:rPr>
      </w:pPr>
      <w:r>
        <w:rPr>
          <w:rFonts w:ascii="Arial" w:hAnsi="Arial" w:cs="Arial"/>
          <w:sz w:val="20"/>
        </w:rPr>
        <w:t>Указанные специальные санкции в 1999 году применялись МВЭСТоргом по представлению ГНАУ – 8656 случаев, СБУ – 404, НБУ – 404, МВД – 55, органов прокуратуры – 43, ГТСУ – 30, региональных комиссий по вопросам возвращения в Украину валютных ценностей, которые незаконно находятся за ее пределами – 17.</w:t>
      </w:r>
    </w:p>
    <w:p w:rsidR="00FD64D5" w:rsidRDefault="00FD64D5">
      <w:pPr>
        <w:pStyle w:val="a3"/>
        <w:jc w:val="both"/>
        <w:rPr>
          <w:rFonts w:ascii="Arial" w:hAnsi="Arial" w:cs="Arial"/>
          <w:sz w:val="20"/>
        </w:rPr>
      </w:pPr>
      <w:r>
        <w:rPr>
          <w:rFonts w:ascii="Arial" w:hAnsi="Arial" w:cs="Arial"/>
          <w:sz w:val="20"/>
        </w:rPr>
        <w:t>Благодаря применению специальных санкций в 1999 году удалось предотвратить осуществление субъектами предпринимательской деятельности убыточных внешнеэкономических операций общим объемом товарооборота более 400 млн. USD.</w:t>
      </w:r>
    </w:p>
    <w:p w:rsidR="00FD64D5" w:rsidRDefault="00FD64D5">
      <w:pPr>
        <w:pStyle w:val="a3"/>
        <w:jc w:val="both"/>
        <w:rPr>
          <w:rFonts w:ascii="Arial" w:hAnsi="Arial" w:cs="Arial"/>
          <w:sz w:val="20"/>
        </w:rPr>
      </w:pPr>
      <w:r>
        <w:rPr>
          <w:rStyle w:val="a6"/>
          <w:rFonts w:ascii="Arial" w:hAnsi="Arial" w:cs="Arial"/>
          <w:sz w:val="20"/>
        </w:rPr>
        <w:t>Документ, регулирующий процедуру применения и отмены специальных санкций в соответствии со статьей 37 Закона Украины "О внешнеэкономической деятельности"</w:t>
      </w:r>
    </w:p>
    <w:p w:rsidR="00FD64D5" w:rsidRDefault="00FD64D5">
      <w:pPr>
        <w:pStyle w:val="a3"/>
        <w:jc w:val="both"/>
        <w:rPr>
          <w:rFonts w:ascii="Arial" w:hAnsi="Arial" w:cs="Arial"/>
          <w:sz w:val="20"/>
        </w:rPr>
      </w:pPr>
      <w:r>
        <w:rPr>
          <w:rFonts w:ascii="Arial" w:hAnsi="Arial" w:cs="Arial"/>
          <w:sz w:val="20"/>
        </w:rPr>
        <w:t>С целью усовершенствования процедуры применения и отмены специальных санкций, МВЭСТоргом Украины издан приказ от 5 октября 1999 года №754 "Об утверждении Положения о порядке применения к субъектам внешнеэкономической деятельности Украины и иностранным субъектам хозяйственной деятельности специальных санкций, предусмотренных статьей 37 Закона Украины "О внешнеэкономической деятельности". Данный приказ зарегистрирован в Министерстве юстиции Украины 21.10.99 г. за №718/4011.</w:t>
      </w:r>
    </w:p>
    <w:p w:rsidR="00FD64D5" w:rsidRDefault="00FD64D5">
      <w:pPr>
        <w:pStyle w:val="a3"/>
        <w:jc w:val="both"/>
        <w:rPr>
          <w:rFonts w:ascii="Arial" w:hAnsi="Arial" w:cs="Arial"/>
          <w:sz w:val="20"/>
        </w:rPr>
      </w:pPr>
      <w:r>
        <w:rPr>
          <w:rFonts w:ascii="Arial" w:hAnsi="Arial" w:cs="Arial"/>
          <w:sz w:val="20"/>
        </w:rPr>
        <w:t>Необходимо отметить, что в соответствии с Указом Президента Украины от 15.12.99 г. №1573 "Об изменениях в структуре центральных органов исполнительной власти" на базе ликвидированного МВЭСТорга, Минэкономики и других центральных органов исполнительной власти создано Министерство экономики Украины.</w:t>
      </w:r>
    </w:p>
    <w:p w:rsidR="00FD64D5" w:rsidRDefault="00FD64D5">
      <w:pPr>
        <w:pStyle w:val="a3"/>
        <w:jc w:val="both"/>
        <w:rPr>
          <w:rFonts w:ascii="Arial" w:hAnsi="Arial" w:cs="Arial"/>
          <w:sz w:val="20"/>
        </w:rPr>
      </w:pPr>
      <w:r>
        <w:rPr>
          <w:rFonts w:ascii="Arial" w:hAnsi="Arial" w:cs="Arial"/>
          <w:sz w:val="20"/>
        </w:rPr>
        <w:t>В связи с этим с целью обеспечения выполнения новообразованным Минэкономики функций ликвидированного МВЭСТорга в настоящее время министерством подготовлен и внесен на рассмотрение в Верховную Раду Украины проект Закона Украины "О внесении изменений и дополнений к Закону Украины "О внешнеэкономической деятельности". После вступления в силу вышеупомянутого законопроекта Министерство экономики утвердит Положение о применении (отмене) специальных санкций в новой редакции.</w:t>
      </w:r>
    </w:p>
    <w:p w:rsidR="00FD64D5" w:rsidRDefault="00FD64D5">
      <w:pPr>
        <w:pStyle w:val="a3"/>
        <w:jc w:val="both"/>
        <w:rPr>
          <w:rFonts w:ascii="Arial" w:hAnsi="Arial" w:cs="Arial"/>
          <w:sz w:val="20"/>
        </w:rPr>
      </w:pPr>
      <w:r>
        <w:rPr>
          <w:rFonts w:ascii="Arial" w:hAnsi="Arial" w:cs="Arial"/>
          <w:sz w:val="20"/>
        </w:rPr>
        <w:t>Если в структуре ликвидированного МВЭСТорга применение (отмена, приостановление, изменение вида) специальных санкций в соответствии со статьей 37 Закона Украины "О внешнеэкономической деятельности" непосредственно осуществлялось Главным управлением экспортного контроля, то в новой структуре Минэкономики применение (отмена, приостановление, изменение вида) специальных санкций осуществляется Управлением контроля за внешнеэкономической деятельностью, которое является структурным подразделением Департамента торговых ограничений и контроля за ВЭД.</w:t>
      </w:r>
    </w:p>
    <w:p w:rsidR="00FD64D5" w:rsidRDefault="00FD64D5">
      <w:pPr>
        <w:pStyle w:val="a3"/>
        <w:jc w:val="both"/>
        <w:rPr>
          <w:rFonts w:ascii="Arial" w:hAnsi="Arial" w:cs="Arial"/>
          <w:sz w:val="20"/>
        </w:rPr>
      </w:pPr>
      <w:r>
        <w:rPr>
          <w:rStyle w:val="a6"/>
          <w:rFonts w:ascii="Arial" w:hAnsi="Arial" w:cs="Arial"/>
          <w:sz w:val="20"/>
        </w:rPr>
        <w:t>Ограничения внешнеэкономической деятельности, к которым ведет применение специальных санкций</w:t>
      </w:r>
    </w:p>
    <w:p w:rsidR="00FD64D5" w:rsidRDefault="00FD64D5">
      <w:pPr>
        <w:pStyle w:val="a3"/>
        <w:jc w:val="both"/>
        <w:rPr>
          <w:rFonts w:ascii="Arial" w:hAnsi="Arial" w:cs="Arial"/>
          <w:sz w:val="20"/>
        </w:rPr>
      </w:pPr>
      <w:r>
        <w:rPr>
          <w:rFonts w:ascii="Arial" w:hAnsi="Arial" w:cs="Arial"/>
          <w:sz w:val="20"/>
        </w:rPr>
        <w:t>Действие специальных санкций, применяемых к субъектам ВЭД, распространяется на все ее виды, указанные в статье 4 Закона Украины "О внешнеэкономической деятельности", операции по которым осуществляются украинскими субъектами внешнеэкономической деятельности и иностранными субъектами хозяйственной деятельности, и ведет к следующим ограничениям:</w:t>
      </w:r>
    </w:p>
    <w:p w:rsidR="00FD64D5" w:rsidRDefault="00FD64D5">
      <w:pPr>
        <w:pStyle w:val="a3"/>
        <w:jc w:val="both"/>
        <w:rPr>
          <w:rFonts w:ascii="Arial" w:hAnsi="Arial" w:cs="Arial"/>
          <w:sz w:val="20"/>
        </w:rPr>
      </w:pPr>
      <w:r>
        <w:rPr>
          <w:rFonts w:ascii="Arial" w:hAnsi="Arial" w:cs="Arial"/>
          <w:sz w:val="20"/>
        </w:rPr>
        <w:t>Украинские субъекты ВЭД, к которым в установленном порядке применена специальная санкция, не имеют права заключать договора поручения, комиссии, агентские, совместной деятельности и сотрудничества, консигнации, дилерские, дистрибьюторские, аренды, найма, лизинга, хранения и прочие, которые предусматривают проведение внешнеэкономических операций другими лицами или в пользу других лиц по доверенности или передачу имущества в срочное пользование с целью проведения ВЭД.</w:t>
      </w:r>
    </w:p>
    <w:p w:rsidR="00FD64D5" w:rsidRDefault="00FD64D5">
      <w:pPr>
        <w:pStyle w:val="a3"/>
        <w:jc w:val="both"/>
        <w:rPr>
          <w:rFonts w:ascii="Arial" w:hAnsi="Arial" w:cs="Arial"/>
          <w:sz w:val="20"/>
        </w:rPr>
      </w:pPr>
      <w:r>
        <w:rPr>
          <w:rFonts w:ascii="Arial" w:hAnsi="Arial" w:cs="Arial"/>
          <w:sz w:val="20"/>
        </w:rPr>
        <w:t>Также украинские субъекты внешнеэкономической деятельности не имеют права заключать с иностранными субъектами хозяйственной деятельности, к которым в установленном порядке применена специальная санкция, договора: поручения, комиссии, агентские, общей деятельности и сотрудничества, консигнации, дилерские, дистрибьюторские, аренды, найма, лизинга, хранения и прочие, которые предусматривают проведение внешнеэкономических операций другими лицами или в пользу других лиц по доверенности или передачу имущества в срочное пользование с целью проведения ВЭД в Украине или с товарами украинского происхождения.</w:t>
      </w:r>
    </w:p>
    <w:p w:rsidR="00FD64D5" w:rsidRDefault="00FD64D5">
      <w:pPr>
        <w:pStyle w:val="a3"/>
        <w:jc w:val="both"/>
        <w:rPr>
          <w:rFonts w:ascii="Arial" w:hAnsi="Arial" w:cs="Arial"/>
          <w:sz w:val="20"/>
        </w:rPr>
      </w:pPr>
      <w:r>
        <w:rPr>
          <w:rStyle w:val="a6"/>
          <w:rFonts w:ascii="Arial" w:hAnsi="Arial" w:cs="Arial"/>
          <w:sz w:val="20"/>
        </w:rPr>
        <w:t>Содержание специальных санкций</w:t>
      </w:r>
    </w:p>
    <w:p w:rsidR="00FD64D5" w:rsidRDefault="00FD64D5">
      <w:pPr>
        <w:pStyle w:val="a3"/>
        <w:jc w:val="both"/>
        <w:rPr>
          <w:rFonts w:ascii="Arial" w:hAnsi="Arial" w:cs="Arial"/>
          <w:sz w:val="20"/>
        </w:rPr>
      </w:pPr>
      <w:r>
        <w:rPr>
          <w:rFonts w:ascii="Arial" w:hAnsi="Arial" w:cs="Arial"/>
          <w:sz w:val="20"/>
        </w:rPr>
        <w:t xml:space="preserve">Индивидуальный режим лицензирования ВЭД украинских субъектов ВЭД и иностранных субъектов хозяйственной деятельности предусматривает осуществление лицензирования каждой отдельной внешнеэкономической операции определенного вида ВЭД, которая указана в статье 4 Закона Украины "О внешнеэкономической деятельности". </w:t>
      </w:r>
    </w:p>
    <w:p w:rsidR="00FD64D5" w:rsidRDefault="00FD64D5">
      <w:pPr>
        <w:pStyle w:val="a3"/>
        <w:jc w:val="both"/>
        <w:rPr>
          <w:rFonts w:ascii="Arial" w:hAnsi="Arial" w:cs="Arial"/>
          <w:sz w:val="20"/>
        </w:rPr>
      </w:pPr>
      <w:r>
        <w:rPr>
          <w:rFonts w:ascii="Arial" w:hAnsi="Arial" w:cs="Arial"/>
          <w:sz w:val="20"/>
        </w:rPr>
        <w:t xml:space="preserve">В случае применения индивидуального режима лицензирования ВЭД основанием для осуществления внешнеэкономических операций субъектами ВЭД, к которым применены санкции, является разовая (индивидуальная) лицензия. </w:t>
      </w:r>
    </w:p>
    <w:p w:rsidR="00FD64D5" w:rsidRDefault="00FD64D5">
      <w:pPr>
        <w:pStyle w:val="a3"/>
        <w:jc w:val="both"/>
        <w:rPr>
          <w:rFonts w:ascii="Arial" w:hAnsi="Arial" w:cs="Arial"/>
          <w:sz w:val="20"/>
        </w:rPr>
      </w:pPr>
      <w:r>
        <w:rPr>
          <w:rFonts w:ascii="Arial" w:hAnsi="Arial" w:cs="Arial"/>
          <w:sz w:val="20"/>
        </w:rPr>
        <w:t>Разовая (индивидуальная) лицензия оформляется согласно требованиям Положения о порядке выдачи разовых (индивидуальных) лицензий, утвержденного приказом МВЭСТорга Украины от 28 апреля 1998 года №248 (с изменениями и дополнениями) и зарегистрированного в Министерстве юстиции Украины 28.04.98 за №275/2715.</w:t>
      </w:r>
    </w:p>
    <w:p w:rsidR="00FD64D5" w:rsidRDefault="00FD64D5">
      <w:pPr>
        <w:pStyle w:val="a3"/>
        <w:jc w:val="both"/>
        <w:rPr>
          <w:rFonts w:ascii="Arial" w:hAnsi="Arial" w:cs="Arial"/>
          <w:sz w:val="20"/>
        </w:rPr>
      </w:pPr>
      <w:r>
        <w:rPr>
          <w:rFonts w:ascii="Arial" w:hAnsi="Arial" w:cs="Arial"/>
          <w:sz w:val="20"/>
        </w:rPr>
        <w:t xml:space="preserve">Применение режима индивидуального лицензирования не является запретом ВЭД, а предусматривает проведение экспертизы внешнеэкономических договоров на их соответствие международным нормам, валютному законодательству Украины, соответствие уровню цен на продукцию, которая импортируется или экспортируется, и конъюнктуре, которая сложилась на рынках. </w:t>
      </w:r>
    </w:p>
    <w:p w:rsidR="00FD64D5" w:rsidRDefault="00FD64D5">
      <w:pPr>
        <w:pStyle w:val="a3"/>
        <w:jc w:val="both"/>
        <w:rPr>
          <w:rFonts w:ascii="Arial" w:hAnsi="Arial" w:cs="Arial"/>
          <w:sz w:val="20"/>
        </w:rPr>
      </w:pPr>
      <w:r>
        <w:rPr>
          <w:rFonts w:ascii="Arial" w:hAnsi="Arial" w:cs="Arial"/>
          <w:sz w:val="20"/>
        </w:rPr>
        <w:t>После проведения такой экспертизы оформляется индивидуальная разовая лицензия на внешнеэкономическую операцию. Полученная разовая (индивидуальная) лицензия является основанием для осуществления таможенного оформления товаров и проведения банковских операций по соответствующему договору.</w:t>
      </w:r>
    </w:p>
    <w:p w:rsidR="00FD64D5" w:rsidRDefault="00FD64D5">
      <w:pPr>
        <w:pStyle w:val="a3"/>
        <w:jc w:val="both"/>
        <w:rPr>
          <w:rFonts w:ascii="Arial" w:hAnsi="Arial" w:cs="Arial"/>
          <w:sz w:val="20"/>
        </w:rPr>
      </w:pPr>
      <w:r>
        <w:rPr>
          <w:rFonts w:ascii="Arial" w:hAnsi="Arial" w:cs="Arial"/>
          <w:sz w:val="20"/>
        </w:rPr>
        <w:t>Временная остановка ВЭД, применяемая к украинским субъектам ВЭД и иностранным субъектам хозяйственной деятельности, означает лишение права заниматься всеми видами ВЭД, предусмотренными статьей 4 Закона Украины "О внешнеэкономической деятельности ", за исключением:</w:t>
      </w:r>
    </w:p>
    <w:p w:rsidR="00FD64D5" w:rsidRDefault="00FD64D5">
      <w:pPr>
        <w:pStyle w:val="a3"/>
        <w:jc w:val="both"/>
        <w:rPr>
          <w:rFonts w:ascii="Arial" w:hAnsi="Arial" w:cs="Arial"/>
          <w:sz w:val="20"/>
        </w:rPr>
      </w:pPr>
      <w:r>
        <w:rPr>
          <w:rFonts w:ascii="Arial" w:hAnsi="Arial" w:cs="Arial"/>
          <w:sz w:val="20"/>
        </w:rPr>
        <w:t>• завершения расчетов по внешнеэкономическим операциям, на которые со стороны украинских субъектов ВЭД или иностранных субъектов хозяйственной деятельности были перечислены средства раньше, до применения этой санкции;</w:t>
      </w:r>
    </w:p>
    <w:p w:rsidR="00FD64D5" w:rsidRDefault="00FD64D5">
      <w:pPr>
        <w:pStyle w:val="a3"/>
        <w:jc w:val="both"/>
        <w:rPr>
          <w:rFonts w:ascii="Arial" w:hAnsi="Arial" w:cs="Arial"/>
          <w:sz w:val="20"/>
        </w:rPr>
      </w:pPr>
      <w:r>
        <w:rPr>
          <w:rFonts w:ascii="Arial" w:hAnsi="Arial" w:cs="Arial"/>
          <w:sz w:val="20"/>
        </w:rPr>
        <w:t xml:space="preserve">• завершения расчетов по внешнеэкономическим операциям за продукцию, которая была отправлена за границу Украины украинскими субъектами ВЭД или отправлена в Украину иностранными субъектами хозяйственной деятельности раньше, до применения этой санкции. </w:t>
      </w:r>
    </w:p>
    <w:p w:rsidR="00FD64D5" w:rsidRDefault="00FD64D5">
      <w:pPr>
        <w:pStyle w:val="a3"/>
        <w:jc w:val="both"/>
        <w:rPr>
          <w:rFonts w:ascii="Arial" w:hAnsi="Arial" w:cs="Arial"/>
          <w:sz w:val="20"/>
        </w:rPr>
      </w:pPr>
      <w:r>
        <w:rPr>
          <w:rFonts w:ascii="Arial" w:hAnsi="Arial" w:cs="Arial"/>
          <w:sz w:val="20"/>
        </w:rPr>
        <w:t>Для завершения таких операций украинскому субъекту ВЭД необходимо в установленном порядке получить разовую (индивидуальную) лицензию Минэкономики Украины.</w:t>
      </w:r>
    </w:p>
    <w:p w:rsidR="00FD64D5" w:rsidRDefault="00FD64D5">
      <w:pPr>
        <w:pStyle w:val="a3"/>
        <w:jc w:val="both"/>
        <w:rPr>
          <w:rFonts w:ascii="Arial" w:hAnsi="Arial" w:cs="Arial"/>
          <w:sz w:val="20"/>
        </w:rPr>
      </w:pPr>
      <w:r>
        <w:rPr>
          <w:rFonts w:ascii="Arial" w:hAnsi="Arial" w:cs="Arial"/>
          <w:sz w:val="20"/>
        </w:rPr>
        <w:t>Санкции в виде временной остановки ВЭД могут применяться к субъектам ВЭД в случае проведения ими действий в сфере внешнеэкономических отношений, которые: могут повредить интересам национальной экономической безопасности; приводят к нарушениям международных обязательств Украины; а также в случае непринятия в течение года после применения индивидуального режима лицензирования мер по соответствию своей деятельности требованиям действующего законодательства в сфере внешнеэкономических отношений.</w:t>
      </w:r>
    </w:p>
    <w:p w:rsidR="00FD64D5" w:rsidRDefault="00FD64D5">
      <w:pPr>
        <w:pStyle w:val="a3"/>
        <w:jc w:val="both"/>
        <w:rPr>
          <w:rFonts w:ascii="Arial" w:hAnsi="Arial" w:cs="Arial"/>
          <w:sz w:val="20"/>
        </w:rPr>
      </w:pPr>
      <w:r>
        <w:rPr>
          <w:rStyle w:val="a6"/>
          <w:rFonts w:ascii="Arial" w:hAnsi="Arial" w:cs="Arial"/>
          <w:sz w:val="20"/>
        </w:rPr>
        <w:t>Основание и порядок применения специальных санкций</w:t>
      </w:r>
    </w:p>
    <w:p w:rsidR="00FD64D5" w:rsidRDefault="00FD64D5">
      <w:pPr>
        <w:pStyle w:val="a3"/>
        <w:jc w:val="both"/>
        <w:rPr>
          <w:rFonts w:ascii="Arial" w:hAnsi="Arial" w:cs="Arial"/>
          <w:sz w:val="20"/>
        </w:rPr>
      </w:pPr>
      <w:r>
        <w:rPr>
          <w:rFonts w:ascii="Arial" w:hAnsi="Arial" w:cs="Arial"/>
          <w:sz w:val="20"/>
        </w:rPr>
        <w:t>Основанием для применения специальных санкций является решение судебных органов или представлений налоговых и контрольно-ревизионных служб, таможенных, правоохранительных органов, Национального банка Украины и Комиссии по вопросам возвращения валютных ценностей в Украину, которые незаконно находятся за ее пределами. Другими словами, если субъект ВЭД (резидент или нерезидент) нарушил Закон Украины "О внешнеэкономической деятельности ", связанные с ним законы и прочие нормативные акты, которые касаются сферы внешнеэкономических отношений, министерство на основании соответствующих представлений вышеперечисленных государственных органов или решения суда применяет специальные санкции. В частности, специальные санкции применяются министерством в случае нарушения субъектами ВЭД валютного, таможенного, налогового, другого законодательства, связанного с их ВЭД, и в случае их действий, которые могут повредить интересам национальной экономической безопасности.</w:t>
      </w:r>
    </w:p>
    <w:p w:rsidR="00FD64D5" w:rsidRDefault="00FD64D5">
      <w:pPr>
        <w:pStyle w:val="a3"/>
        <w:jc w:val="both"/>
        <w:rPr>
          <w:rFonts w:ascii="Arial" w:hAnsi="Arial" w:cs="Arial"/>
          <w:sz w:val="20"/>
        </w:rPr>
      </w:pPr>
      <w:r>
        <w:rPr>
          <w:rFonts w:ascii="Arial" w:hAnsi="Arial" w:cs="Arial"/>
          <w:sz w:val="20"/>
        </w:rPr>
        <w:t xml:space="preserve">Представление для применения специальных санкций к субъектам ВЭД (индивидуального режима лицензирования внешнеэкономической деятельности или временной остановки ВЭД) должны содержать информацию: о полных реквизитах субъекта ВЭД; о содержании конкретного нарушения субъектом ВЭД Украины или иностранным субъектом хозяйственной деятельности действующего законодательства Украины, связанного с Законом Украины "О внешнеэкономической деятельности"; предложения по виду санкций, которые предлагается применить. </w:t>
      </w:r>
    </w:p>
    <w:p w:rsidR="00FD64D5" w:rsidRDefault="00FD64D5">
      <w:pPr>
        <w:pStyle w:val="a3"/>
        <w:jc w:val="both"/>
        <w:rPr>
          <w:rFonts w:ascii="Arial" w:hAnsi="Arial" w:cs="Arial"/>
          <w:sz w:val="20"/>
        </w:rPr>
      </w:pPr>
      <w:r>
        <w:rPr>
          <w:rFonts w:ascii="Arial" w:hAnsi="Arial" w:cs="Arial"/>
          <w:sz w:val="20"/>
        </w:rPr>
        <w:t>Если полученные представления содержат неполную информацию, то министерство может сделать запрос инициатору представления или другим органам государственного управления и валютного контроля, юридическим лицам по уточнению информации о субъекте ВЭД.</w:t>
      </w:r>
    </w:p>
    <w:p w:rsidR="00FD64D5" w:rsidRDefault="00FD64D5">
      <w:pPr>
        <w:pStyle w:val="a3"/>
        <w:jc w:val="both"/>
        <w:rPr>
          <w:rFonts w:ascii="Arial" w:hAnsi="Arial" w:cs="Arial"/>
          <w:sz w:val="20"/>
        </w:rPr>
      </w:pPr>
      <w:r>
        <w:rPr>
          <w:rFonts w:ascii="Arial" w:hAnsi="Arial" w:cs="Arial"/>
          <w:sz w:val="20"/>
        </w:rPr>
        <w:t>Ответственность за достоверность информации, указанной в представлении, несет инициатор представления в порядке, предусмотренном действующим законодательством Украины.</w:t>
      </w:r>
    </w:p>
    <w:p w:rsidR="00FD64D5" w:rsidRDefault="00FD64D5">
      <w:pPr>
        <w:pStyle w:val="a3"/>
        <w:jc w:val="both"/>
        <w:rPr>
          <w:rFonts w:ascii="Arial" w:hAnsi="Arial" w:cs="Arial"/>
          <w:sz w:val="20"/>
        </w:rPr>
      </w:pPr>
      <w:r>
        <w:rPr>
          <w:rFonts w:ascii="Arial" w:hAnsi="Arial" w:cs="Arial"/>
          <w:sz w:val="20"/>
        </w:rPr>
        <w:t>В случае наличия в министерстве другой информации о деятельности субъекта ВЭД, к которому предлагается применить санкции, эти материалы присоединяются к первоначальным и рассматриваются вместе с представлением при принятии окончательного решения.</w:t>
      </w:r>
    </w:p>
    <w:p w:rsidR="00FD64D5" w:rsidRDefault="00FD64D5">
      <w:pPr>
        <w:pStyle w:val="a3"/>
        <w:jc w:val="both"/>
        <w:rPr>
          <w:rFonts w:ascii="Arial" w:hAnsi="Arial" w:cs="Arial"/>
          <w:sz w:val="20"/>
        </w:rPr>
      </w:pPr>
      <w:r>
        <w:rPr>
          <w:rFonts w:ascii="Arial" w:hAnsi="Arial" w:cs="Arial"/>
          <w:sz w:val="20"/>
        </w:rPr>
        <w:t>Министерством для дополнительного изучения деятельности субъектов ВЭД могут привлекаться специалисты и использоваться материалы Совета Министров АР Крым, областных, Киевской и Севастопольской городских государственных администраций.</w:t>
      </w:r>
    </w:p>
    <w:p w:rsidR="00FD64D5" w:rsidRDefault="00FD64D5">
      <w:pPr>
        <w:pStyle w:val="a3"/>
        <w:jc w:val="both"/>
        <w:rPr>
          <w:rFonts w:ascii="Arial" w:hAnsi="Arial" w:cs="Arial"/>
          <w:sz w:val="20"/>
        </w:rPr>
      </w:pPr>
      <w:r>
        <w:rPr>
          <w:rFonts w:ascii="Arial" w:hAnsi="Arial" w:cs="Arial"/>
          <w:sz w:val="20"/>
        </w:rPr>
        <w:t>После проработки всех документов готовится проект приказа.</w:t>
      </w:r>
    </w:p>
    <w:p w:rsidR="00FD64D5" w:rsidRDefault="00FD64D5">
      <w:pPr>
        <w:pStyle w:val="a3"/>
        <w:jc w:val="both"/>
        <w:rPr>
          <w:rFonts w:ascii="Arial" w:hAnsi="Arial" w:cs="Arial"/>
          <w:sz w:val="20"/>
        </w:rPr>
      </w:pPr>
      <w:r>
        <w:rPr>
          <w:rFonts w:ascii="Arial" w:hAnsi="Arial" w:cs="Arial"/>
          <w:sz w:val="20"/>
        </w:rPr>
        <w:t>Соответствующие приказы министерства выдаются в случае применения, а также отмены, изменения вида, приостановления действия санкций к субъектам ВЭД.</w:t>
      </w:r>
    </w:p>
    <w:p w:rsidR="00FD64D5" w:rsidRDefault="00FD64D5">
      <w:pPr>
        <w:pStyle w:val="a3"/>
        <w:jc w:val="both"/>
        <w:rPr>
          <w:rFonts w:ascii="Arial" w:hAnsi="Arial" w:cs="Arial"/>
          <w:sz w:val="20"/>
        </w:rPr>
      </w:pPr>
      <w:r>
        <w:rPr>
          <w:rFonts w:ascii="Arial" w:hAnsi="Arial" w:cs="Arial"/>
          <w:sz w:val="20"/>
        </w:rPr>
        <w:t>Применению санкций к субъектам ВЭД может предшествовать официальное предупреждение о возможности применения к ним санкций.</w:t>
      </w:r>
    </w:p>
    <w:p w:rsidR="00FD64D5" w:rsidRDefault="00FD64D5">
      <w:pPr>
        <w:pStyle w:val="a3"/>
        <w:jc w:val="both"/>
        <w:rPr>
          <w:rFonts w:ascii="Arial" w:hAnsi="Arial" w:cs="Arial"/>
          <w:sz w:val="20"/>
        </w:rPr>
      </w:pPr>
      <w:r>
        <w:rPr>
          <w:rFonts w:ascii="Arial" w:hAnsi="Arial" w:cs="Arial"/>
          <w:sz w:val="20"/>
        </w:rPr>
        <w:t>В приказе министерства указываются реквизиты юридических лиц, к которым применены санкции, вид санкции, время, с которого санкция начинает действовать.</w:t>
      </w:r>
    </w:p>
    <w:p w:rsidR="00FD64D5" w:rsidRDefault="00FD64D5">
      <w:pPr>
        <w:pStyle w:val="a3"/>
        <w:jc w:val="both"/>
        <w:rPr>
          <w:rFonts w:ascii="Arial" w:hAnsi="Arial" w:cs="Arial"/>
          <w:sz w:val="20"/>
        </w:rPr>
      </w:pPr>
      <w:r>
        <w:rPr>
          <w:rFonts w:ascii="Arial" w:hAnsi="Arial" w:cs="Arial"/>
          <w:sz w:val="20"/>
        </w:rPr>
        <w:t>Материалы и информация, которая представляется соответствующими государственными органами, свидетельствует о том, что специальные санкции по статье 37 Закона Украины "О внешнеэкономической деятельности " в большинстве случаев применяются за нарушение субъектом ВЭД Законов Украины "О порядке проведения расчетов в иностранной валюте", "О регулировании бартерных (товарообменных) операций в области ВЭД", "Об операциях с давальческим сырьем в внешнеэкономических отношениях", Указа Президента Украины от 18.06.94 г. №319/94 "О неотложных мерах по возвращению в Украину валютных ценностей, которые незаконно находятся за ее пределами" и некоторых статей Таможенного кодекса Украины.</w:t>
      </w:r>
    </w:p>
    <w:p w:rsidR="00FD64D5" w:rsidRDefault="00FD64D5">
      <w:pPr>
        <w:pStyle w:val="a3"/>
        <w:jc w:val="both"/>
        <w:rPr>
          <w:rFonts w:ascii="Arial" w:hAnsi="Arial" w:cs="Arial"/>
          <w:sz w:val="20"/>
        </w:rPr>
      </w:pPr>
      <w:r>
        <w:rPr>
          <w:rFonts w:ascii="Arial" w:hAnsi="Arial" w:cs="Arial"/>
          <w:sz w:val="20"/>
        </w:rPr>
        <w:t>Данные материалы и информация показывают, что в подавляющем большинстве случаев (от 80 до 90%) специальные санкции в соответствии со статьей 37 Закона Украины "О внешнеэкономической деятельности " применяются за нарушение субъектами ВЭД статей 1 и 2 Закона Украины "О порядке осуществления расчетов в иностранной валюте" от 23 сентября 1994 года №185/94-ВР.</w:t>
      </w:r>
    </w:p>
    <w:p w:rsidR="00FD64D5" w:rsidRDefault="00FD64D5">
      <w:pPr>
        <w:pStyle w:val="a3"/>
        <w:jc w:val="both"/>
        <w:rPr>
          <w:rFonts w:ascii="Arial" w:hAnsi="Arial" w:cs="Arial"/>
          <w:sz w:val="20"/>
        </w:rPr>
      </w:pPr>
      <w:r>
        <w:rPr>
          <w:rFonts w:ascii="Arial" w:hAnsi="Arial" w:cs="Arial"/>
          <w:sz w:val="20"/>
        </w:rPr>
        <w:t xml:space="preserve">Вышесказанное подтверждает тот факт, что одним из острейших вопросов для Украины остается отток валютных и материальных ценностей, который происходит с целью сокрытия валютных ценностей за границей и уклонения от налогообложения. Одним из механизмов предотвращения этих процессов и является применение специальных санкций. </w:t>
      </w:r>
    </w:p>
    <w:p w:rsidR="00FD64D5" w:rsidRDefault="00FD64D5">
      <w:pPr>
        <w:pStyle w:val="a3"/>
        <w:jc w:val="both"/>
        <w:rPr>
          <w:rFonts w:ascii="Arial" w:hAnsi="Arial" w:cs="Arial"/>
          <w:sz w:val="20"/>
        </w:rPr>
      </w:pPr>
      <w:r>
        <w:rPr>
          <w:rFonts w:ascii="Arial" w:hAnsi="Arial" w:cs="Arial"/>
          <w:sz w:val="20"/>
        </w:rPr>
        <w:t>Анализ материалов по этому вопросу, сделанный на основании данных органов, которые задействованы в системе валютного контроля – ГНАУ, НБУ, коммерческие банки, ГТСУ и Госкомстат, а также правоохранительные органы – показывает, что основными причинами, приводящими к оттоку валюты из Украины и невозвращении ее в сроки, определенные законодательством Украины, являются следующие:</w:t>
      </w:r>
    </w:p>
    <w:p w:rsidR="00FD64D5" w:rsidRDefault="00FD64D5">
      <w:pPr>
        <w:pStyle w:val="a3"/>
        <w:jc w:val="both"/>
        <w:rPr>
          <w:rFonts w:ascii="Arial" w:hAnsi="Arial" w:cs="Arial"/>
          <w:sz w:val="20"/>
        </w:rPr>
      </w:pPr>
      <w:r>
        <w:rPr>
          <w:rFonts w:ascii="Arial" w:hAnsi="Arial" w:cs="Arial"/>
          <w:sz w:val="20"/>
        </w:rPr>
        <w:t>– низкий профессиональный уровень и низкая ответственность руководителей предприятий в сфере ВЭД, что в первую очередь, сказывается на составлении внешнеэкономических контрактов;</w:t>
      </w:r>
    </w:p>
    <w:p w:rsidR="00FD64D5" w:rsidRDefault="00FD64D5">
      <w:pPr>
        <w:pStyle w:val="a3"/>
        <w:jc w:val="both"/>
        <w:rPr>
          <w:rFonts w:ascii="Arial" w:hAnsi="Arial" w:cs="Arial"/>
          <w:sz w:val="20"/>
        </w:rPr>
      </w:pPr>
      <w:r>
        <w:rPr>
          <w:rFonts w:ascii="Arial" w:hAnsi="Arial" w:cs="Arial"/>
          <w:sz w:val="20"/>
        </w:rPr>
        <w:t>– экономическая нестабильность в стране, большое налоговое давление, незаинтересованность субъектов осуществлять меры по возвращению валютных и материальных ценностей;</w:t>
      </w:r>
    </w:p>
    <w:p w:rsidR="00FD64D5" w:rsidRDefault="00FD64D5">
      <w:pPr>
        <w:pStyle w:val="a3"/>
        <w:jc w:val="both"/>
        <w:rPr>
          <w:rFonts w:ascii="Arial" w:hAnsi="Arial" w:cs="Arial"/>
          <w:sz w:val="20"/>
        </w:rPr>
      </w:pPr>
      <w:r>
        <w:rPr>
          <w:rFonts w:ascii="Arial" w:hAnsi="Arial" w:cs="Arial"/>
          <w:sz w:val="20"/>
        </w:rPr>
        <w:t>– осуществление внешнеэкономических операций с целью уклонения от налогообложения и сокрытия валюты за границей,</w:t>
      </w:r>
    </w:p>
    <w:p w:rsidR="00FD64D5" w:rsidRDefault="00FD64D5">
      <w:pPr>
        <w:pStyle w:val="a3"/>
        <w:jc w:val="both"/>
        <w:rPr>
          <w:rFonts w:ascii="Arial" w:hAnsi="Arial" w:cs="Arial"/>
          <w:sz w:val="20"/>
        </w:rPr>
      </w:pPr>
      <w:r>
        <w:rPr>
          <w:rFonts w:ascii="Arial" w:hAnsi="Arial" w:cs="Arial"/>
          <w:sz w:val="20"/>
        </w:rPr>
        <w:t>– неэффективная координация работы органов центральной исполнительной власти и валютного контроля в отношении оперативного обмена информацией с целью предупреждения безосновательного оттока валютных и материальных ценностей за границу.</w:t>
      </w:r>
    </w:p>
    <w:p w:rsidR="00FD64D5" w:rsidRDefault="00FD64D5">
      <w:pPr>
        <w:pStyle w:val="a3"/>
        <w:jc w:val="both"/>
        <w:rPr>
          <w:rFonts w:ascii="Arial" w:hAnsi="Arial" w:cs="Arial"/>
          <w:sz w:val="20"/>
        </w:rPr>
      </w:pPr>
      <w:r>
        <w:rPr>
          <w:rStyle w:val="a6"/>
          <w:rFonts w:ascii="Arial" w:hAnsi="Arial" w:cs="Arial"/>
          <w:sz w:val="20"/>
        </w:rPr>
        <w:t>Основание и порядок отмены специальных санкций</w:t>
      </w:r>
    </w:p>
    <w:p w:rsidR="00FD64D5" w:rsidRDefault="00FD64D5">
      <w:pPr>
        <w:pStyle w:val="a3"/>
        <w:jc w:val="both"/>
        <w:rPr>
          <w:rFonts w:ascii="Arial" w:hAnsi="Arial" w:cs="Arial"/>
          <w:sz w:val="20"/>
        </w:rPr>
      </w:pPr>
      <w:r>
        <w:rPr>
          <w:rFonts w:ascii="Arial" w:hAnsi="Arial" w:cs="Arial"/>
          <w:sz w:val="20"/>
        </w:rPr>
        <w:t xml:space="preserve">Санкции применяются на срок до принятия субъектами ВЭД исчерпывающих мер по устранению нарушений действующего законодательства в сфере внешнеэкономических отношений. </w:t>
      </w:r>
    </w:p>
    <w:p w:rsidR="00FD64D5" w:rsidRDefault="00FD64D5">
      <w:pPr>
        <w:pStyle w:val="a3"/>
        <w:jc w:val="both"/>
        <w:rPr>
          <w:rFonts w:ascii="Arial" w:hAnsi="Arial" w:cs="Arial"/>
          <w:sz w:val="20"/>
        </w:rPr>
      </w:pPr>
      <w:r>
        <w:rPr>
          <w:rFonts w:ascii="Arial" w:hAnsi="Arial" w:cs="Arial"/>
          <w:sz w:val="20"/>
        </w:rPr>
        <w:t>В отдельных случаях (возникновение форс-мажорных обстоятельств, представление иска в третейский суд или в суд общей юрисдикции страны расположения контрагента, или в суд (арбитражный суд) Украины о признании или взыскании с иностранного субъекта хозяйственной деятельности долга, связанного с невыполнением условий контракта), действие специальных санкций может быть приостановлено на срок до окончания действия форс-мажорных обстоятельств или на время рассмотрения дела при предоставлении соответствующих документов.</w:t>
      </w:r>
    </w:p>
    <w:p w:rsidR="00FD64D5" w:rsidRDefault="00FD64D5">
      <w:pPr>
        <w:pStyle w:val="a3"/>
        <w:jc w:val="both"/>
        <w:rPr>
          <w:rFonts w:ascii="Arial" w:hAnsi="Arial" w:cs="Arial"/>
          <w:sz w:val="20"/>
        </w:rPr>
      </w:pPr>
      <w:r>
        <w:rPr>
          <w:rFonts w:ascii="Arial" w:hAnsi="Arial" w:cs="Arial"/>
          <w:sz w:val="20"/>
        </w:rPr>
        <w:t>Субъекты ВЭД, к которым применены санкции, имеют право предоставить в министерство материалы, которые подтверждают применение ими мер по приведению внешнеэкономической и связанной с ней хозяйственной деятельности в соответствие с нормами действующего законодательства, и выйти в министерство с ходатайством об отмене (изменении вида, приостановлении) действия санкций. Общий срок рассмотрения ходатайств и представления ответа субъекту ВЭД о принятом министерством решении не должен превышать установленный действующим законодательством Украины.</w:t>
      </w:r>
    </w:p>
    <w:p w:rsidR="00FD64D5" w:rsidRDefault="00FD64D5">
      <w:pPr>
        <w:pStyle w:val="a3"/>
        <w:jc w:val="both"/>
        <w:rPr>
          <w:rFonts w:ascii="Arial" w:hAnsi="Arial" w:cs="Arial"/>
          <w:sz w:val="20"/>
        </w:rPr>
      </w:pPr>
      <w:r>
        <w:rPr>
          <w:rFonts w:ascii="Arial" w:hAnsi="Arial" w:cs="Arial"/>
          <w:sz w:val="20"/>
        </w:rPr>
        <w:t xml:space="preserve">В случае обращения с ходатайством об отмене (изменении вида, приостановлении) действия специальной санкции субъект ВЭД должен подать в министерство такие документы: </w:t>
      </w:r>
    </w:p>
    <w:p w:rsidR="00FD64D5" w:rsidRDefault="00FD64D5">
      <w:pPr>
        <w:pStyle w:val="a3"/>
        <w:jc w:val="both"/>
        <w:rPr>
          <w:rFonts w:ascii="Arial" w:hAnsi="Arial" w:cs="Arial"/>
          <w:sz w:val="20"/>
        </w:rPr>
      </w:pPr>
      <w:r>
        <w:rPr>
          <w:rFonts w:ascii="Arial" w:hAnsi="Arial" w:cs="Arial"/>
          <w:sz w:val="20"/>
        </w:rPr>
        <w:t>а) письмо-обращение с изложением причин, которые привели к нарушению и о принятых мерах по приведению своей деятельности в соответствие с нормами действующего законодательства Украины;</w:t>
      </w:r>
    </w:p>
    <w:p w:rsidR="00FD64D5" w:rsidRDefault="00FD64D5">
      <w:pPr>
        <w:pStyle w:val="a3"/>
        <w:jc w:val="both"/>
        <w:rPr>
          <w:rFonts w:ascii="Arial" w:hAnsi="Arial" w:cs="Arial"/>
          <w:sz w:val="20"/>
        </w:rPr>
      </w:pPr>
      <w:r>
        <w:rPr>
          <w:rFonts w:ascii="Arial" w:hAnsi="Arial" w:cs="Arial"/>
          <w:sz w:val="20"/>
        </w:rPr>
        <w:t>б) оригиналы материалов (справки) от органов государственного управления, которые осуществляют контроль за ВЭД или валютный контроль, которые удостоверяют принятие субъектом ВЭД практических мер по приведению своей деятельности в соответствие с нормами действующего законодательства Украины.</w:t>
      </w:r>
    </w:p>
    <w:p w:rsidR="00FD64D5" w:rsidRDefault="00FD64D5">
      <w:pPr>
        <w:pStyle w:val="a3"/>
        <w:jc w:val="both"/>
        <w:rPr>
          <w:rFonts w:ascii="Arial" w:hAnsi="Arial" w:cs="Arial"/>
          <w:sz w:val="20"/>
        </w:rPr>
      </w:pPr>
      <w:r>
        <w:rPr>
          <w:rFonts w:ascii="Arial" w:hAnsi="Arial" w:cs="Arial"/>
          <w:sz w:val="20"/>
        </w:rPr>
        <w:t>При необходимости министерство может обращаться в государственные органы, которые осуществляют контроль в сфере ВЭД, в банковские учреждения с запросами о получении дополнительных материалов и информации в отношении субъектов ВЭД, которые обратились в министерство с соответствующим ходатайством. Также министерство может делать запросы о субъектах ВЭД для получения материалов и информации относительно осуществленных ими внешнеэкономических операций.</w:t>
      </w:r>
    </w:p>
    <w:p w:rsidR="00FD64D5" w:rsidRDefault="00FD64D5">
      <w:pPr>
        <w:pStyle w:val="a3"/>
        <w:jc w:val="both"/>
        <w:rPr>
          <w:rFonts w:ascii="Arial" w:hAnsi="Arial" w:cs="Arial"/>
          <w:sz w:val="20"/>
        </w:rPr>
      </w:pPr>
      <w:r>
        <w:rPr>
          <w:rFonts w:ascii="Arial" w:hAnsi="Arial" w:cs="Arial"/>
          <w:sz w:val="20"/>
        </w:rPr>
        <w:t>Субъекты ВЭД несут полную ответственность за достоверность сведений, представленных в Минэкономики Украины.</w:t>
      </w:r>
    </w:p>
    <w:p w:rsidR="00FD64D5" w:rsidRDefault="00FD64D5">
      <w:pPr>
        <w:pStyle w:val="a3"/>
        <w:jc w:val="both"/>
        <w:rPr>
          <w:rFonts w:ascii="Arial" w:hAnsi="Arial" w:cs="Arial"/>
          <w:sz w:val="20"/>
        </w:rPr>
      </w:pPr>
      <w:r>
        <w:rPr>
          <w:rFonts w:ascii="Arial" w:hAnsi="Arial" w:cs="Arial"/>
          <w:sz w:val="20"/>
        </w:rPr>
        <w:t>Порядок распространения информации относительно применения (отмены) специальных санкций</w:t>
      </w:r>
    </w:p>
    <w:p w:rsidR="00FD64D5" w:rsidRDefault="00FD64D5">
      <w:pPr>
        <w:pStyle w:val="a3"/>
        <w:jc w:val="both"/>
        <w:rPr>
          <w:rFonts w:ascii="Arial" w:hAnsi="Arial" w:cs="Arial"/>
          <w:sz w:val="20"/>
        </w:rPr>
      </w:pPr>
      <w:r>
        <w:rPr>
          <w:rFonts w:ascii="Arial" w:hAnsi="Arial" w:cs="Arial"/>
          <w:sz w:val="20"/>
        </w:rPr>
        <w:t>Приказ по применению (отмене, изменении вида, приостановлении действия) санкций в трехдневный срок доводится до сведения:</w:t>
      </w:r>
    </w:p>
    <w:p w:rsidR="00FD64D5" w:rsidRDefault="00FD64D5">
      <w:pPr>
        <w:pStyle w:val="a3"/>
        <w:jc w:val="both"/>
        <w:rPr>
          <w:rFonts w:ascii="Arial" w:hAnsi="Arial" w:cs="Arial"/>
          <w:sz w:val="20"/>
        </w:rPr>
      </w:pPr>
      <w:r>
        <w:rPr>
          <w:rFonts w:ascii="Arial" w:hAnsi="Arial" w:cs="Arial"/>
          <w:sz w:val="20"/>
        </w:rPr>
        <w:t>• органа, который вышел с представлением;</w:t>
      </w:r>
    </w:p>
    <w:p w:rsidR="00FD64D5" w:rsidRDefault="00FD64D5">
      <w:pPr>
        <w:pStyle w:val="a3"/>
        <w:jc w:val="both"/>
        <w:rPr>
          <w:rFonts w:ascii="Arial" w:hAnsi="Arial" w:cs="Arial"/>
          <w:sz w:val="20"/>
        </w:rPr>
      </w:pPr>
      <w:r>
        <w:rPr>
          <w:rFonts w:ascii="Arial" w:hAnsi="Arial" w:cs="Arial"/>
          <w:sz w:val="20"/>
        </w:rPr>
        <w:t>• Государственной налоговой администрации Украины;</w:t>
      </w:r>
    </w:p>
    <w:p w:rsidR="00FD64D5" w:rsidRDefault="00FD64D5">
      <w:pPr>
        <w:pStyle w:val="a3"/>
        <w:jc w:val="both"/>
        <w:rPr>
          <w:rFonts w:ascii="Arial" w:hAnsi="Arial" w:cs="Arial"/>
          <w:sz w:val="20"/>
        </w:rPr>
      </w:pPr>
      <w:r>
        <w:rPr>
          <w:rFonts w:ascii="Arial" w:hAnsi="Arial" w:cs="Arial"/>
          <w:sz w:val="20"/>
        </w:rPr>
        <w:t>• Государственной таможенной службы Украины;</w:t>
      </w:r>
    </w:p>
    <w:p w:rsidR="00FD64D5" w:rsidRDefault="00FD64D5">
      <w:pPr>
        <w:pStyle w:val="a3"/>
        <w:jc w:val="both"/>
        <w:rPr>
          <w:rFonts w:ascii="Arial" w:hAnsi="Arial" w:cs="Arial"/>
          <w:sz w:val="20"/>
        </w:rPr>
      </w:pPr>
      <w:r>
        <w:rPr>
          <w:rFonts w:ascii="Arial" w:hAnsi="Arial" w:cs="Arial"/>
          <w:sz w:val="20"/>
        </w:rPr>
        <w:t>• Национального банка Украины;</w:t>
      </w:r>
    </w:p>
    <w:p w:rsidR="00FD64D5" w:rsidRDefault="00FD64D5">
      <w:pPr>
        <w:pStyle w:val="a3"/>
        <w:jc w:val="both"/>
        <w:rPr>
          <w:rFonts w:ascii="Arial" w:hAnsi="Arial" w:cs="Arial"/>
          <w:sz w:val="20"/>
        </w:rPr>
      </w:pPr>
      <w:r>
        <w:rPr>
          <w:rFonts w:ascii="Arial" w:hAnsi="Arial" w:cs="Arial"/>
          <w:sz w:val="20"/>
        </w:rPr>
        <w:t>• соответствующих структурных подразделений Совета Министров Автономной Республики Крым, областной, Киевской и Севастопольской городских государственных администраций по месту регистрации украинского субъекта ВЭД.</w:t>
      </w:r>
    </w:p>
    <w:p w:rsidR="00FD64D5" w:rsidRDefault="00FD64D5">
      <w:pPr>
        <w:pStyle w:val="a3"/>
        <w:jc w:val="both"/>
        <w:rPr>
          <w:rFonts w:ascii="Arial" w:hAnsi="Arial" w:cs="Arial"/>
          <w:sz w:val="20"/>
        </w:rPr>
      </w:pPr>
      <w:r>
        <w:rPr>
          <w:rFonts w:ascii="Arial" w:hAnsi="Arial" w:cs="Arial"/>
          <w:sz w:val="20"/>
        </w:rPr>
        <w:t>Министерство обеспечивает функционирование информационной базы данных относительно применения (отмены, изменения вида, приостановления действия) санкций к субъектам ВЭД.</w:t>
      </w:r>
    </w:p>
    <w:p w:rsidR="00FD64D5" w:rsidRDefault="00FD64D5">
      <w:pPr>
        <w:pStyle w:val="a3"/>
        <w:jc w:val="both"/>
        <w:rPr>
          <w:rFonts w:ascii="Arial" w:hAnsi="Arial" w:cs="Arial"/>
          <w:sz w:val="20"/>
        </w:rPr>
      </w:pPr>
      <w:r>
        <w:rPr>
          <w:rFonts w:ascii="Arial" w:hAnsi="Arial" w:cs="Arial"/>
          <w:sz w:val="20"/>
        </w:rPr>
        <w:t>Данная информационно-поисковая база в отношении субъектов хозяйственной деятельности, которые проводили внешнеэкономические операции с нарушением норм действующего законодательства Украины в сфере ВЭД и незаконно скрывают за пределами Украины валютные и материальные ценности, создана и используется в министерстве не только и не столько для отражения фактов применения (отмены, изменения вида, приостановления действия) санкций к определенным субъектам ВЭД, но и для поисковой, статистической и аналитической работы в области валютного контроля и контроля в сфере ВЭД.</w:t>
      </w:r>
    </w:p>
    <w:p w:rsidR="00FD64D5" w:rsidRDefault="00FD64D5">
      <w:pPr>
        <w:pStyle w:val="a3"/>
        <w:jc w:val="both"/>
        <w:rPr>
          <w:rFonts w:ascii="Arial" w:hAnsi="Arial" w:cs="Arial"/>
          <w:sz w:val="20"/>
        </w:rPr>
      </w:pPr>
      <w:r>
        <w:rPr>
          <w:rFonts w:ascii="Arial" w:hAnsi="Arial" w:cs="Arial"/>
          <w:sz w:val="20"/>
        </w:rPr>
        <w:t>База создана и функционирует в соответствии с постановлениями Кабинета Министров Украины и Национального банка Украины от 26.12.95 г. №1044 "О мероприятиях по обеспечению контроля за ВЭД и валютного контроля" и от 03.04.96 г. №391 "О мероприятиях по созданию единой базы статистических данных и статистической отчетности о внешнеторговых операциях" (с изменениями и дополнениями), а также Указа Президента Украины от 30.06.98 г. №714 и постановления Кабинета Министров Украины от 18.12.98 г. №2007 "Об утверждении Положения о Комиссиях по вопросам возвращения в Украину валютных ценностей, которые незаконно находятся за ее пределами, в АР Крым, областях, городах Киеве и Севастополе".</w:t>
      </w:r>
    </w:p>
    <w:p w:rsidR="00FD64D5" w:rsidRDefault="00FD64D5">
      <w:pPr>
        <w:pStyle w:val="a3"/>
        <w:jc w:val="both"/>
        <w:rPr>
          <w:rFonts w:ascii="Arial" w:hAnsi="Arial" w:cs="Arial"/>
          <w:sz w:val="20"/>
        </w:rPr>
      </w:pPr>
      <w:r>
        <w:rPr>
          <w:rFonts w:ascii="Arial" w:hAnsi="Arial" w:cs="Arial"/>
          <w:sz w:val="20"/>
        </w:rPr>
        <w:t>Обмен информацией между государственными органами, которые задействованы в сфере контроля за ВЭД, осуществляется в рамках выполнения ряда общих приказов "Об усовершенствовании процедуры применения специальных санкций" (и частично соглашений "О взаимодействии информационных систем"), которые подписаны МВЭСТоргом с Государственной налоговой администрацией Украины, Государственной таможенной службой Украины, Национальным банком Украины, Службой безопасности Украины, Министерством внутренних дел, Государственным комитетом статистики Украины.</w:t>
      </w:r>
    </w:p>
    <w:p w:rsidR="00FD64D5" w:rsidRDefault="00FD64D5">
      <w:pPr>
        <w:pStyle w:val="a3"/>
        <w:jc w:val="both"/>
        <w:rPr>
          <w:rFonts w:ascii="Arial" w:hAnsi="Arial" w:cs="Arial"/>
          <w:sz w:val="20"/>
        </w:rPr>
      </w:pPr>
      <w:r>
        <w:rPr>
          <w:rFonts w:ascii="Arial" w:hAnsi="Arial" w:cs="Arial"/>
          <w:sz w:val="20"/>
        </w:rPr>
        <w:t>Информация по применению (отмене, изменении вида, приостановлении действия) санкций к украинским субъектам ВЭД и иностранным субъектам хозяйственной деятельности предоставляется Государственному информационно-аналитическому центру мониторинга внешних товарных рынков для размещения на его WEB-странице в компьютерной сети Internet и средствах массовой информации.</w:t>
      </w:r>
    </w:p>
    <w:p w:rsidR="00FD64D5" w:rsidRDefault="00FD64D5">
      <w:pPr>
        <w:pStyle w:val="a3"/>
        <w:jc w:val="both"/>
        <w:rPr>
          <w:rFonts w:ascii="Arial" w:hAnsi="Arial" w:cs="Arial"/>
          <w:sz w:val="20"/>
        </w:rPr>
      </w:pPr>
      <w:r>
        <w:rPr>
          <w:rFonts w:ascii="Arial" w:hAnsi="Arial" w:cs="Arial"/>
          <w:sz w:val="20"/>
        </w:rPr>
        <w:t xml:space="preserve">В рамках работы Торгпредства по улучшению доступа российских товаров на украинский рынок в 2001 году проводилась работа по либерализации действующих специальных защитных мер в Украине. </w:t>
      </w:r>
    </w:p>
    <w:p w:rsidR="00FD64D5" w:rsidRDefault="00FD64D5">
      <w:pPr>
        <w:pStyle w:val="a3"/>
        <w:jc w:val="both"/>
        <w:rPr>
          <w:rFonts w:ascii="Arial" w:hAnsi="Arial" w:cs="Arial"/>
          <w:sz w:val="20"/>
        </w:rPr>
      </w:pPr>
      <w:r>
        <w:rPr>
          <w:rFonts w:ascii="Arial" w:hAnsi="Arial" w:cs="Arial"/>
          <w:sz w:val="20"/>
        </w:rPr>
        <w:t xml:space="preserve">Такая работа была успешно проведена в отношении следующих российских товаров. </w:t>
      </w:r>
    </w:p>
    <w:p w:rsidR="00FD64D5" w:rsidRDefault="00FD64D5">
      <w:pPr>
        <w:pStyle w:val="a3"/>
        <w:jc w:val="both"/>
        <w:rPr>
          <w:rFonts w:ascii="Arial" w:hAnsi="Arial" w:cs="Arial"/>
          <w:sz w:val="20"/>
        </w:rPr>
      </w:pPr>
      <w:r>
        <w:rPr>
          <w:rFonts w:ascii="Arial" w:hAnsi="Arial" w:cs="Arial"/>
          <w:sz w:val="20"/>
        </w:rPr>
        <w:t>Плиты, листы, пленки и пластики из полиуретана - годовой объем специальной квоты был увеличен на 8%. Квота для России увеличилась на 1,64 тонны, составив 22.15 тонн.</w:t>
      </w:r>
    </w:p>
    <w:p w:rsidR="00FD64D5" w:rsidRDefault="00FD64D5">
      <w:pPr>
        <w:pStyle w:val="a3"/>
        <w:jc w:val="both"/>
        <w:rPr>
          <w:rFonts w:ascii="Arial" w:hAnsi="Arial" w:cs="Arial"/>
          <w:sz w:val="20"/>
        </w:rPr>
      </w:pPr>
      <w:r>
        <w:rPr>
          <w:rFonts w:ascii="Arial" w:hAnsi="Arial" w:cs="Arial"/>
          <w:sz w:val="20"/>
        </w:rPr>
        <w:t>Мех искусственный и полотно ворсовое - годовой объем специальной квоты увеличен на 5%. Квота для России увеличилась по меху искусственному на 0,87 тонны, составив 18,27 тонн, а по полотну ворсовому - на 2,48 тонны, составив 52,08 тонн.</w:t>
      </w:r>
    </w:p>
    <w:p w:rsidR="00FD64D5" w:rsidRDefault="00FD64D5">
      <w:pPr>
        <w:pStyle w:val="a3"/>
        <w:jc w:val="both"/>
        <w:rPr>
          <w:rFonts w:ascii="Arial" w:hAnsi="Arial" w:cs="Arial"/>
          <w:sz w:val="20"/>
        </w:rPr>
      </w:pPr>
      <w:r>
        <w:rPr>
          <w:rFonts w:ascii="Arial" w:hAnsi="Arial" w:cs="Arial"/>
          <w:sz w:val="20"/>
        </w:rPr>
        <w:t>По отдельным электролампам накаливания отменено действие специальной квоты.</w:t>
      </w:r>
    </w:p>
    <w:p w:rsidR="00FD64D5" w:rsidRDefault="00FD64D5">
      <w:pPr>
        <w:pStyle w:val="a3"/>
        <w:jc w:val="both"/>
        <w:rPr>
          <w:rFonts w:ascii="Arial" w:hAnsi="Arial" w:cs="Arial"/>
          <w:sz w:val="20"/>
        </w:rPr>
      </w:pPr>
      <w:r>
        <w:rPr>
          <w:rFonts w:ascii="Arial" w:hAnsi="Arial" w:cs="Arial"/>
          <w:sz w:val="20"/>
        </w:rPr>
        <w:t xml:space="preserve">Вместе с тем, в Украине в отчетном периоде продолжалась практика применения мер, действие которых приводит к ухудшению условий доступа российских товаров на ее рынок (Справка о действующих в Украине мерах защиты внутреннего рынка, затрагивающих интересы Российской Федерации прилагается - приложение № 13). </w:t>
      </w:r>
    </w:p>
    <w:p w:rsidR="00FD64D5" w:rsidRDefault="00FD64D5">
      <w:pPr>
        <w:pStyle w:val="a3"/>
        <w:jc w:val="both"/>
        <w:rPr>
          <w:rFonts w:ascii="Arial" w:hAnsi="Arial" w:cs="Arial"/>
          <w:sz w:val="20"/>
        </w:rPr>
      </w:pPr>
      <w:r>
        <w:rPr>
          <w:rFonts w:ascii="Arial" w:hAnsi="Arial" w:cs="Arial"/>
          <w:sz w:val="20"/>
        </w:rPr>
        <w:t xml:space="preserve">Другим инструментом сдерживания поставок на украинский рынок российских товаров является применение в Украине специальных санкций, в соответствии со статьей 37 Закона Украины "О внешнеэкономической деятельности". В качестве таковых Законом предусматривается применение к участникам ВЭД индивидуального лицензирования или временной приостановки ВЭД по обращению органов государственной власти Украины, установивших финансовые или иные нарушения российским субъектом ВЭД. </w:t>
      </w:r>
    </w:p>
    <w:p w:rsidR="00FD64D5" w:rsidRDefault="00FD64D5">
      <w:pPr>
        <w:pStyle w:val="a3"/>
        <w:jc w:val="both"/>
        <w:rPr>
          <w:rFonts w:ascii="Arial" w:hAnsi="Arial" w:cs="Arial"/>
          <w:sz w:val="20"/>
        </w:rPr>
      </w:pPr>
      <w:r>
        <w:rPr>
          <w:rFonts w:ascii="Arial" w:hAnsi="Arial" w:cs="Arial"/>
          <w:sz w:val="20"/>
        </w:rPr>
        <w:t xml:space="preserve">Изменения, внесенные 05.02.1999г. в статью 37 Закона Украины "О внешнеэкономической деятельности", отменили ограничения по сроку применения специальных санкций. </w:t>
      </w:r>
    </w:p>
    <w:p w:rsidR="00FD64D5" w:rsidRDefault="00FD64D5">
      <w:pPr>
        <w:pStyle w:val="a3"/>
        <w:jc w:val="both"/>
        <w:rPr>
          <w:rFonts w:ascii="Arial" w:hAnsi="Arial" w:cs="Arial"/>
          <w:sz w:val="20"/>
        </w:rPr>
      </w:pPr>
      <w:r>
        <w:rPr>
          <w:rFonts w:ascii="Arial" w:hAnsi="Arial" w:cs="Arial"/>
          <w:sz w:val="20"/>
        </w:rPr>
        <w:t xml:space="preserve">Последствия применения специальных санкций для предприятий России могут многократно превысить объем неурегулированных обязательств между российскими и украинскими организациями в связи с приостановкой выполнения ими обязательств по текущим контрактам. </w:t>
      </w:r>
    </w:p>
    <w:p w:rsidR="00FD64D5" w:rsidRDefault="00FD64D5">
      <w:pPr>
        <w:pStyle w:val="a3"/>
        <w:jc w:val="both"/>
        <w:rPr>
          <w:rFonts w:ascii="Arial" w:hAnsi="Arial" w:cs="Arial"/>
          <w:sz w:val="20"/>
        </w:rPr>
      </w:pPr>
      <w:r>
        <w:rPr>
          <w:rFonts w:ascii="Arial" w:hAnsi="Arial" w:cs="Arial"/>
          <w:sz w:val="20"/>
        </w:rPr>
        <w:t xml:space="preserve">Торгпредством своевременно направлялись Перечни российских субъектов ВЭД, к которым могли быть применены специальные санкции, а также предложения по размещению Перечней в сети "Интернет" на сайте Минэкономразвития России, что должно было позволить российским предприятиям избежать дополнительных издержек при осуществлении торговых операций в Украине. </w:t>
      </w:r>
    </w:p>
    <w:p w:rsidR="00FD64D5" w:rsidRDefault="00FD64D5">
      <w:pPr>
        <w:pStyle w:val="a3"/>
        <w:jc w:val="both"/>
        <w:rPr>
          <w:rFonts w:ascii="Arial" w:hAnsi="Arial" w:cs="Arial"/>
          <w:sz w:val="20"/>
        </w:rPr>
      </w:pPr>
      <w:r>
        <w:rPr>
          <w:rFonts w:ascii="Arial" w:hAnsi="Arial" w:cs="Arial"/>
          <w:sz w:val="20"/>
        </w:rPr>
        <w:t xml:space="preserve">Вызывает обеспокоенность применение Государственной таможенной службой Украины (ГТСУ) требования по верификации оригинала российского сертификата по форме СТ-1 на товары, классифицируемые под кодом ТН ВЭД 1602, которая может проводиться уполномоченными на это российскими органами по запросу украинской стороны. </w:t>
      </w:r>
    </w:p>
    <w:p w:rsidR="00FD64D5" w:rsidRDefault="00FD64D5">
      <w:pPr>
        <w:pStyle w:val="a3"/>
        <w:jc w:val="both"/>
        <w:rPr>
          <w:rFonts w:ascii="Arial" w:hAnsi="Arial" w:cs="Arial"/>
          <w:sz w:val="20"/>
        </w:rPr>
      </w:pPr>
      <w:r>
        <w:rPr>
          <w:rFonts w:ascii="Arial" w:hAnsi="Arial" w:cs="Arial"/>
          <w:sz w:val="20"/>
        </w:rPr>
        <w:t>На практике такие запросы не оформляются. Это приводит к тому, что при таможенном оформлении безосновательно не признается российский сертификат происхождения товара СТ-1 и, как следствие, украинские импортеры вынуждены уплачивать все таможенные платежи, в том числе ввозную пошлину и НДС, с их последующим возвратом. Суммы этих платежей по товарам ввезенным до 1 июля 2001г. (НДС не взимался) составляют 100% от стоимости товара.</w:t>
      </w:r>
    </w:p>
    <w:p w:rsidR="00FD64D5" w:rsidRDefault="00FD64D5">
      <w:pPr>
        <w:pStyle w:val="a3"/>
        <w:jc w:val="both"/>
        <w:rPr>
          <w:rFonts w:ascii="Arial" w:hAnsi="Arial" w:cs="Arial"/>
          <w:sz w:val="20"/>
        </w:rPr>
      </w:pPr>
      <w:r>
        <w:rPr>
          <w:rFonts w:ascii="Arial" w:hAnsi="Arial" w:cs="Arial"/>
          <w:sz w:val="20"/>
        </w:rPr>
        <w:t>Вместе с тем, оформление таможенными органами Украины товаров по коду ТН ВЭД 1602 является дополнительным подтверждением достаточности степени его переработки по отношению к исходному сырью. Соответствующая информация по этой проблеме была направлена Председателю ГТС Украины.</w:t>
      </w:r>
    </w:p>
    <w:p w:rsidR="00FD64D5" w:rsidRDefault="00FD64D5">
      <w:pPr>
        <w:pStyle w:val="a3"/>
        <w:jc w:val="both"/>
        <w:rPr>
          <w:rFonts w:ascii="Arial" w:hAnsi="Arial" w:cs="Arial"/>
          <w:sz w:val="20"/>
        </w:rPr>
      </w:pPr>
      <w:r>
        <w:rPr>
          <w:rFonts w:ascii="Arial" w:hAnsi="Arial" w:cs="Arial"/>
          <w:sz w:val="20"/>
        </w:rPr>
        <w:t xml:space="preserve">В других случаях сотрудниками Службы безопасности Украины (СБУ) товары по коду ТН ВЭД 1602 безосновательно конфискуются. </w:t>
      </w:r>
    </w:p>
    <w:p w:rsidR="00FD64D5" w:rsidRDefault="00FD64D5">
      <w:pPr>
        <w:pStyle w:val="a3"/>
        <w:jc w:val="both"/>
        <w:rPr>
          <w:rFonts w:ascii="Arial" w:hAnsi="Arial" w:cs="Arial"/>
          <w:sz w:val="20"/>
        </w:rPr>
      </w:pPr>
      <w:r>
        <w:rPr>
          <w:rFonts w:ascii="Arial" w:hAnsi="Arial" w:cs="Arial"/>
          <w:sz w:val="20"/>
        </w:rPr>
        <w:t xml:space="preserve">Все предъявленные доказательства о подлинности российских документов, подтверждающих их российское происхождение представителями органов исполнительной власти Украины игнорируются на основании их мнения о том, что товар не был подвержен на территории России достаточной переработке, а все представленные подтверждающие документы были приобретены незаконно. </w:t>
      </w:r>
    </w:p>
    <w:p w:rsidR="00FD64D5" w:rsidRDefault="00FD64D5">
      <w:pPr>
        <w:pStyle w:val="a3"/>
        <w:jc w:val="both"/>
        <w:rPr>
          <w:rFonts w:ascii="Arial" w:hAnsi="Arial" w:cs="Arial"/>
          <w:sz w:val="20"/>
        </w:rPr>
      </w:pPr>
      <w:r>
        <w:rPr>
          <w:rFonts w:ascii="Arial" w:hAnsi="Arial" w:cs="Arial"/>
          <w:sz w:val="20"/>
        </w:rPr>
        <w:t xml:space="preserve">Не исключено распространение действий СБУ и на другие ввозимые в Украину российские товары. </w:t>
      </w:r>
    </w:p>
    <w:p w:rsidR="00FD64D5" w:rsidRDefault="00FD64D5">
      <w:pPr>
        <w:pStyle w:val="a3"/>
        <w:jc w:val="both"/>
        <w:rPr>
          <w:rFonts w:ascii="Arial" w:hAnsi="Arial" w:cs="Arial"/>
          <w:sz w:val="20"/>
        </w:rPr>
      </w:pPr>
      <w:r>
        <w:rPr>
          <w:rFonts w:ascii="Arial" w:hAnsi="Arial" w:cs="Arial"/>
          <w:sz w:val="20"/>
        </w:rPr>
        <w:t xml:space="preserve">Вышеперечисленные факты, по мнению Торгпредства, свидетельствуют об осуществлении в Украине в отношении импорта российских товаров ряда мер дискриминационного характера вследствие необоснованного применения защитных и других мер. </w:t>
      </w:r>
    </w:p>
    <w:p w:rsidR="00FD64D5" w:rsidRDefault="00FD64D5">
      <w:pPr>
        <w:pStyle w:val="a3"/>
        <w:jc w:val="both"/>
        <w:rPr>
          <w:rFonts w:ascii="Arial" w:hAnsi="Arial" w:cs="Arial"/>
          <w:sz w:val="20"/>
        </w:rPr>
      </w:pPr>
      <w:r>
        <w:rPr>
          <w:rFonts w:ascii="Arial" w:hAnsi="Arial" w:cs="Arial"/>
          <w:sz w:val="20"/>
        </w:rPr>
        <w:t xml:space="preserve">Необоснованность их применения заключается как в фактических, так и в процессуальных нарушениях со стороны компетентных органов Украины. </w:t>
      </w:r>
    </w:p>
    <w:p w:rsidR="00FD64D5" w:rsidRDefault="00FD64D5">
      <w:pPr>
        <w:pStyle w:val="a3"/>
        <w:jc w:val="both"/>
        <w:rPr>
          <w:rFonts w:ascii="Arial" w:hAnsi="Arial" w:cs="Arial"/>
          <w:sz w:val="20"/>
        </w:rPr>
      </w:pPr>
      <w:r>
        <w:rPr>
          <w:rFonts w:ascii="Arial" w:hAnsi="Arial" w:cs="Arial"/>
          <w:sz w:val="20"/>
        </w:rPr>
        <w:t xml:space="preserve">Для предотвращения нанесения неосновательного, в порядке дискриминации ущерба торгово-экономическому сотрудничеству полагали бы целесообразным рассмотреть возможность применения в Российской Федерации мер, устанавливающих аналогичные ограничения в отношении ввозимых на ее территорию товаров либо, когда ограничения затрагивают российских экспортеров товаров, в отношении украинских экспортеров, исключительно с целью отмены установленных ограничений и в пределах, необходимых для эффективной защиты экономических интересов Российской Федерации. </w:t>
      </w:r>
    </w:p>
    <w:p w:rsidR="00FD64D5" w:rsidRDefault="00FD64D5">
      <w:pPr>
        <w:pStyle w:val="a3"/>
        <w:jc w:val="both"/>
        <w:rPr>
          <w:rFonts w:ascii="Arial" w:hAnsi="Arial" w:cs="Arial"/>
          <w:sz w:val="20"/>
        </w:rPr>
      </w:pPr>
      <w:r>
        <w:rPr>
          <w:rFonts w:ascii="Arial" w:hAnsi="Arial" w:cs="Arial"/>
          <w:sz w:val="20"/>
        </w:rPr>
        <w:t xml:space="preserve">В 2001 году с участием Торгпредства удалось решить проблему несвоевременного принятия нормативного акта Российской Федерации, на основании которого осуществлялись поставки в Украину российских полуфабрикатов и изделий из драгоценных металлов (золото, серебро, платина, и металлы платиновой группы). Это позволит украинским предприятиям технологически связанным с российскими партнерами избежать ежегодного простоя до семи месяцев в ожидании поставок продукции из России. </w:t>
      </w:r>
    </w:p>
    <w:p w:rsidR="00FD64D5" w:rsidRDefault="00FD64D5">
      <w:pPr>
        <w:pStyle w:val="a3"/>
        <w:jc w:val="both"/>
        <w:rPr>
          <w:rFonts w:ascii="Arial" w:hAnsi="Arial" w:cs="Arial"/>
          <w:sz w:val="20"/>
        </w:rPr>
      </w:pPr>
      <w:r>
        <w:rPr>
          <w:rFonts w:ascii="Arial" w:hAnsi="Arial" w:cs="Arial"/>
          <w:sz w:val="20"/>
        </w:rPr>
        <w:t>В настоящее время на территории Украины осуществляется совместный российско-украинско-турецкий проект по расширению украинских транзитных мощностей для транспортировки российского газа в страны Балканского региона. В целях реализации проекта создано совместное предприятие ЗАО "Газтранзит", которое ведет строительство компрессорной станции в п.г.т. Тарутино (Одесская область). Финансирование проекта осуществляется за счет акционеров СП ? 33% и кредита Европейского Банка Реконструкции и Развития (ЕБРР) - 66,7%, который гарантирован ОАО "Газпром".</w:t>
      </w:r>
    </w:p>
    <w:p w:rsidR="00FD64D5" w:rsidRDefault="00FD64D5">
      <w:pPr>
        <w:pStyle w:val="a3"/>
        <w:jc w:val="both"/>
        <w:rPr>
          <w:rFonts w:ascii="Arial" w:hAnsi="Arial" w:cs="Arial"/>
          <w:sz w:val="20"/>
        </w:rPr>
      </w:pPr>
      <w:r>
        <w:rPr>
          <w:rFonts w:ascii="Arial" w:hAnsi="Arial" w:cs="Arial"/>
          <w:sz w:val="20"/>
        </w:rPr>
        <w:t xml:space="preserve">Ввод в эксплуатацию компрессорной станции задерживается в связи с сокращением финансирования, обусловленного невозмещением из госбюджета Украины налога на добавленную стоимость за выполненные ЗАО "Газтранзит" работы. </w:t>
      </w:r>
    </w:p>
    <w:p w:rsidR="00FD64D5" w:rsidRDefault="00FD64D5">
      <w:pPr>
        <w:pStyle w:val="a3"/>
        <w:jc w:val="both"/>
        <w:rPr>
          <w:rFonts w:ascii="Arial" w:hAnsi="Arial" w:cs="Arial"/>
          <w:sz w:val="20"/>
        </w:rPr>
      </w:pPr>
      <w:r>
        <w:rPr>
          <w:rFonts w:ascii="Arial" w:hAnsi="Arial" w:cs="Arial"/>
          <w:sz w:val="20"/>
        </w:rPr>
        <w:t xml:space="preserve">При участии Торгпредства было принято положительное решение суда первой инстанции по иску ЗАО "Газтранзит". </w:t>
      </w:r>
    </w:p>
    <w:p w:rsidR="00FD64D5" w:rsidRDefault="00FD64D5">
      <w:pPr>
        <w:pStyle w:val="a3"/>
        <w:jc w:val="both"/>
        <w:rPr>
          <w:rFonts w:ascii="Arial" w:hAnsi="Arial" w:cs="Arial"/>
          <w:sz w:val="20"/>
        </w:rPr>
      </w:pPr>
      <w:r>
        <w:rPr>
          <w:rFonts w:ascii="Arial" w:hAnsi="Arial" w:cs="Arial"/>
          <w:sz w:val="20"/>
        </w:rPr>
        <w:t xml:space="preserve">В настоящее время Госналогадминистрация Украины, не признавая решения суда и решение по этому вопросу, принятое на 6 заседании Смешанной Российско-Украинской Комиссии по сотрудничеству, подает апелляции на пересмотр дела, тем самым искусственно затягивая исполнение обязательств перед ЗАО "Газтранзит". </w:t>
      </w:r>
    </w:p>
    <w:p w:rsidR="00FD64D5" w:rsidRDefault="00FD64D5">
      <w:pPr>
        <w:pStyle w:val="a3"/>
        <w:jc w:val="both"/>
        <w:rPr>
          <w:rFonts w:ascii="Arial" w:hAnsi="Arial" w:cs="Arial"/>
          <w:sz w:val="20"/>
        </w:rPr>
      </w:pPr>
      <w:r>
        <w:rPr>
          <w:rFonts w:ascii="Arial" w:hAnsi="Arial" w:cs="Arial"/>
          <w:sz w:val="20"/>
        </w:rPr>
        <w:t xml:space="preserve">В связи с неконструктивной позицией украинцев в 2001 г. не удалось добиться пересмотра позиции НАК "Нефтегаз Украины" по отказу от закупок российского одоранта (вещества, придающего природному газу специфический запах). </w:t>
      </w:r>
    </w:p>
    <w:p w:rsidR="00FD64D5" w:rsidRDefault="00FD64D5">
      <w:pPr>
        <w:pStyle w:val="a3"/>
        <w:jc w:val="both"/>
        <w:rPr>
          <w:rFonts w:ascii="Arial" w:hAnsi="Arial" w:cs="Arial"/>
          <w:sz w:val="20"/>
        </w:rPr>
      </w:pPr>
      <w:r>
        <w:rPr>
          <w:rFonts w:ascii="Arial" w:hAnsi="Arial" w:cs="Arial"/>
          <w:sz w:val="20"/>
        </w:rPr>
        <w:t xml:space="preserve">После смены в феврале 2002 года руководства НАК "Нефтегаз Украины" Торгпредством будет продолжена работа по восстановлению сотрудничества украинского предприятия с Оренбургским газоперерабатывающим заводом - единственным в СНГ и Балтии производителем одоранта. </w:t>
      </w:r>
    </w:p>
    <w:p w:rsidR="00FD64D5" w:rsidRDefault="00FD64D5">
      <w:pPr>
        <w:pStyle w:val="a3"/>
        <w:jc w:val="both"/>
        <w:rPr>
          <w:rFonts w:ascii="Arial" w:hAnsi="Arial" w:cs="Arial"/>
          <w:sz w:val="20"/>
        </w:rPr>
      </w:pPr>
      <w:r>
        <w:rPr>
          <w:rFonts w:ascii="Arial" w:hAnsi="Arial" w:cs="Arial"/>
          <w:sz w:val="20"/>
        </w:rPr>
        <w:t>В случае принятия партнерами наших предложений российская сторона получит возможность экспорта в Украину одоранта на сумму порядка 1 млн. долл. США ежегодно.</w:t>
      </w:r>
    </w:p>
    <w:p w:rsidR="00FD64D5" w:rsidRDefault="00FD64D5">
      <w:pPr>
        <w:pStyle w:val="a3"/>
        <w:jc w:val="both"/>
        <w:rPr>
          <w:rFonts w:ascii="Arial" w:hAnsi="Arial" w:cs="Arial"/>
          <w:sz w:val="20"/>
        </w:rPr>
      </w:pPr>
      <w:r>
        <w:rPr>
          <w:rFonts w:ascii="Arial" w:hAnsi="Arial" w:cs="Arial"/>
          <w:sz w:val="20"/>
        </w:rPr>
        <w:t xml:space="preserve">Неоднозначное толкование украинского законодательства об обязательствах по платежам акцизного сбора с произведенных нефтепродуктов (в т.ч. на НПЗ с контрольным пакетами акций российских компаний) приводит, с одной стороны, к ухудшению финансового состояния предприятий и, с другой стороны, к снижению конкурентоспособности нефтепродуктов. </w:t>
      </w:r>
    </w:p>
    <w:p w:rsidR="00FD64D5" w:rsidRDefault="00FD64D5">
      <w:pPr>
        <w:pStyle w:val="a3"/>
        <w:jc w:val="both"/>
        <w:rPr>
          <w:rFonts w:ascii="Arial" w:hAnsi="Arial" w:cs="Arial"/>
          <w:sz w:val="20"/>
        </w:rPr>
      </w:pPr>
      <w:r>
        <w:rPr>
          <w:rFonts w:ascii="Arial" w:hAnsi="Arial" w:cs="Arial"/>
          <w:sz w:val="20"/>
        </w:rPr>
        <w:t xml:space="preserve">Предприятие с российским капиталом "Лукойл-Украина" полностью рассчиталось с украинским бюджетом по обязательствам акцизного сбора в 2000 г. (26,1 млн. гривен), за 8 месяцев т. г. (66,4 млн. гривен), что привело к повышению цены на подакцизные нефтепродукты, в среднем на 11%, в то же время, другие НПЗ Украины производят переработку нефти через структуры, пользующиеся льготами по налогообложению. </w:t>
      </w:r>
    </w:p>
    <w:p w:rsidR="00FD64D5" w:rsidRDefault="00FD64D5">
      <w:pPr>
        <w:pStyle w:val="a3"/>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20. Общие положения о договоре.</w:t>
      </w:r>
    </w:p>
    <w:p w:rsidR="00FD64D5" w:rsidRDefault="00FD64D5">
      <w:pPr>
        <w:jc w:val="both"/>
        <w:rPr>
          <w:rFonts w:ascii="Arial" w:hAnsi="Arial" w:cs="Arial"/>
          <w:sz w:val="20"/>
        </w:rPr>
      </w:pPr>
    </w:p>
    <w:p w:rsidR="00FD64D5" w:rsidRDefault="00FD64D5">
      <w:pPr>
        <w:pStyle w:val="1"/>
        <w:jc w:val="both"/>
        <w:rPr>
          <w:sz w:val="20"/>
        </w:rPr>
      </w:pPr>
      <w:r>
        <w:rPr>
          <w:sz w:val="20"/>
        </w:rPr>
        <w:t>Подраздел 2. Общие положения о договоре</w:t>
      </w:r>
    </w:p>
    <w:p w:rsidR="00FD64D5" w:rsidRDefault="00FD64D5">
      <w:pPr>
        <w:pStyle w:val="2"/>
        <w:jc w:val="both"/>
        <w:rPr>
          <w:sz w:val="20"/>
        </w:rPr>
      </w:pPr>
      <w:r>
        <w:rPr>
          <w:sz w:val="20"/>
        </w:rPr>
        <w:t>Глава 27. Понятие и условия договора</w:t>
      </w:r>
    </w:p>
    <w:p w:rsidR="00FD64D5" w:rsidRDefault="00FD64D5">
      <w:pPr>
        <w:pStyle w:val="4"/>
        <w:jc w:val="both"/>
        <w:rPr>
          <w:rFonts w:ascii="Arial" w:hAnsi="Arial" w:cs="Arial"/>
          <w:sz w:val="20"/>
        </w:rPr>
      </w:pPr>
      <w:r>
        <w:rPr>
          <w:rFonts w:ascii="Arial" w:hAnsi="Arial" w:cs="Arial"/>
          <w:i/>
          <w:iCs/>
          <w:sz w:val="20"/>
        </w:rPr>
        <w:t>Статья 420. Понятие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Договором признается соглашение двух или нескольких лиц об установлении, изменении или прекращении гражданских прав и обязанностей.</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К договорам применяются правила о двух- и многосторонних сделках, предусмотренные главой 9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К обязательствам, возникшим из договора, применяются общие положения об обязательствах (статьи 307 - 419), если иное не предусмотрено правилами настоящей главы и правилами об отдельных видах договоров, содержащимися в настоящем Кодексе.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FD64D5" w:rsidRDefault="00FD64D5">
      <w:pPr>
        <w:pStyle w:val="4"/>
        <w:jc w:val="both"/>
        <w:rPr>
          <w:rFonts w:ascii="Arial" w:hAnsi="Arial" w:cs="Arial"/>
          <w:sz w:val="20"/>
        </w:rPr>
      </w:pPr>
      <w:r>
        <w:rPr>
          <w:rFonts w:ascii="Arial" w:hAnsi="Arial" w:cs="Arial"/>
          <w:i/>
          <w:iCs/>
          <w:sz w:val="20"/>
        </w:rPr>
        <w:t>Статья 421. Свобода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Граждане и юридические лица свободны в заключении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Стороны могут заключить договор, как предусмотренный, так и не предусмотренный законом или иными правовыми актами.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(статья 422).</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Если условие договора не определено сторонами или диспозитивной нормой, соответствующие условия определяются обычаями делового оборота, применимыми к отношениям сторон.</w:t>
      </w:r>
    </w:p>
    <w:p w:rsidR="00FD64D5" w:rsidRDefault="00FD64D5">
      <w:pPr>
        <w:pStyle w:val="4"/>
        <w:jc w:val="both"/>
        <w:rPr>
          <w:rFonts w:ascii="Arial" w:hAnsi="Arial" w:cs="Arial"/>
          <w:sz w:val="20"/>
        </w:rPr>
      </w:pPr>
      <w:r>
        <w:rPr>
          <w:rFonts w:ascii="Arial" w:hAnsi="Arial" w:cs="Arial"/>
          <w:i/>
          <w:iCs/>
          <w:sz w:val="20"/>
        </w:rPr>
        <w:t>Статья 422. Договор и закон</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FD64D5" w:rsidRDefault="00FD64D5">
      <w:pPr>
        <w:pStyle w:val="4"/>
        <w:jc w:val="both"/>
        <w:rPr>
          <w:rFonts w:ascii="Arial" w:hAnsi="Arial" w:cs="Arial"/>
          <w:sz w:val="20"/>
        </w:rPr>
      </w:pPr>
      <w:r>
        <w:rPr>
          <w:rFonts w:ascii="Arial" w:hAnsi="Arial" w:cs="Arial"/>
          <w:i/>
          <w:iCs/>
          <w:sz w:val="20"/>
        </w:rPr>
        <w:t>Статья 423. Возмездный и безвозмездный договоры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Договор предполагается возмездным, если из закона, иных правовых актов, содержания или существа договора не вытекает иное.</w:t>
      </w:r>
    </w:p>
    <w:p w:rsidR="00FD64D5" w:rsidRDefault="00FD64D5">
      <w:pPr>
        <w:pStyle w:val="4"/>
        <w:jc w:val="both"/>
        <w:rPr>
          <w:rFonts w:ascii="Arial" w:hAnsi="Arial" w:cs="Arial"/>
          <w:sz w:val="20"/>
        </w:rPr>
      </w:pPr>
      <w:r>
        <w:rPr>
          <w:rFonts w:ascii="Arial" w:hAnsi="Arial" w:cs="Arial"/>
          <w:i/>
          <w:iCs/>
          <w:sz w:val="20"/>
        </w:rPr>
        <w:t>Статья 424. Цена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Исполнение договора оплачивается по цене, установленной соглашением сторон.</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Изменение цены после заключения договора допускается в случаях и на условиях, предусмотренных договором, законом либо в установленном законом порядке.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услуги.</w:t>
      </w:r>
    </w:p>
    <w:p w:rsidR="00FD64D5" w:rsidRDefault="00FD64D5">
      <w:pPr>
        <w:pStyle w:val="4"/>
        <w:jc w:val="both"/>
        <w:rPr>
          <w:rFonts w:ascii="Arial" w:hAnsi="Arial" w:cs="Arial"/>
          <w:sz w:val="20"/>
        </w:rPr>
      </w:pPr>
      <w:r>
        <w:rPr>
          <w:rFonts w:ascii="Arial" w:hAnsi="Arial" w:cs="Arial"/>
          <w:i/>
          <w:iCs/>
          <w:sz w:val="20"/>
        </w:rPr>
        <w:t>Статья 425. Действие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 вступает в силу и становится обязательным для сторон с момента его заключения.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Стороны вправе установить, что условия заключенного ими договора применяются к их отношениям, возникшим до заключения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Законом или договором может быть предусмотрено, что окончание срока действия договора влечет прекращение обязательств сторон по договору.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Окончание срока действия договора не освобождает стороны от ответственности за его нарушение.</w:t>
      </w:r>
    </w:p>
    <w:p w:rsidR="00FD64D5" w:rsidRDefault="00FD64D5">
      <w:pPr>
        <w:pStyle w:val="4"/>
        <w:jc w:val="both"/>
        <w:rPr>
          <w:rFonts w:ascii="Arial" w:hAnsi="Arial" w:cs="Arial"/>
          <w:sz w:val="20"/>
        </w:rPr>
      </w:pPr>
      <w:r>
        <w:rPr>
          <w:rFonts w:ascii="Arial" w:hAnsi="Arial" w:cs="Arial"/>
          <w:i/>
          <w:iCs/>
          <w:sz w:val="20"/>
        </w:rPr>
        <w:t>Статья 426. Публичный договор</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Публичным договором признается договор, заключенный коммерческой организацией и устанавливающий ее обязанности по продаже товаров, выполнению работ или оказанию услуг, которые такая организация по характеру своей деятельности должна осуществлять в отношении каждого, кто к ней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Коммерческая организация не вправе оказывать предпочтение одному лицу перед другим в отношении заключения публичного договора, кроме случаев, предусмотренных законом и иными правовыми актами.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Цена товаров, работ и услуг, а также иные условия публичного договора устанавливаются одинаковыми для всех потребителей, за исключением случаев, когда законом и иными правовыми актами допускается предоставление льгот для отдельных категорий потребителей.</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Отказ коммерческой организации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необоснованном уклонении коммерческой организации от заключения публичного договора применяются положения, предусмотренные пунктом 4 статьи 445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В случаях, предусмотренных законом, Правительство Российской Федерации может издавать правила, обязательные для сторон при заключении и исполнении публичных договоров (типовые договоры, положения и т.п.).</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Условия публичного договора, не соответствующие требованиям, установленным пунктами 2 и 4 настоящей статьи, ничтожны.</w:t>
      </w:r>
    </w:p>
    <w:p w:rsidR="00FD64D5" w:rsidRDefault="00FD64D5">
      <w:pPr>
        <w:pStyle w:val="4"/>
        <w:jc w:val="both"/>
        <w:rPr>
          <w:rFonts w:ascii="Arial" w:hAnsi="Arial" w:cs="Arial"/>
          <w:sz w:val="20"/>
        </w:rPr>
      </w:pPr>
      <w:r>
        <w:rPr>
          <w:rFonts w:ascii="Arial" w:hAnsi="Arial" w:cs="Arial"/>
          <w:i/>
          <w:iCs/>
          <w:sz w:val="20"/>
        </w:rPr>
        <w:t>Статья 427. Примерные условия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случаях, когда в договоре не содержится отсылка к примерным условиям, такие примерные условия применяются к отношениям сторон в качестве обычаев делового оборота, если они отвечают требованиям, установленным статьей 5 и пунктом 5 статьи 421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Примерные условия могут быть изложены в форме примерного договора или иного документа, содержащего эти условия.</w:t>
      </w:r>
    </w:p>
    <w:p w:rsidR="00FD64D5" w:rsidRDefault="00FD64D5">
      <w:pPr>
        <w:pStyle w:val="4"/>
        <w:jc w:val="both"/>
        <w:rPr>
          <w:rFonts w:ascii="Arial" w:hAnsi="Arial" w:cs="Arial"/>
          <w:sz w:val="20"/>
        </w:rPr>
      </w:pPr>
      <w:r>
        <w:rPr>
          <w:rFonts w:ascii="Arial" w:hAnsi="Arial" w:cs="Arial"/>
          <w:i/>
          <w:iCs/>
          <w:sz w:val="20"/>
        </w:rPr>
        <w:t>Статья 428. Договор присоединения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При наличии обстоятельств, предусмотренных в пункте 2 настоящей статьи, требование о расторжении или об изменении договора, предъявленное стороной, присоединившейся к договору в связи с осуществлением своей предпринимательской деятельности, не подлежит удовлетворению, если присоединившаяся сторона знала или должна была знать, на каких условиях заключает договор.</w:t>
      </w:r>
    </w:p>
    <w:p w:rsidR="00FD64D5" w:rsidRDefault="00FD64D5">
      <w:pPr>
        <w:pStyle w:val="4"/>
        <w:jc w:val="both"/>
        <w:rPr>
          <w:rFonts w:ascii="Arial" w:hAnsi="Arial" w:cs="Arial"/>
          <w:sz w:val="20"/>
        </w:rPr>
      </w:pPr>
      <w:r>
        <w:rPr>
          <w:rFonts w:ascii="Arial" w:hAnsi="Arial" w:cs="Arial"/>
          <w:i/>
          <w:iCs/>
          <w:sz w:val="20"/>
        </w:rPr>
        <w:t>Статья 429. Предварительный договор</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Предварительный договор должен содержать условия, позволяющие установить предмет, а также другие существенные условия основного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В предварительном договоре указывается срок, в который стороны обязуются заключить основной договор.</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В случаях, когда сторона, заключившая предварительный договор, уклоняется от заключения основного договора, применяются положения, предусмотренные пунктом 4 статьи 445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FD64D5" w:rsidRDefault="00FD64D5">
      <w:pPr>
        <w:pStyle w:val="4"/>
        <w:jc w:val="both"/>
        <w:rPr>
          <w:rFonts w:ascii="Arial" w:hAnsi="Arial" w:cs="Arial"/>
          <w:sz w:val="20"/>
        </w:rPr>
      </w:pPr>
      <w:r>
        <w:rPr>
          <w:rFonts w:ascii="Arial" w:hAnsi="Arial" w:cs="Arial"/>
          <w:i/>
          <w:iCs/>
          <w:sz w:val="20"/>
        </w:rPr>
        <w:t>Статья 430. Договор в пользу третьего лица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Должник в договоре вправе выдвигать против требования третьего лица возражения, которые он мог бы выдвинуть против кредитора.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закону, иным правовым актам и договору.</w:t>
      </w:r>
    </w:p>
    <w:p w:rsidR="00FD64D5" w:rsidRDefault="00FD64D5">
      <w:pPr>
        <w:pStyle w:val="4"/>
        <w:jc w:val="both"/>
        <w:rPr>
          <w:rFonts w:ascii="Arial" w:hAnsi="Arial" w:cs="Arial"/>
          <w:sz w:val="20"/>
        </w:rPr>
      </w:pPr>
      <w:r>
        <w:rPr>
          <w:rFonts w:ascii="Arial" w:hAnsi="Arial" w:cs="Arial"/>
          <w:i/>
          <w:iCs/>
          <w:sz w:val="20"/>
        </w:rPr>
        <w:t>Статья 431. Толкование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правила, содержащиеся в части первой настоящей статьи,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делового оборота, последующее поведение сторон.</w:t>
      </w:r>
    </w:p>
    <w:p w:rsidR="00FD64D5" w:rsidRDefault="00FD64D5">
      <w:pPr>
        <w:jc w:val="both"/>
        <w:rPr>
          <w:rFonts w:ascii="Arial" w:hAnsi="Arial" w:cs="Arial"/>
          <w:sz w:val="20"/>
          <w:u w:val="single"/>
        </w:rPr>
      </w:pPr>
    </w:p>
    <w:p w:rsidR="00FD64D5" w:rsidRDefault="00FD64D5">
      <w:pPr>
        <w:jc w:val="both"/>
        <w:rPr>
          <w:rFonts w:ascii="Arial" w:hAnsi="Arial" w:cs="Arial"/>
          <w:b/>
          <w:bCs/>
          <w:i/>
          <w:iCs/>
          <w:sz w:val="20"/>
        </w:rPr>
      </w:pPr>
      <w:r>
        <w:rPr>
          <w:rFonts w:ascii="Arial" w:hAnsi="Arial" w:cs="Arial"/>
          <w:b/>
          <w:bCs/>
          <w:sz w:val="20"/>
          <w:u w:val="single"/>
        </w:rPr>
        <w:t>22. Ответственность за неисполнение обязательств по договору. Онования освобождения от ответственности.</w:t>
      </w:r>
    </w:p>
    <w:p w:rsidR="00FD64D5" w:rsidRDefault="00FD64D5">
      <w:pPr>
        <w:jc w:val="both"/>
        <w:rPr>
          <w:rFonts w:ascii="Arial" w:hAnsi="Arial" w:cs="Arial"/>
          <w:sz w:val="20"/>
        </w:rPr>
      </w:pPr>
    </w:p>
    <w:p w:rsidR="00FD64D5" w:rsidRDefault="00FD64D5">
      <w:pPr>
        <w:jc w:val="both"/>
        <w:rPr>
          <w:rFonts w:ascii="Arial" w:eastAsia="Arial Unicode MS" w:hAnsi="Arial" w:cs="Arial"/>
          <w:b/>
          <w:bCs/>
          <w:sz w:val="20"/>
        </w:rPr>
      </w:pPr>
      <w:r>
        <w:rPr>
          <w:rFonts w:ascii="Arial" w:hAnsi="Arial" w:cs="Arial"/>
          <w:b/>
          <w:bCs/>
          <w:sz w:val="20"/>
        </w:rPr>
        <w:t>Статья 329. Способы обеспечения исполнения обязательств</w:t>
      </w:r>
    </w:p>
    <w:p w:rsidR="00FD64D5" w:rsidRDefault="00FD64D5">
      <w:pPr>
        <w:pStyle w:val="a3"/>
        <w:jc w:val="both"/>
        <w:rPr>
          <w:rFonts w:ascii="Arial" w:hAnsi="Arial" w:cs="Arial"/>
          <w:sz w:val="20"/>
        </w:rPr>
      </w:pPr>
      <w:r>
        <w:rPr>
          <w:rFonts w:ascii="Arial" w:hAnsi="Arial" w:cs="Arial"/>
          <w:sz w:val="20"/>
        </w:rPr>
        <w:t>1. Исполнение обязательств может обеспечиваться неустойкой, залогом, удержанием имущества должника, поручительством, банковской гарантией, задатком и другими способами, предусмотренными законом или договором.</w:t>
      </w:r>
    </w:p>
    <w:p w:rsidR="00FD64D5" w:rsidRDefault="00FD64D5">
      <w:pPr>
        <w:pStyle w:val="a3"/>
        <w:jc w:val="both"/>
        <w:rPr>
          <w:rFonts w:ascii="Arial" w:hAnsi="Arial" w:cs="Arial"/>
          <w:sz w:val="20"/>
        </w:rPr>
      </w:pPr>
      <w:r>
        <w:rPr>
          <w:rFonts w:ascii="Arial" w:hAnsi="Arial" w:cs="Arial"/>
          <w:sz w:val="20"/>
        </w:rPr>
        <w:t>2. Недействительность соглашения об обеспечении исполнения обязательства не влечет недействительности этого обязательства (основного обязательства).</w:t>
      </w:r>
    </w:p>
    <w:p w:rsidR="00FD64D5" w:rsidRDefault="00FD64D5">
      <w:pPr>
        <w:pStyle w:val="a3"/>
        <w:jc w:val="both"/>
        <w:rPr>
          <w:rFonts w:ascii="Arial" w:hAnsi="Arial" w:cs="Arial"/>
          <w:sz w:val="20"/>
        </w:rPr>
      </w:pPr>
      <w:r>
        <w:rPr>
          <w:rFonts w:ascii="Arial" w:hAnsi="Arial" w:cs="Arial"/>
          <w:sz w:val="20"/>
        </w:rPr>
        <w:t>3. Недействительность основного обязательства влечет недействительность обеспечивающего его обязательства, если иное не установлено законом.</w:t>
      </w:r>
    </w:p>
    <w:p w:rsidR="00FD64D5" w:rsidRDefault="00FD64D5">
      <w:pPr>
        <w:pStyle w:val="a3"/>
        <w:jc w:val="both"/>
        <w:rPr>
          <w:rFonts w:ascii="Arial" w:hAnsi="Arial" w:cs="Arial"/>
          <w:sz w:val="20"/>
        </w:rPr>
      </w:pPr>
      <w:r>
        <w:rPr>
          <w:rFonts w:ascii="Arial" w:hAnsi="Arial" w:cs="Arial"/>
          <w:sz w:val="20"/>
        </w:rPr>
        <w:t xml:space="preserve">Новеллы гл. 25, ст. 317 НК РФ позволяют говорить о возможной необходимости исключить из текстов договоров условия, определяющие применение конкретных штрафов, пеней или иных санкций за нарушение договорных обязательств. </w:t>
      </w:r>
    </w:p>
    <w:p w:rsidR="00FD64D5" w:rsidRDefault="00FD64D5">
      <w:pPr>
        <w:pStyle w:val="a3"/>
        <w:jc w:val="both"/>
        <w:rPr>
          <w:rFonts w:ascii="Arial" w:hAnsi="Arial" w:cs="Arial"/>
          <w:sz w:val="20"/>
        </w:rPr>
      </w:pPr>
      <w:r>
        <w:rPr>
          <w:rFonts w:ascii="Arial" w:hAnsi="Arial" w:cs="Arial"/>
          <w:b/>
          <w:bCs/>
          <w:sz w:val="20"/>
        </w:rPr>
        <w:t>Представляется возможным включать в договоры единственную формулировку об ответственности: «За неисполнение либо ненадлежащее исполнение обязательств по настоящему договору виновная сторона несет имущественную ответственность в соответствии с законодательством РФ».</w:t>
      </w:r>
      <w:r>
        <w:rPr>
          <w:rFonts w:ascii="Arial" w:hAnsi="Arial" w:cs="Arial"/>
          <w:sz w:val="20"/>
        </w:rPr>
        <w:t xml:space="preserve"> </w:t>
      </w:r>
    </w:p>
    <w:p w:rsidR="00FD64D5" w:rsidRDefault="00FD64D5">
      <w:pPr>
        <w:pStyle w:val="a3"/>
        <w:jc w:val="both"/>
        <w:rPr>
          <w:rFonts w:ascii="Arial" w:hAnsi="Arial" w:cs="Arial"/>
          <w:sz w:val="20"/>
        </w:rPr>
      </w:pPr>
      <w:r>
        <w:rPr>
          <w:rFonts w:ascii="Arial" w:hAnsi="Arial" w:cs="Arial"/>
          <w:sz w:val="20"/>
        </w:rPr>
        <w:t xml:space="preserve">Это позволяет избежать определения в договоре конкретных штрафных санкций и не приводит к обязанности соблюдать ст. 317 НК РФ как сторонами договора, так и налоговыми органами при проведении проверок. </w:t>
      </w:r>
    </w:p>
    <w:p w:rsidR="00FD64D5" w:rsidRDefault="00FD64D5">
      <w:pPr>
        <w:pStyle w:val="a3"/>
        <w:jc w:val="both"/>
        <w:rPr>
          <w:rFonts w:ascii="Arial" w:hAnsi="Arial" w:cs="Arial"/>
          <w:sz w:val="20"/>
        </w:rPr>
      </w:pPr>
      <w:r>
        <w:rPr>
          <w:rFonts w:ascii="Arial" w:hAnsi="Arial" w:cs="Arial"/>
          <w:sz w:val="20"/>
        </w:rPr>
        <w:t xml:space="preserve">Таким образом, стороны при заключении договора заключают соглашение об отказе включать в договор положения, которые могут привести к использованию норм ст. 317 НК РФ. </w:t>
      </w:r>
    </w:p>
    <w:p w:rsidR="00FD64D5" w:rsidRDefault="00FD64D5">
      <w:pPr>
        <w:pStyle w:val="a3"/>
        <w:jc w:val="both"/>
        <w:rPr>
          <w:rFonts w:ascii="Arial" w:hAnsi="Arial" w:cs="Arial"/>
          <w:sz w:val="20"/>
        </w:rPr>
      </w:pPr>
      <w:r>
        <w:rPr>
          <w:rFonts w:ascii="Arial" w:hAnsi="Arial" w:cs="Arial"/>
          <w:sz w:val="20"/>
        </w:rPr>
        <w:t xml:space="preserve">Однако необходимо учитывать, что условия договора об освобождении стороны от соблюдения императивных норм права, то есть установленных законом и определяющих меру гражданско-правовой ответственности в виде неустойки, штрафа, пени, либо выплаты процентов за неисполнение денежного обязательства (например, нормы ст. 395 ГК РФ), а равно условие об уменьшении размера таких санкций, являются ничтожным. </w:t>
      </w:r>
    </w:p>
    <w:p w:rsidR="00FD64D5" w:rsidRDefault="00FD64D5">
      <w:pPr>
        <w:pStyle w:val="a3"/>
        <w:jc w:val="both"/>
        <w:rPr>
          <w:rFonts w:ascii="Arial" w:hAnsi="Arial" w:cs="Arial"/>
          <w:sz w:val="20"/>
        </w:rPr>
      </w:pPr>
      <w:r>
        <w:rPr>
          <w:rFonts w:ascii="Arial" w:hAnsi="Arial" w:cs="Arial"/>
          <w:sz w:val="20"/>
        </w:rPr>
        <w:t xml:space="preserve">Примеры случаев, при которых недопустимо соглашение сторон об уменьшении или отказе от законной неустойки, содержатся в Транспортном уставе железных дорог РФ. В нем содержатся различные виды неустойки, которые подлежат взысканию с перевозчика, грузоотправителя или грузополучателя (например, за неподачу подвижного состава или за отказ от использования подвижного состава, за просрочку в доставке груза, багажа и т. п.), а в ст. 133 содержится указание на то, что «Любые предварительные соглашения железной дороги с грузоотправителями (отправителями), грузополучателями (получателями) или пассажирами, имеющие целью ограничить либо устранить имущественную ответственность, возложенную на железную дорогу, грузоотправителей (отправителей), грузополучателей (получателей) или пассажиров, считаются недействительными, и любые отметки об этом в перевозочных документах, не предусмотренные настоящим Уставом или иными нормативными правовыми актами РФ, не имеют силы». </w:t>
      </w:r>
    </w:p>
    <w:p w:rsidR="00FD64D5" w:rsidRDefault="00FD64D5">
      <w:pPr>
        <w:pStyle w:val="a3"/>
        <w:jc w:val="both"/>
        <w:rPr>
          <w:rFonts w:ascii="Arial" w:hAnsi="Arial" w:cs="Arial"/>
          <w:sz w:val="20"/>
        </w:rPr>
      </w:pPr>
      <w:r>
        <w:rPr>
          <w:rFonts w:ascii="Arial" w:hAnsi="Arial" w:cs="Arial"/>
          <w:sz w:val="20"/>
        </w:rPr>
        <w:t xml:space="preserve">Другой пример — это когда применение ст. 395 ГК РФ становится обязательным в соответствии со ст. 881 ГК РФ, если не предусмотреть в договоре иной порядок последствий нарушения заемщиком договора займа. </w:t>
      </w:r>
    </w:p>
    <w:p w:rsidR="00FD64D5" w:rsidRDefault="00FD64D5">
      <w:pPr>
        <w:pStyle w:val="a3"/>
        <w:jc w:val="both"/>
        <w:rPr>
          <w:rFonts w:ascii="Arial" w:hAnsi="Arial" w:cs="Arial"/>
          <w:sz w:val="20"/>
        </w:rPr>
      </w:pPr>
      <w:r>
        <w:rPr>
          <w:rFonts w:ascii="Arial" w:hAnsi="Arial" w:cs="Arial"/>
          <w:sz w:val="20"/>
        </w:rPr>
        <w:t xml:space="preserve">В денежных обязательствах, возникших из договоров, предусматривающих обязанность должника произвести оплату товаров, работ или услуг, на просроченную уплатой сумму подлежат начислению проценты на основании ст. 395 ГК РФ. На основании п. 4 ст. 487 ГК РФ в случае, когда продавец не исполняет обязанность по передаче предварительно оплаченного товара и иное не предусмотрено договором купли-продажи, на сумму предварительной оплаты подлежат уплате проценты в соответствии со ст. 395 ГК РФ со дня, когда по договору передача товара должна быть произведена, до дня передачи товара покупателю или возврата ему предварительно уплаченной им суммы. </w:t>
      </w:r>
    </w:p>
    <w:p w:rsidR="00FD64D5" w:rsidRDefault="00FD64D5">
      <w:pPr>
        <w:pStyle w:val="a3"/>
        <w:jc w:val="both"/>
        <w:rPr>
          <w:rFonts w:ascii="Arial" w:hAnsi="Arial" w:cs="Arial"/>
          <w:sz w:val="20"/>
        </w:rPr>
      </w:pPr>
      <w:r>
        <w:rPr>
          <w:rFonts w:ascii="Arial" w:hAnsi="Arial" w:cs="Arial"/>
          <w:sz w:val="20"/>
        </w:rPr>
        <w:t xml:space="preserve">Договором может быть предусмотрена обязанность продавца уплачивать проценты на сумму предварительной оплаты со дня получения этой суммы от покупателя до дня передачи товара либо возврата денежных средств продавцом при отказе покупателя от товара. В этом случае проценты взимаются как плата за предоставление коммерческого кредита (ст. 823 НК РФ). </w:t>
      </w:r>
    </w:p>
    <w:p w:rsidR="00FD64D5" w:rsidRDefault="00FD64D5">
      <w:pPr>
        <w:pStyle w:val="a3"/>
        <w:jc w:val="both"/>
        <w:rPr>
          <w:rFonts w:ascii="Arial" w:hAnsi="Arial" w:cs="Arial"/>
          <w:sz w:val="20"/>
        </w:rPr>
      </w:pPr>
      <w:r>
        <w:rPr>
          <w:rFonts w:ascii="Arial" w:hAnsi="Arial" w:cs="Arial"/>
          <w:sz w:val="20"/>
        </w:rPr>
        <w:t xml:space="preserve">Однако стороны договора всегда могут сослаться на реализацию своего права на обращение в арбитражный суд в связи со спором в отношении применения, например, ст. 395 ГК РФ, поскольку в ходе исполнения договора могут быть как отягчающие, так и смягчающие обстоятельства в отношении стороны .допустившей просрочку оплаты либо передачи предварительно оплаченного товара. </w:t>
      </w:r>
    </w:p>
    <w:p w:rsidR="00FD64D5" w:rsidRDefault="00FD64D5">
      <w:pPr>
        <w:pStyle w:val="a3"/>
        <w:jc w:val="both"/>
        <w:rPr>
          <w:rFonts w:ascii="Arial" w:hAnsi="Arial" w:cs="Arial"/>
          <w:sz w:val="20"/>
        </w:rPr>
      </w:pPr>
      <w:r>
        <w:rPr>
          <w:rFonts w:ascii="Arial" w:hAnsi="Arial" w:cs="Arial"/>
          <w:sz w:val="20"/>
        </w:rPr>
        <w:t xml:space="preserve">Ссылка же в договоре на то, что ответственна виновная сторона, предоставляет дополнительный аргумент на необходимость обращения в суд с целью определения наличия вины. Так суд может принять решение о том, что на проценты по ст. 395 ГКРФ распространяются правила ст. 404,406 ГК РФ, позволяющие снизить размер подлежащих взысканию процентов или освободить должника от их уплаты при наличии вины кредитора, в том числе в просрочке исполнения денежного обязательства. </w:t>
      </w:r>
    </w:p>
    <w:p w:rsidR="00FD64D5" w:rsidRDefault="00FD64D5">
      <w:pPr>
        <w:pStyle w:val="a3"/>
        <w:jc w:val="both"/>
        <w:rPr>
          <w:rFonts w:ascii="Arial" w:hAnsi="Arial" w:cs="Arial"/>
          <w:sz w:val="20"/>
        </w:rPr>
      </w:pPr>
      <w:r>
        <w:rPr>
          <w:rFonts w:ascii="Arial" w:hAnsi="Arial" w:cs="Arial"/>
          <w:b/>
          <w:bCs/>
          <w:sz w:val="20"/>
        </w:rPr>
        <w:t>Вместе с тем, если стороны не желают, чтобы возникло основание для применения ст. 395 ГК РФ, пусть даже через судебный порядок, необходимо дополнительными соглашениями к договорам изменять порядок расчетов (увеличивая соответственно сроки оплаты либо сроки передачи предварительно оплаченного товара).</w:t>
      </w:r>
      <w:r>
        <w:rPr>
          <w:rFonts w:ascii="Arial" w:hAnsi="Arial" w:cs="Arial"/>
          <w:sz w:val="20"/>
        </w:rPr>
        <w:t xml:space="preserve"> </w:t>
      </w:r>
    </w:p>
    <w:p w:rsidR="00FD64D5" w:rsidRDefault="00FD64D5">
      <w:pPr>
        <w:pStyle w:val="a3"/>
        <w:jc w:val="both"/>
        <w:rPr>
          <w:rFonts w:ascii="Arial" w:hAnsi="Arial" w:cs="Arial"/>
          <w:sz w:val="20"/>
        </w:rPr>
      </w:pPr>
      <w:r>
        <w:rPr>
          <w:rFonts w:ascii="Arial" w:hAnsi="Arial" w:cs="Arial"/>
          <w:sz w:val="20"/>
        </w:rPr>
        <w:t xml:space="preserve">В настоящее время и до издания комментария официального органа по вопросу применения ст. 317 НК РФ либо до издания нормативного правового акта, определяющего порядок применения ст. 317 НК РФ, у налоговых органов нет оснований при осуществлении контроля за определением внереализационных доходов обязывать налогоплательщиков начислять внереализационные доходы по штрафным санкциям как виду доходе, в случае: </w:t>
      </w:r>
    </w:p>
    <w:p w:rsidR="00FD64D5" w:rsidRDefault="00FD64D5">
      <w:pPr>
        <w:pStyle w:val="a3"/>
        <w:jc w:val="both"/>
        <w:rPr>
          <w:rFonts w:ascii="Arial" w:hAnsi="Arial" w:cs="Arial"/>
          <w:sz w:val="20"/>
        </w:rPr>
      </w:pPr>
      <w:r>
        <w:rPr>
          <w:rFonts w:ascii="Arial" w:hAnsi="Arial" w:cs="Arial"/>
          <w:sz w:val="20"/>
        </w:rPr>
        <w:t xml:space="preserve">- отсутствие </w:t>
      </w:r>
      <w:r>
        <w:rPr>
          <w:rFonts w:ascii="Arial" w:hAnsi="Arial" w:cs="Arial"/>
          <w:i/>
          <w:iCs/>
          <w:sz w:val="20"/>
        </w:rPr>
        <w:t>штрафных санкций в договоре;</w:t>
      </w:r>
      <w:r>
        <w:rPr>
          <w:rFonts w:ascii="Arial" w:hAnsi="Arial" w:cs="Arial"/>
          <w:sz w:val="20"/>
        </w:rPr>
        <w:t xml:space="preserve"> </w:t>
      </w:r>
    </w:p>
    <w:p w:rsidR="00FD64D5" w:rsidRDefault="00FD64D5">
      <w:pPr>
        <w:pStyle w:val="a3"/>
        <w:jc w:val="both"/>
        <w:rPr>
          <w:rFonts w:ascii="Arial" w:hAnsi="Arial" w:cs="Arial"/>
          <w:sz w:val="20"/>
        </w:rPr>
      </w:pPr>
      <w:r>
        <w:rPr>
          <w:rFonts w:ascii="Arial" w:hAnsi="Arial" w:cs="Arial"/>
          <w:i/>
          <w:iCs/>
          <w:sz w:val="20"/>
        </w:rPr>
        <w:t>- отражения у налогоплательщика, являющегося кредитором по договору, перевода задолженности в сомнительную;</w:t>
      </w:r>
      <w:r>
        <w:rPr>
          <w:rFonts w:ascii="Arial" w:hAnsi="Arial" w:cs="Arial"/>
          <w:sz w:val="20"/>
        </w:rPr>
        <w:t xml:space="preserve"> </w:t>
      </w:r>
    </w:p>
    <w:p w:rsidR="00FD64D5" w:rsidRDefault="00FD64D5">
      <w:pPr>
        <w:pStyle w:val="a3"/>
        <w:jc w:val="both"/>
        <w:rPr>
          <w:rFonts w:ascii="Arial" w:hAnsi="Arial" w:cs="Arial"/>
          <w:sz w:val="20"/>
        </w:rPr>
      </w:pPr>
      <w:r>
        <w:rPr>
          <w:rFonts w:ascii="Arial" w:hAnsi="Arial" w:cs="Arial"/>
          <w:i/>
          <w:iCs/>
          <w:sz w:val="20"/>
        </w:rPr>
        <w:t>- подтверждения в судебном порядке (решение суда) о наличии соответственно вины должника, размерах штрафных санкций либо размера процентов по ст. 395 ГК РФ, подлежащих удержанию.</w:t>
      </w:r>
      <w:r>
        <w:rPr>
          <w:rFonts w:ascii="Arial" w:hAnsi="Arial" w:cs="Arial"/>
          <w:sz w:val="20"/>
        </w:rPr>
        <w:t xml:space="preserve"> </w:t>
      </w:r>
    </w:p>
    <w:p w:rsidR="00FD64D5" w:rsidRDefault="00FD64D5">
      <w:pPr>
        <w:pStyle w:val="a3"/>
        <w:jc w:val="both"/>
        <w:rPr>
          <w:rFonts w:ascii="Arial" w:hAnsi="Arial" w:cs="Arial"/>
          <w:sz w:val="20"/>
        </w:rPr>
      </w:pPr>
      <w:r>
        <w:rPr>
          <w:rFonts w:ascii="Arial" w:hAnsi="Arial" w:cs="Arial"/>
          <w:sz w:val="20"/>
        </w:rPr>
        <w:t xml:space="preserve">Совершенно очевидно, что для принятия решения о включении в договор положений о применении штрафных санкций или возмещения убытков либо о применении общей формулировки отсылочного характера об «ответственности в соответствии с законодательством РФ» договаривающиеся стороны должны исходить из того, что они являются получателями таких внереализационных доходов, так и из того периода времени, когда у них наступает получение доходов. </w:t>
      </w:r>
    </w:p>
    <w:p w:rsidR="00FD64D5" w:rsidRDefault="00FD64D5">
      <w:pPr>
        <w:pStyle w:val="a3"/>
        <w:jc w:val="both"/>
        <w:rPr>
          <w:rFonts w:ascii="Arial" w:hAnsi="Arial" w:cs="Arial"/>
          <w:sz w:val="20"/>
        </w:rPr>
      </w:pPr>
      <w:r>
        <w:rPr>
          <w:rFonts w:ascii="Arial" w:hAnsi="Arial" w:cs="Arial"/>
          <w:b/>
          <w:bCs/>
          <w:sz w:val="20"/>
        </w:rPr>
        <w:t>Для налогоплательщиков определяющих доходы по методу начисления, датой получения доходов (расходов) в виде штрафов, пени и (или)</w:t>
      </w:r>
      <w:r>
        <w:rPr>
          <w:rFonts w:ascii="Arial" w:hAnsi="Arial" w:cs="Arial"/>
          <w:b/>
          <w:bCs/>
          <w:i/>
          <w:iCs/>
          <w:sz w:val="20"/>
        </w:rPr>
        <w:t xml:space="preserve"> </w:t>
      </w:r>
      <w:r>
        <w:rPr>
          <w:rFonts w:ascii="Arial" w:hAnsi="Arial" w:cs="Arial"/>
          <w:b/>
          <w:bCs/>
          <w:sz w:val="20"/>
        </w:rPr>
        <w:t>иных санкций за нарушения договорных обязательств признается дата начисления процентов (штрафов, пеней (или) иных санкций) в соответствии с условиями заключенных договоров либо основании решения суда.</w:t>
      </w:r>
      <w:r>
        <w:rPr>
          <w:rFonts w:ascii="Arial" w:hAnsi="Arial" w:cs="Arial"/>
          <w:sz w:val="20"/>
        </w:rPr>
        <w:t xml:space="preserve"> </w:t>
      </w:r>
    </w:p>
    <w:p w:rsidR="00FD64D5" w:rsidRDefault="00FD64D5">
      <w:pPr>
        <w:pStyle w:val="a3"/>
        <w:jc w:val="both"/>
        <w:rPr>
          <w:rFonts w:ascii="Arial" w:hAnsi="Arial" w:cs="Arial"/>
          <w:sz w:val="20"/>
        </w:rPr>
      </w:pPr>
      <w:r>
        <w:rPr>
          <w:rFonts w:ascii="Arial" w:hAnsi="Arial" w:cs="Arial"/>
          <w:sz w:val="20"/>
        </w:rPr>
        <w:t xml:space="preserve">При определении внереалиционных доходов в виде штрафов, пени и (или) иных санкций за нарушение договорных oбязательств, а также сумм возмещения убытков или ущерба налогоплательщики, определяющие доходы по методу начисления, отражают причитающиеся суммы в соответствии с условиями договора. Если условиями договора не предусмотрено штрафных санкций или возмещения убытков, у налогоплательщика-получателя не возникает обязанности по начислению внереализационных доходов. При взыскании долга в судебном порядке обязанность по начислению этого внереализационного дохода у налогоплательщика возникает на основании решения суда. </w:t>
      </w:r>
    </w:p>
    <w:p w:rsidR="00FD64D5" w:rsidRDefault="00FD64D5">
      <w:pPr>
        <w:pStyle w:val="a3"/>
        <w:jc w:val="both"/>
        <w:rPr>
          <w:rFonts w:ascii="Arial" w:hAnsi="Arial" w:cs="Arial"/>
          <w:sz w:val="20"/>
        </w:rPr>
      </w:pPr>
      <w:r>
        <w:rPr>
          <w:rFonts w:ascii="Arial" w:hAnsi="Arial" w:cs="Arial"/>
          <w:sz w:val="20"/>
        </w:rPr>
        <w:t xml:space="preserve">Для налогоплательщиков, определяющих доходы по кассовому методу, датой получения доходов в виде штрафов, пени и (или) иных санкций за нарушение договорных обязательств признается день поступления средств на счета в банках и (или) в кассу, поступления иного имущества (работ, услуг) и (или) имущественных прав, а расходами признаются затраты после их фактической оплаты. </w:t>
      </w: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23. Договор финансового лизинга.</w:t>
      </w:r>
    </w:p>
    <w:p w:rsidR="00FD64D5" w:rsidRDefault="00FD64D5">
      <w:pPr>
        <w:jc w:val="both"/>
        <w:rPr>
          <w:rFonts w:ascii="Arial" w:hAnsi="Arial" w:cs="Arial"/>
          <w:b/>
          <w:bCs/>
          <w:sz w:val="20"/>
          <w:u w:val="single"/>
        </w:rPr>
      </w:pPr>
    </w:p>
    <w:p w:rsidR="00FD64D5" w:rsidRDefault="00FD64D5">
      <w:pPr>
        <w:pStyle w:val="1"/>
        <w:jc w:val="both"/>
        <w:rPr>
          <w:sz w:val="20"/>
        </w:rPr>
      </w:pPr>
      <w:r>
        <w:rPr>
          <w:sz w:val="20"/>
        </w:rPr>
        <w:t>п.6. Финансовая аренда (лизинг)</w:t>
      </w:r>
    </w:p>
    <w:p w:rsidR="00FD64D5" w:rsidRDefault="00FD64D5">
      <w:pPr>
        <w:pStyle w:val="4"/>
        <w:jc w:val="both"/>
        <w:rPr>
          <w:rFonts w:ascii="Arial" w:hAnsi="Arial" w:cs="Arial"/>
          <w:sz w:val="20"/>
        </w:rPr>
      </w:pPr>
      <w:r>
        <w:rPr>
          <w:rFonts w:ascii="Arial" w:hAnsi="Arial" w:cs="Arial"/>
          <w:i/>
          <w:iCs/>
          <w:sz w:val="20"/>
        </w:rPr>
        <w:t>Статья 665. Договор финансовой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плату во временное владение и пользование для предпринимательских целей. Арендодатель в этом случае не несет ответственности за выбор предмета аренды и продавца.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Договором финансовой аренды может быть предусмотрено, что выбор продавца и приобретаемого имущества осуществляется арендодателем.</w:t>
      </w:r>
    </w:p>
    <w:p w:rsidR="00FD64D5" w:rsidRDefault="00FD64D5">
      <w:pPr>
        <w:pStyle w:val="4"/>
        <w:jc w:val="both"/>
        <w:rPr>
          <w:rFonts w:ascii="Arial" w:hAnsi="Arial" w:cs="Arial"/>
          <w:sz w:val="20"/>
        </w:rPr>
      </w:pPr>
      <w:r>
        <w:rPr>
          <w:rFonts w:ascii="Arial" w:hAnsi="Arial" w:cs="Arial"/>
          <w:i/>
          <w:iCs/>
          <w:sz w:val="20"/>
        </w:rPr>
        <w:t>Статья 666. Предмет договора финансовой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Предметом договора финансовой аренды могут быть любые непотребляемые вещи, используемые для предпринимательской деятельности, кроме земельных участков и других природных объектов.</w:t>
      </w:r>
    </w:p>
    <w:p w:rsidR="00FD64D5" w:rsidRDefault="00FD64D5">
      <w:pPr>
        <w:pStyle w:val="4"/>
        <w:jc w:val="both"/>
        <w:rPr>
          <w:rFonts w:ascii="Arial" w:hAnsi="Arial" w:cs="Arial"/>
          <w:sz w:val="20"/>
        </w:rPr>
      </w:pPr>
      <w:r>
        <w:rPr>
          <w:rFonts w:ascii="Arial" w:hAnsi="Arial" w:cs="Arial"/>
          <w:i/>
          <w:iCs/>
          <w:sz w:val="20"/>
        </w:rPr>
        <w:t>Статья 667. Уведомление продавца о сдаче имущества в аренду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Арендодатель, приобретая имущество для арендатора, должен уведомить продавца о том, что имущество предназначено для передачи его в аренду определенному лицу.</w:t>
      </w:r>
    </w:p>
    <w:p w:rsidR="00FD64D5" w:rsidRDefault="00FD64D5">
      <w:pPr>
        <w:pStyle w:val="4"/>
        <w:jc w:val="both"/>
        <w:rPr>
          <w:rFonts w:ascii="Arial" w:hAnsi="Arial" w:cs="Arial"/>
          <w:sz w:val="20"/>
        </w:rPr>
      </w:pPr>
      <w:r>
        <w:rPr>
          <w:rFonts w:ascii="Arial" w:hAnsi="Arial" w:cs="Arial"/>
          <w:i/>
          <w:iCs/>
          <w:sz w:val="20"/>
        </w:rPr>
        <w:t>Статья 668. Передача арендатору предмета договора финансовой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предусмотрено договором финансовой аренды, имущество, являющееся предметом этого договора, передается продавцом непосредственно арендатору в месте нахождения последнего.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FD64D5" w:rsidRDefault="00FD64D5">
      <w:pPr>
        <w:pStyle w:val="4"/>
        <w:jc w:val="both"/>
        <w:rPr>
          <w:rFonts w:ascii="Arial" w:hAnsi="Arial" w:cs="Arial"/>
          <w:sz w:val="20"/>
        </w:rPr>
      </w:pPr>
      <w:r>
        <w:rPr>
          <w:rFonts w:ascii="Arial" w:hAnsi="Arial" w:cs="Arial"/>
          <w:i/>
          <w:iCs/>
          <w:sz w:val="20"/>
        </w:rPr>
        <w:t>Статья 669. Переход к арендатору риска случайной гибели или случайной порчи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Риск случайной гибели или случайной порчи арендованного имущества переходит к арендатору в момент передачи ему арендованного имущества, если иное не предусмотрено договором финансовой аренды.</w:t>
      </w:r>
    </w:p>
    <w:p w:rsidR="00FD64D5" w:rsidRDefault="00FD64D5">
      <w:pPr>
        <w:pStyle w:val="4"/>
        <w:jc w:val="both"/>
        <w:rPr>
          <w:rFonts w:ascii="Arial" w:hAnsi="Arial" w:cs="Arial"/>
          <w:sz w:val="20"/>
        </w:rPr>
      </w:pPr>
      <w:r>
        <w:rPr>
          <w:rFonts w:ascii="Arial" w:hAnsi="Arial" w:cs="Arial"/>
          <w:i/>
          <w:iCs/>
          <w:sz w:val="20"/>
        </w:rPr>
        <w:t>Статья 670. Ответственность продавца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Арендатор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отношениях с продавцом арендатор и арендодатель выступают как солидарные кредиторы (статья 326).</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купли-продажи, как непосредственно продавцу имущества, так и арендодателю, которые несут солидарную ответственность.</w:t>
      </w:r>
    </w:p>
    <w:p w:rsidR="00FD64D5" w:rsidRDefault="00FD64D5">
      <w:pPr>
        <w:jc w:val="both"/>
        <w:rPr>
          <w:rFonts w:ascii="Arial" w:hAnsi="Arial" w:cs="Arial"/>
          <w:b/>
          <w:bCs/>
          <w:sz w:val="20"/>
          <w:u w:val="single"/>
        </w:rPr>
      </w:pPr>
    </w:p>
    <w:p w:rsidR="00FD64D5" w:rsidRDefault="00FD64D5">
      <w:pPr>
        <w:jc w:val="both"/>
        <w:rPr>
          <w:rFonts w:ascii="Arial" w:hAnsi="Arial" w:cs="Arial"/>
          <w:sz w:val="20"/>
        </w:rPr>
      </w:pPr>
    </w:p>
    <w:p w:rsidR="00FD64D5" w:rsidRDefault="00FD64D5">
      <w:pPr>
        <w:jc w:val="both"/>
        <w:rPr>
          <w:rFonts w:ascii="Arial" w:hAnsi="Arial" w:cs="Arial"/>
          <w:b/>
          <w:bCs/>
          <w:sz w:val="20"/>
          <w:u w:val="single"/>
        </w:rPr>
      </w:pPr>
      <w:r>
        <w:rPr>
          <w:rFonts w:ascii="Arial" w:hAnsi="Arial" w:cs="Arial"/>
          <w:b/>
          <w:bCs/>
          <w:sz w:val="20"/>
          <w:u w:val="single"/>
        </w:rPr>
        <w:t>24. Договор аренды.</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pStyle w:val="4"/>
        <w:jc w:val="both"/>
        <w:rPr>
          <w:rFonts w:ascii="Arial" w:hAnsi="Arial" w:cs="Arial"/>
          <w:sz w:val="20"/>
        </w:rPr>
      </w:pPr>
      <w:r>
        <w:rPr>
          <w:rFonts w:ascii="Arial" w:hAnsi="Arial" w:cs="Arial"/>
          <w:i/>
          <w:iCs/>
          <w:sz w:val="20"/>
        </w:rPr>
        <w:t>Статья 606. Договор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договору аренды (имущественного найма) арендодатель (наймодатель) обязуется предоставить арендатору (нанимателю) имущество за плату во временное владение и пользование или во временное пользование.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Плоды, продукция и доходы, полученные арендатором в результате использования арендованного имущества в соответствии с договором, являются его собственностью.</w:t>
      </w:r>
    </w:p>
    <w:p w:rsidR="00FD64D5" w:rsidRDefault="00FD64D5">
      <w:pPr>
        <w:pStyle w:val="4"/>
        <w:jc w:val="both"/>
        <w:rPr>
          <w:rFonts w:ascii="Arial" w:hAnsi="Arial" w:cs="Arial"/>
          <w:sz w:val="20"/>
        </w:rPr>
      </w:pPr>
      <w:r>
        <w:rPr>
          <w:rFonts w:ascii="Arial" w:hAnsi="Arial" w:cs="Arial"/>
          <w:i/>
          <w:iCs/>
          <w:sz w:val="20"/>
        </w:rPr>
        <w:t>Статья 607. Объекты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аренду могут быть переданы земельные участки и другие обособленные природные объекты, предприятия и другие имущественные комплексы,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Законом могут быть установлены виды имущества, сдача которого в аренду не допускается или ограничивается.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Законом могут быть установлены особенности сдачи в аренду земельных участков и других обособленных природных объектов.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В договоре аренды должны быть указаны данные, позволяющие определенно установить имущество, подлежащее передаче арендатору в качестве объекта аренды. При отсутствии этих данных в договоре условие об объекте, подлежащем передаче в аренду, считается не согласованным сторонами, а соответствующий договор не считается заключенным.</w:t>
      </w:r>
    </w:p>
    <w:p w:rsidR="00FD64D5" w:rsidRDefault="00FD64D5">
      <w:pPr>
        <w:pStyle w:val="4"/>
        <w:jc w:val="both"/>
        <w:rPr>
          <w:rFonts w:ascii="Arial" w:hAnsi="Arial" w:cs="Arial"/>
          <w:sz w:val="20"/>
        </w:rPr>
      </w:pPr>
      <w:r>
        <w:rPr>
          <w:rFonts w:ascii="Arial" w:hAnsi="Arial" w:cs="Arial"/>
          <w:i/>
          <w:iCs/>
          <w:sz w:val="20"/>
        </w:rPr>
        <w:t>Статья 608. Арендодатель</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Право сдачи имущества в аренду принадлежит его собственнику. Арендодателями могут быть также лица, управомоченные законом или собственником сдавать имущество в аренду.</w:t>
      </w:r>
    </w:p>
    <w:p w:rsidR="00FD64D5" w:rsidRDefault="00FD64D5">
      <w:pPr>
        <w:pStyle w:val="4"/>
        <w:jc w:val="both"/>
        <w:rPr>
          <w:rFonts w:ascii="Arial" w:hAnsi="Arial" w:cs="Arial"/>
          <w:sz w:val="20"/>
        </w:rPr>
      </w:pPr>
      <w:r>
        <w:rPr>
          <w:rFonts w:ascii="Arial" w:hAnsi="Arial" w:cs="Arial"/>
          <w:i/>
          <w:iCs/>
          <w:sz w:val="20"/>
        </w:rPr>
        <w:t>Статья 609. Форма и государственная регистрация договора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 аренды на срок более года, а если хотя бы одной из сторон договора является юридическое лицо, независимо от срока, должен быть заключен в письменной форме.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Договор аренды недвижимого имущества подлежит государственной регистрации, если иное не установлено законом.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Договор аренды имущества, предусматривающий переход в последующем права собственности на это имущество к арендатору (статья 624), заключается в форме, предусмотренной для договора купли-продажи такого имущества.</w:t>
      </w:r>
    </w:p>
    <w:p w:rsidR="00FD64D5" w:rsidRDefault="00FD64D5">
      <w:pPr>
        <w:pStyle w:val="4"/>
        <w:jc w:val="both"/>
        <w:rPr>
          <w:rFonts w:ascii="Arial" w:hAnsi="Arial" w:cs="Arial"/>
          <w:sz w:val="20"/>
        </w:rPr>
      </w:pPr>
      <w:r>
        <w:rPr>
          <w:rFonts w:ascii="Arial" w:hAnsi="Arial" w:cs="Arial"/>
          <w:i/>
          <w:iCs/>
          <w:sz w:val="20"/>
        </w:rPr>
        <w:t>Статья 610. Срок договора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 аренды заключается на срок, определенный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срок аренды в договоре не определен, договор аренды считается заключенным на неопределенный срок.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этом случае каждая из сторон вправе в любое время отказаться от договора, предупредив об этом другую сторону за один месяц, а при аренде недвижимого имущества за три месяца. Законом или договором может быть установлен иной срок для предупреждения о прекращении договора аренды, заключенного на неопределенный срок.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Законом могут устанавливаться максимальные (предельные) сроки договора для отдельных видов аренды, а также для аренды отдельных видов имущества. В этих случаях, если срок аренды в договоре не определен и ни одна из сторон не отказалась от договора до истечения предельного срока, установленного законом, договор по истечении предельного срока прекращается.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Договор аренды, заключенный на срок, превышающий установленный законом предельный срок, считается заключенным на срок, равный предельному.</w:t>
      </w:r>
    </w:p>
    <w:p w:rsidR="00FD64D5" w:rsidRDefault="00FD64D5">
      <w:pPr>
        <w:pStyle w:val="4"/>
        <w:jc w:val="both"/>
        <w:rPr>
          <w:rFonts w:ascii="Arial" w:hAnsi="Arial" w:cs="Arial"/>
          <w:sz w:val="20"/>
        </w:rPr>
      </w:pPr>
      <w:r>
        <w:rPr>
          <w:rFonts w:ascii="Arial" w:hAnsi="Arial" w:cs="Arial"/>
          <w:i/>
          <w:iCs/>
          <w:sz w:val="20"/>
        </w:rPr>
        <w:t>Статья 611. Предоставление имущества арендатору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Арендодатель обязан предоставить арендатору имущество в состоянии, соответствующем условиям договора аренды и назначению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Имущество сдается в аренду вместе со всеми его принадлежностями и относящимися к нему документами (техническим паспортом, сертификатом качества и т.п.), если иное не предусмотрено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такие принадлежности и документы переданы не были, однако без них арендатор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арендодателем таких принадлежностей и документов или расторжения договора, а также возмещения убытков.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арендодатель не предоставил арендатору сданное внаем имущество в указанный в договоре аренды срок, а в случае, когда в договоре такой срок не указан, в разумный срок, арендатор вправе истребовать от него это имущество в соответствии со статьей 398 настоящего Кодекса и потребовать возмещения убытков, причиненных задержкой исполнения, либо потребовать расторжения договора и возмещения убытков, причиненных его неисполнением.</w:t>
      </w:r>
    </w:p>
    <w:p w:rsidR="00FD64D5" w:rsidRDefault="00FD64D5">
      <w:pPr>
        <w:pStyle w:val="4"/>
        <w:jc w:val="both"/>
        <w:rPr>
          <w:rFonts w:ascii="Arial" w:hAnsi="Arial" w:cs="Arial"/>
          <w:sz w:val="20"/>
        </w:rPr>
      </w:pPr>
      <w:r>
        <w:rPr>
          <w:rFonts w:ascii="Arial" w:hAnsi="Arial" w:cs="Arial"/>
          <w:i/>
          <w:iCs/>
          <w:sz w:val="20"/>
        </w:rPr>
        <w:t>Статья 612. Ответственность арендодателя за недостатки сданного в аренду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Арендодатель отвечает за недостатки сданного в аренду имущества, полностью или частично препятствующие пользованию им, даже если во время заключения договора аренды он не знал об этих недостатках.</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обнаружении таких недостатков арендатор вправе по своему выбору: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потребовать от арендодателя либо безвозмездного устранения недостатков имущества, либо соразмерного уменьшения арендной платы, либо возмещения своих расходов на устранение недостатков имущества;</w:t>
      </w:r>
      <w:r>
        <w:rPr>
          <w:rFonts w:ascii="Arial" w:hAnsi="Arial" w:cs="Arial"/>
          <w:sz w:val="20"/>
        </w:rPr>
        <w:br/>
        <w:t>непосредственно удержать сумму понесенных им расходов на устранение данных недостатков из арендной платы, предварительно уведомив об этом арендодателя;</w:t>
      </w:r>
      <w:r>
        <w:rPr>
          <w:rFonts w:ascii="Arial" w:hAnsi="Arial" w:cs="Arial"/>
          <w:sz w:val="20"/>
        </w:rPr>
        <w:br/>
        <w:t>потребовать досрочного расторжения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Арендодатель, извещенный о требованиях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Арендодатель не отвечает за недостатки сданного в аренду имущества,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имущества или проверки его исправности при заключении договора или передаче имущества в аренду.</w:t>
      </w:r>
    </w:p>
    <w:p w:rsidR="00FD64D5" w:rsidRDefault="00FD64D5">
      <w:pPr>
        <w:pStyle w:val="4"/>
        <w:jc w:val="both"/>
        <w:rPr>
          <w:rFonts w:ascii="Arial" w:hAnsi="Arial" w:cs="Arial"/>
          <w:sz w:val="20"/>
        </w:rPr>
      </w:pPr>
      <w:r>
        <w:rPr>
          <w:rFonts w:ascii="Arial" w:hAnsi="Arial" w:cs="Arial"/>
          <w:i/>
          <w:iCs/>
          <w:sz w:val="20"/>
        </w:rPr>
        <w:t>Статья 613. Права третьих лиц на сдаваемое в аренду имущество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Передача имущества в аренду не является основанием для прекращения или изменения прав третьих лиц на это имущество.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заключении договора аренды арендодатель обязан предупредить арендатора о всех правах третьих лиц на сдаваемое в аренду имущество (сервитуте, праве залога и т.п.). Неисполнение арендодателем этой обязанности дает арендатору право требовать уменьшения арендной платы либо расторжения договора и возмещения убытков.</w:t>
      </w:r>
    </w:p>
    <w:p w:rsidR="00FD64D5" w:rsidRDefault="00FD64D5">
      <w:pPr>
        <w:pStyle w:val="4"/>
        <w:jc w:val="both"/>
        <w:rPr>
          <w:rFonts w:ascii="Arial" w:hAnsi="Arial" w:cs="Arial"/>
          <w:sz w:val="20"/>
        </w:rPr>
      </w:pPr>
      <w:r>
        <w:rPr>
          <w:rFonts w:ascii="Arial" w:hAnsi="Arial" w:cs="Arial"/>
          <w:i/>
          <w:iCs/>
          <w:sz w:val="20"/>
        </w:rPr>
        <w:t>Статья 614. Арендная плата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Арендатор обязан своевременно вносить плату за пользование имуществом (арендную плату).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Порядок, условия и сроки внесения арендной платы определяются договором аренды. В случае, когда договором они не определены, считается, что установлены порядок, условия и сроки, обычно применяемые при аренде аналогичного имущества при сравнимых обстоятельствах.</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Арендная плата устанавливается за все арендуемое имущество в целом или отдельно по каждой из его составных частей в виде: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определенных в твердой сумме платежей, вносимых периодически или единовременно;</w:t>
      </w:r>
      <w:r>
        <w:rPr>
          <w:rFonts w:ascii="Arial" w:hAnsi="Arial" w:cs="Arial"/>
          <w:sz w:val="20"/>
        </w:rPr>
        <w:br/>
        <w:t>2) установленной доли полученных в результате использования арендованного имущества продукции, плодов или доходов;</w:t>
      </w:r>
      <w:r>
        <w:rPr>
          <w:rFonts w:ascii="Arial" w:hAnsi="Arial" w:cs="Arial"/>
          <w:sz w:val="20"/>
        </w:rPr>
        <w:br/>
        <w:t>3) предоставления арендатором определенных услуг;</w:t>
      </w:r>
      <w:r>
        <w:rPr>
          <w:rFonts w:ascii="Arial" w:hAnsi="Arial" w:cs="Arial"/>
          <w:sz w:val="20"/>
        </w:rPr>
        <w:br/>
        <w:t>4) передачи арендатором арендодателю обусловленной договором вещи в собственность или в аренду;</w:t>
      </w:r>
      <w:r>
        <w:rPr>
          <w:rFonts w:ascii="Arial" w:hAnsi="Arial" w:cs="Arial"/>
          <w:sz w:val="20"/>
        </w:rPr>
        <w:br/>
        <w:t>5) возложения на арендатора обусловленных договором затрат на улучшение арендованного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Стороны могут предусматривать в договоре аренды сочетание указанных форм арендной платы или иные формы оплаты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иное не предусмотрено договором, размер арендной платы может изменяться по соглашению сторон в сроки, предусмотренные договором, но не чаще одного раза в год. Законом могут быть предусмотрены иные минимальные сроки пересмотра размера арендной платы для отдельных видов аренды, а также для аренды отдельных видов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Если законом не предусмотрено иное, арендатор вправе потребовать соответственного уменьшения арендной платы, если в силу обстоятельств, за которые он не отвечает, условия пользования, предусмотренные договором аренды, или состояние имущества существенно ухудшились.</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Если иное не предусмотрено договором аренды, в случае существенного нарушения арендатором сроков внесения арендной платы арендодатель вправе потребовать от него досрочного внесения арендной платы в установленный арендодателем срок. При этом арендодатель не вправе требовать досрочного внесения арендной платы более чем за два срока подряд.</w:t>
      </w:r>
    </w:p>
    <w:p w:rsidR="00FD64D5" w:rsidRDefault="00FD64D5">
      <w:pPr>
        <w:pStyle w:val="4"/>
        <w:jc w:val="both"/>
        <w:rPr>
          <w:rFonts w:ascii="Arial" w:hAnsi="Arial" w:cs="Arial"/>
          <w:sz w:val="20"/>
        </w:rPr>
      </w:pPr>
      <w:r>
        <w:rPr>
          <w:rFonts w:ascii="Arial" w:hAnsi="Arial" w:cs="Arial"/>
          <w:i/>
          <w:iCs/>
          <w:sz w:val="20"/>
        </w:rPr>
        <w:t>Статья 615. Пользование арендованным имуществом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Арендатор обязан пользоваться арендованным имуществом в соответствии с условиями договора аренды, а если такие условия в договоре не определены, в соответствии с назначением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Арендатор вправе с согласия арендодателя сдавать арендованное имущество в субаренду (поднаем) и передавать свои права и обязанности по договору аренды другому лицу (перенаем), предоставлять арендованное имущество в безвозмездное пользование, а также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настоящим Кодексом, другим законом или иными правовыми актами. В указанных случаях, за исключением перенайма, ответственным по договору перед арендодателем остается арендатор.</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Договор субаренды не может быть заключен на срок, превышающий срок договора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 договорам субаренды применяются правила о договорах аренды, если иное не установлено законом или иными правовыми актами.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арендатор пользуется имуществом не в соответствии с условиями договора аренды или назначением имущества, арендодатель имеет право потребовать расторжения договора и возмещения убытков.</w:t>
      </w:r>
    </w:p>
    <w:p w:rsidR="00FD64D5" w:rsidRDefault="00FD64D5">
      <w:pPr>
        <w:pStyle w:val="4"/>
        <w:jc w:val="both"/>
        <w:rPr>
          <w:rFonts w:ascii="Arial" w:hAnsi="Arial" w:cs="Arial"/>
          <w:sz w:val="20"/>
        </w:rPr>
      </w:pPr>
      <w:r>
        <w:rPr>
          <w:rFonts w:ascii="Arial" w:hAnsi="Arial" w:cs="Arial"/>
          <w:i/>
          <w:iCs/>
          <w:sz w:val="20"/>
        </w:rPr>
        <w:t>Статья 616. Обязанности сторон по содержанию арендованного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Арендодатель обязан производить за свой счет капитальный ремонт переданного в аренду имущества, если иное не предусмотрено законом, иными правовыми актами или договором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Капитальный ремонт должен производиться в срок, установленный договором, а если он не определен договором или вызван неотложной необходимостью, в разумный срок.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Нарушение арендодателем обязанности по производству капитального ремонта дает арендатору право по своему выбору: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произвести капитальный ремонт, предусмотренный договором или вызванный неотложной необходимостью, и взыскать с арендодателя стоимость ремонта или зачесть ее в счет арендной платы;</w:t>
      </w:r>
      <w:r>
        <w:rPr>
          <w:rFonts w:ascii="Arial" w:hAnsi="Arial" w:cs="Arial"/>
          <w:sz w:val="20"/>
        </w:rPr>
        <w:br/>
        <w:t>потребовать соответственного уменьшения арендной платы;</w:t>
      </w:r>
      <w:r>
        <w:rPr>
          <w:rFonts w:ascii="Arial" w:hAnsi="Arial" w:cs="Arial"/>
          <w:sz w:val="20"/>
        </w:rPr>
        <w:br/>
        <w:t>потребовать расторжения договора и возмещения убытков.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Арендатор обязан поддерживать имущество в исправном состоянии, производить за свой счет текущий ремонт и нести расходы на содержание имущества, если иное не установлено законом или договором аренды.</w:t>
      </w:r>
    </w:p>
    <w:p w:rsidR="00FD64D5" w:rsidRDefault="00FD64D5">
      <w:pPr>
        <w:pStyle w:val="4"/>
        <w:jc w:val="both"/>
        <w:rPr>
          <w:rFonts w:ascii="Arial" w:hAnsi="Arial" w:cs="Arial"/>
          <w:sz w:val="20"/>
        </w:rPr>
      </w:pPr>
      <w:r>
        <w:rPr>
          <w:rFonts w:ascii="Arial" w:hAnsi="Arial" w:cs="Arial"/>
          <w:i/>
          <w:iCs/>
          <w:sz w:val="20"/>
        </w:rPr>
        <w:t>Статья 617. Сохранение договора аренды в силе при изменении сторон</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Переход права собственности (хозяйственного ведения, оперативного управления, пожизненного наследуемого владения) на сданное в аренду имущество к другому лицу не является основанием для изменения или расторжения договора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случае смерти гражданина, арендующего недвижимое имущество, его права и обязанности по договору аренды переходят к наследнику, если законом или договором не предусмотрено иное.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FD64D5" w:rsidRDefault="00FD64D5">
      <w:pPr>
        <w:pStyle w:val="4"/>
        <w:jc w:val="both"/>
        <w:rPr>
          <w:rFonts w:ascii="Arial" w:hAnsi="Arial" w:cs="Arial"/>
          <w:sz w:val="20"/>
        </w:rPr>
      </w:pPr>
      <w:r>
        <w:rPr>
          <w:rFonts w:ascii="Arial" w:hAnsi="Arial" w:cs="Arial"/>
          <w:i/>
          <w:iCs/>
          <w:sz w:val="20"/>
        </w:rPr>
        <w:t>Статья 618. Прекращение договора субаренды при досрочном прекращении договора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предусмотрено договором аренды, досрочное прекращение договора аренды влечет прекращение заключенного в соответствии с ним договора субаренды. Субарендатор в этом случае имеет право на заключение с ним договора аренды на имущество, находившееся в его пользовании в соответствии с договором субаренды, в пределах оставшегося срока субаренды на условиях, соответствующих условиям прекращенного договора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договор аренды по основаниям, предусмотренным настоящим Кодексом, является ничтожным, ничтожными являются и заключенные в соответствии с ним договоры субаренды.</w:t>
      </w:r>
    </w:p>
    <w:p w:rsidR="00FD64D5" w:rsidRDefault="00FD64D5">
      <w:pPr>
        <w:pStyle w:val="4"/>
        <w:jc w:val="both"/>
        <w:rPr>
          <w:rFonts w:ascii="Arial" w:hAnsi="Arial" w:cs="Arial"/>
          <w:sz w:val="20"/>
        </w:rPr>
      </w:pPr>
      <w:r>
        <w:rPr>
          <w:rFonts w:ascii="Arial" w:hAnsi="Arial" w:cs="Arial"/>
          <w:i/>
          <w:iCs/>
          <w:sz w:val="20"/>
        </w:rPr>
        <w:t>Статья 619. Досрочное расторжение договора по требованию арендодателя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требованию арендодателя договор аренды может быть досрочно расторгнут судом в случаях, когда арендатор:</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пользуется имуществом с существенным нарушением условий договора или назначения имущества либо с неоднократными нарушениями;</w:t>
      </w:r>
      <w:r>
        <w:rPr>
          <w:rFonts w:ascii="Arial" w:hAnsi="Arial" w:cs="Arial"/>
          <w:sz w:val="20"/>
        </w:rPr>
        <w:br/>
        <w:t>2) существенно ухудшает имущество;</w:t>
      </w:r>
      <w:r>
        <w:rPr>
          <w:rFonts w:ascii="Arial" w:hAnsi="Arial" w:cs="Arial"/>
          <w:sz w:val="20"/>
        </w:rPr>
        <w:br/>
        <w:t>3) более двух раз подряд по истечении установленного договором срока платежа не вносит арендную плату;</w:t>
      </w:r>
      <w:r>
        <w:rPr>
          <w:rFonts w:ascii="Arial" w:hAnsi="Arial" w:cs="Arial"/>
          <w:sz w:val="20"/>
        </w:rPr>
        <w:br/>
        <w:t>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законом, иными правовыми актами или договором производство капитального ремонта является обязанностью арендатора.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Договором аренды могут быть установлены и другие основания досрочного расторжения договора по требованию арендодателя в соответствии с пунктом 2 статьи 450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w:t>
      </w:r>
    </w:p>
    <w:p w:rsidR="00FD64D5" w:rsidRDefault="00FD64D5">
      <w:pPr>
        <w:pStyle w:val="4"/>
        <w:jc w:val="both"/>
        <w:rPr>
          <w:rFonts w:ascii="Arial" w:hAnsi="Arial" w:cs="Arial"/>
          <w:sz w:val="20"/>
        </w:rPr>
      </w:pPr>
      <w:r>
        <w:rPr>
          <w:rFonts w:ascii="Arial" w:hAnsi="Arial" w:cs="Arial"/>
          <w:i/>
          <w:iCs/>
          <w:sz w:val="20"/>
        </w:rPr>
        <w:t>Статья 620. Досрочное расторжение договора по требованию арендатора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требованию арендатора договор аренды может быть досрочно расторгнут судом в случаях, когда: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w:t>
      </w:r>
      <w:r>
        <w:rPr>
          <w:rFonts w:ascii="Arial" w:hAnsi="Arial" w:cs="Arial"/>
          <w:sz w:val="20"/>
        </w:rPr>
        <w:br/>
        <w:t>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r>
        <w:rPr>
          <w:rFonts w:ascii="Arial" w:hAnsi="Arial" w:cs="Arial"/>
          <w:sz w:val="20"/>
        </w:rPr>
        <w:b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r>
        <w:rPr>
          <w:rFonts w:ascii="Arial" w:hAnsi="Arial" w:cs="Arial"/>
          <w:sz w:val="20"/>
        </w:rPr>
        <w:br/>
        <w:t>4) имущество в силу обстоятельств, за которые арендатор не отвечает, окажется в состоянии, не пригодном для использования.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Договором аренды могут быть установлены и другие основания досрочного расторжения договора по требованию арендатора в соответствии с пунктом 2 статьи 450 настоящего Кодекса.</w:t>
      </w:r>
    </w:p>
    <w:p w:rsidR="00FD64D5" w:rsidRDefault="00FD64D5">
      <w:pPr>
        <w:pStyle w:val="4"/>
        <w:jc w:val="both"/>
        <w:rPr>
          <w:rFonts w:ascii="Arial" w:hAnsi="Arial" w:cs="Arial"/>
          <w:sz w:val="20"/>
        </w:rPr>
      </w:pPr>
      <w:r>
        <w:rPr>
          <w:rFonts w:ascii="Arial" w:hAnsi="Arial" w:cs="Arial"/>
          <w:i/>
          <w:iCs/>
          <w:sz w:val="20"/>
        </w:rPr>
        <w:t>Статья 621. Преимущественное право арендатора на заключение договора аренды на новый срок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предусмотрено законом или договором аренды,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указанный в договоре аренды, а если в договоре такой срок не указан, в разумный срок до окончания действия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заключении договора аренды на новый срок условия договора могут быть изменены по соглашению сторон.</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(статья 610).</w:t>
      </w:r>
    </w:p>
    <w:p w:rsidR="00FD64D5" w:rsidRDefault="00FD64D5">
      <w:pPr>
        <w:pStyle w:val="4"/>
        <w:jc w:val="both"/>
        <w:rPr>
          <w:rFonts w:ascii="Arial" w:hAnsi="Arial" w:cs="Arial"/>
          <w:sz w:val="20"/>
        </w:rPr>
      </w:pPr>
      <w:r>
        <w:rPr>
          <w:rFonts w:ascii="Arial" w:hAnsi="Arial" w:cs="Arial"/>
          <w:i/>
          <w:iCs/>
          <w:sz w:val="20"/>
        </w:rPr>
        <w:t>Статья 622. Возврат арендованного имущества арендодателю</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прекращении 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арендатор не возвратил арендованное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случае, когда за несвоевременный возврат арендованного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FD64D5" w:rsidRDefault="00FD64D5">
      <w:pPr>
        <w:pStyle w:val="4"/>
        <w:jc w:val="both"/>
        <w:rPr>
          <w:rFonts w:ascii="Arial" w:hAnsi="Arial" w:cs="Arial"/>
          <w:sz w:val="20"/>
        </w:rPr>
      </w:pPr>
      <w:r>
        <w:rPr>
          <w:rFonts w:ascii="Arial" w:hAnsi="Arial" w:cs="Arial"/>
          <w:i/>
          <w:iCs/>
          <w:sz w:val="20"/>
        </w:rPr>
        <w:t>Статья 623. Улучшения арендованного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Произведенные арендатором отделимые улучшения арендованного имущества являются его собственностью, если иное не предусмотрено договором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арендатор имеет право после прекращения договора на возмещение стоимости этих улучшений, если иное не предусмотрено договором аренды.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Стоимость неотделимых улучшений арендованного имущества, произведенных арендатором без согласия арендодателя, возмещению не подлежит, если иное не предусмотрено законом.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FD64D5" w:rsidRDefault="00FD64D5">
      <w:pPr>
        <w:pStyle w:val="4"/>
        <w:jc w:val="both"/>
        <w:rPr>
          <w:rFonts w:ascii="Arial" w:hAnsi="Arial" w:cs="Arial"/>
          <w:sz w:val="20"/>
        </w:rPr>
      </w:pPr>
      <w:r>
        <w:rPr>
          <w:rFonts w:ascii="Arial" w:hAnsi="Arial" w:cs="Arial"/>
          <w:i/>
          <w:iCs/>
          <w:sz w:val="20"/>
        </w:rPr>
        <w:t>Статья 624. Выкуп арендованного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условие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Законом могут быть установлены случаи запрещения выкупа арендованного имущества.</w:t>
      </w:r>
    </w:p>
    <w:p w:rsidR="00FD64D5" w:rsidRDefault="00FD64D5">
      <w:pPr>
        <w:pStyle w:val="4"/>
        <w:jc w:val="both"/>
        <w:rPr>
          <w:rFonts w:ascii="Arial" w:hAnsi="Arial" w:cs="Arial"/>
          <w:sz w:val="20"/>
        </w:rPr>
      </w:pPr>
      <w:r>
        <w:rPr>
          <w:rFonts w:ascii="Arial" w:hAnsi="Arial" w:cs="Arial"/>
          <w:i/>
          <w:iCs/>
          <w:sz w:val="20"/>
        </w:rPr>
        <w:t>Статья 625. Особенности отдельных видов аренды и аренды отдельных видов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 отдельным видам договора аренды и договорам аренды отдельных видов имущества (прокат, аренда транспортных средств,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r>
        <w:rPr>
          <w:rFonts w:ascii="Arial" w:hAnsi="Arial" w:cs="Arial"/>
          <w:b/>
          <w:bCs/>
          <w:sz w:val="20"/>
          <w:u w:val="single"/>
        </w:rPr>
        <w:t>25. Договор подряда.</w:t>
      </w:r>
    </w:p>
    <w:p w:rsidR="00FD64D5" w:rsidRDefault="00FD64D5">
      <w:pPr>
        <w:jc w:val="both"/>
        <w:rPr>
          <w:rFonts w:ascii="Arial" w:hAnsi="Arial" w:cs="Arial"/>
          <w:b/>
          <w:bCs/>
          <w:sz w:val="20"/>
          <w:u w:val="single"/>
        </w:rPr>
      </w:pPr>
    </w:p>
    <w:p w:rsidR="00FD64D5" w:rsidRDefault="00FD64D5">
      <w:pPr>
        <w:pStyle w:val="4"/>
        <w:jc w:val="both"/>
        <w:rPr>
          <w:rFonts w:ascii="Arial" w:hAnsi="Arial" w:cs="Arial"/>
          <w:sz w:val="20"/>
        </w:rPr>
      </w:pPr>
      <w:r>
        <w:rPr>
          <w:rFonts w:ascii="Arial" w:hAnsi="Arial" w:cs="Arial"/>
          <w:i/>
          <w:iCs/>
          <w:sz w:val="20"/>
        </w:rPr>
        <w:t>Статья 702. Договор подряда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установлено правилами настоящего Кодекса об этих видах договоров.</w:t>
      </w:r>
    </w:p>
    <w:p w:rsidR="00FD64D5" w:rsidRDefault="00FD64D5">
      <w:pPr>
        <w:pStyle w:val="4"/>
        <w:jc w:val="both"/>
        <w:rPr>
          <w:rFonts w:ascii="Arial" w:hAnsi="Arial" w:cs="Arial"/>
          <w:sz w:val="20"/>
        </w:rPr>
      </w:pPr>
      <w:r>
        <w:rPr>
          <w:rFonts w:ascii="Arial" w:hAnsi="Arial" w:cs="Arial"/>
          <w:i/>
          <w:iCs/>
          <w:sz w:val="20"/>
        </w:rPr>
        <w:t>Статья 703. Работы, выполняемые по договору подряда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Договор подряда заключается на изготовление или переработку (обработку) вещи либо на выполнение другой работы с передачей ее результата заказчику.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 договору подряда, заключенному на изготовление вещи, подрядчик передает права на нее заказчику.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иное не предусмотрено договором, подрядчик самостоятельно определяет способы выполнения задания заказчика.</w:t>
      </w:r>
    </w:p>
    <w:p w:rsidR="00FD64D5" w:rsidRDefault="00FD64D5">
      <w:pPr>
        <w:pStyle w:val="4"/>
        <w:jc w:val="both"/>
        <w:rPr>
          <w:rFonts w:ascii="Arial" w:hAnsi="Arial" w:cs="Arial"/>
          <w:sz w:val="20"/>
        </w:rPr>
      </w:pPr>
      <w:r>
        <w:rPr>
          <w:rFonts w:ascii="Arial" w:hAnsi="Arial" w:cs="Arial"/>
          <w:i/>
          <w:iCs/>
          <w:sz w:val="20"/>
        </w:rPr>
        <w:t>Статья 704. Выполнение работы иждивением подрядчика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предусмотрено договором подряда, работа выполняется иждивением подрядчика - из его материалов, его силами и средствами.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FD64D5" w:rsidRDefault="00FD64D5">
      <w:pPr>
        <w:pStyle w:val="4"/>
        <w:jc w:val="both"/>
        <w:rPr>
          <w:rFonts w:ascii="Arial" w:hAnsi="Arial" w:cs="Arial"/>
          <w:sz w:val="20"/>
        </w:rPr>
      </w:pPr>
      <w:r>
        <w:rPr>
          <w:rFonts w:ascii="Arial" w:hAnsi="Arial" w:cs="Arial"/>
          <w:i/>
          <w:iCs/>
          <w:sz w:val="20"/>
        </w:rPr>
        <w:t>Статья 705. Распределение рисков между сторонами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предусмотрено настоящим Кодексом, иными законами или договором подряда: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несет предоставившая их сторона;</w:t>
      </w:r>
      <w:r>
        <w:rPr>
          <w:rFonts w:ascii="Arial" w:hAnsi="Arial" w:cs="Arial"/>
          <w:sz w:val="20"/>
        </w:rPr>
        <w:br/>
        <w:t>риск случайной гибели или случайного повреждения результата выполненной работы до ее приемки заказчиком несет подрядчик.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При просрочке передачи или приемки результата работы риски, предусмотренные в пункте 1 настоящей статьи, несет сторона, допустившая просрочку.</w:t>
      </w:r>
    </w:p>
    <w:p w:rsidR="00FD64D5" w:rsidRDefault="00FD64D5">
      <w:pPr>
        <w:pStyle w:val="4"/>
        <w:jc w:val="both"/>
        <w:rPr>
          <w:rFonts w:ascii="Arial" w:hAnsi="Arial" w:cs="Arial"/>
          <w:sz w:val="20"/>
        </w:rPr>
      </w:pPr>
      <w:r>
        <w:rPr>
          <w:rFonts w:ascii="Arial" w:hAnsi="Arial" w:cs="Arial"/>
          <w:i/>
          <w:iCs/>
          <w:sz w:val="20"/>
        </w:rPr>
        <w:t>Статья 706. Генеральный подрядчик и субподрядчик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из закона или договора подряда не вытекает обязанность подрядчика выполнить предусмотренную в договоре работу лично, подрядчик вправе привлечь к исполнению своих обязательств других лиц (субподрядчиков). В этом случае подрядчик выступает в роли генерального подрядчика.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Подрядчик, который привлек к исполнению договора подряда субподрядчика в нарушение положений пункта 1 настоящей статьи или договора, несет перед заказчиком ответственность за убытки, причиненные участием субподрядчика в исполнении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пункта 1 статьи 313 и статьи 403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С согласия генерального подрядчика заказчик вправе заключить договоры на выполнение 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FD64D5" w:rsidRDefault="00FD64D5">
      <w:pPr>
        <w:pStyle w:val="4"/>
        <w:jc w:val="both"/>
        <w:rPr>
          <w:rFonts w:ascii="Arial" w:hAnsi="Arial" w:cs="Arial"/>
          <w:sz w:val="20"/>
        </w:rPr>
      </w:pPr>
      <w:r>
        <w:rPr>
          <w:rFonts w:ascii="Arial" w:hAnsi="Arial" w:cs="Arial"/>
          <w:i/>
          <w:iCs/>
          <w:sz w:val="20"/>
        </w:rPr>
        <w:t>Статья 707. Участие в исполнении работы нескольких лиц</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кредиторами.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При делимости предмета обязательства, а также в других случаях, предусмотренных законом, иными правовыми актами или договором, каждое из указанных в пункте 1 настоящей статьи лиц приобретает права и несет обязанности по отношению к заказчику в пределах своей доли (статья 321).</w:t>
      </w:r>
    </w:p>
    <w:p w:rsidR="00FD64D5" w:rsidRDefault="00FD64D5">
      <w:pPr>
        <w:pStyle w:val="4"/>
        <w:jc w:val="both"/>
        <w:rPr>
          <w:rFonts w:ascii="Arial" w:hAnsi="Arial" w:cs="Arial"/>
          <w:sz w:val="20"/>
        </w:rPr>
      </w:pPr>
      <w:r>
        <w:rPr>
          <w:rFonts w:ascii="Arial" w:hAnsi="Arial" w:cs="Arial"/>
          <w:i/>
          <w:iCs/>
          <w:sz w:val="20"/>
        </w:rPr>
        <w:t>Статья 708. Сроки выполнения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иное не установлено законом, иными правовыми актами или не предусмотрено договором, подрядчик несет ответственность за нарушение как начального и конечного, так и промежуточных сроков выполнения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Указанные в пункте 2 статьи 405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сроков.</w:t>
      </w:r>
    </w:p>
    <w:p w:rsidR="00FD64D5" w:rsidRDefault="00FD64D5">
      <w:pPr>
        <w:pStyle w:val="4"/>
        <w:jc w:val="both"/>
        <w:rPr>
          <w:rFonts w:ascii="Arial" w:hAnsi="Arial" w:cs="Arial"/>
          <w:sz w:val="20"/>
        </w:rPr>
      </w:pPr>
      <w:r>
        <w:rPr>
          <w:rFonts w:ascii="Arial" w:hAnsi="Arial" w:cs="Arial"/>
          <w:i/>
          <w:iCs/>
          <w:sz w:val="20"/>
        </w:rPr>
        <w:t>Статья 709. Цена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пунктом 3 статьи 424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Цена в договоре подряда включает компенсацию издержек подрядчика и причитающееся ему вознаграждение.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Цена работы может быть определена путем составления сметы.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Цена работы (смета) может быть приблизительной или твердой. При отсутствии других указаний в договоре подряда цена работы считается твердой.</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Если возникла необходимость в проведении дополнительных работ и по этой причине в существенном превышении определенной приблизительно цены работы,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выполненную часть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установленной цены, а при отказе заказчика выполнить это требование - расторжения договора в соответствии со статьей 451 настоящего Кодекса.</w:t>
      </w:r>
    </w:p>
    <w:p w:rsidR="00FD64D5" w:rsidRDefault="00FD64D5">
      <w:pPr>
        <w:pStyle w:val="4"/>
        <w:jc w:val="both"/>
        <w:rPr>
          <w:rFonts w:ascii="Arial" w:hAnsi="Arial" w:cs="Arial"/>
          <w:sz w:val="20"/>
        </w:rPr>
      </w:pPr>
      <w:r>
        <w:rPr>
          <w:rFonts w:ascii="Arial" w:hAnsi="Arial" w:cs="Arial"/>
          <w:i/>
          <w:iCs/>
          <w:sz w:val="20"/>
        </w:rPr>
        <w:t>Статья 710. Экономия подрядчика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договоре подряда может быть предусмотрено распределение полученной подрядчиком экономии между сторонами.</w:t>
      </w:r>
    </w:p>
    <w:p w:rsidR="00FD64D5" w:rsidRDefault="00FD64D5">
      <w:pPr>
        <w:pStyle w:val="4"/>
        <w:jc w:val="both"/>
        <w:rPr>
          <w:rFonts w:ascii="Arial" w:hAnsi="Arial" w:cs="Arial"/>
          <w:sz w:val="20"/>
        </w:rPr>
      </w:pPr>
      <w:r>
        <w:rPr>
          <w:rFonts w:ascii="Arial" w:hAnsi="Arial" w:cs="Arial"/>
          <w:i/>
          <w:iCs/>
          <w:sz w:val="20"/>
        </w:rPr>
        <w:t>Статья 711. Порядок оплаты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 досрочно.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Подрядчик вправе требовать выплаты ему аванса либо задатка только в случаях и в размере, указанных в законе или договоре подряда.</w:t>
      </w:r>
    </w:p>
    <w:p w:rsidR="00FD64D5" w:rsidRDefault="00FD64D5">
      <w:pPr>
        <w:pStyle w:val="4"/>
        <w:jc w:val="both"/>
        <w:rPr>
          <w:rFonts w:ascii="Arial" w:hAnsi="Arial" w:cs="Arial"/>
          <w:sz w:val="20"/>
        </w:rPr>
      </w:pPr>
      <w:r>
        <w:rPr>
          <w:rFonts w:ascii="Arial" w:hAnsi="Arial" w:cs="Arial"/>
          <w:i/>
          <w:iCs/>
          <w:sz w:val="20"/>
        </w:rPr>
        <w:t>Статья 712. Право подрядчика на удержание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неисполнении заказчиком обязанности уплатить установленную цену либо иную сумму, причитающуюся подрядчику в связи с выполнением договора подряда, подрядчик имеет право на удержание в соответствии со статьями 359 и 360 настоящего Кодекса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FD64D5" w:rsidRDefault="00FD64D5">
      <w:pPr>
        <w:pStyle w:val="4"/>
        <w:jc w:val="both"/>
        <w:rPr>
          <w:rFonts w:ascii="Arial" w:hAnsi="Arial" w:cs="Arial"/>
          <w:sz w:val="20"/>
        </w:rPr>
      </w:pPr>
      <w:r>
        <w:rPr>
          <w:rFonts w:ascii="Arial" w:hAnsi="Arial" w:cs="Arial"/>
          <w:i/>
          <w:iCs/>
          <w:sz w:val="20"/>
        </w:rPr>
        <w:t>Статья 713. Выполнение работы с использованием материала заказчика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результат работы не был достигнут либо достигнутый результат оказался с недостатками, которые делают его не пригодным для предусмотренного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подрядчик вправе потребовать оплаты выполненной им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Подрядчик может осуществить право, указанное в пункте 2 настоящей статьи, в случае, если докажет, что недостатки материала не могли быть обнаружены при надлежащей приемке подрядчиком этого материала.</w:t>
      </w:r>
    </w:p>
    <w:p w:rsidR="00FD64D5" w:rsidRDefault="00FD64D5">
      <w:pPr>
        <w:pStyle w:val="4"/>
        <w:jc w:val="both"/>
        <w:rPr>
          <w:rFonts w:ascii="Arial" w:hAnsi="Arial" w:cs="Arial"/>
          <w:sz w:val="20"/>
        </w:rPr>
      </w:pPr>
      <w:r>
        <w:rPr>
          <w:rFonts w:ascii="Arial" w:hAnsi="Arial" w:cs="Arial"/>
          <w:i/>
          <w:iCs/>
          <w:sz w:val="20"/>
        </w:rPr>
        <w:t>Статья 714. Ответственность подрядчика за несохранность предоставленного заказчиком имущества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Подрядчик несет ответственность за несохранность предоставленных заказчиком материала, оборудования, переданной для переработки (обработки) вещи или иного имущества, оказавшегося во владении подрядчика в связи с исполнением договора подряда.</w:t>
      </w:r>
    </w:p>
    <w:p w:rsidR="00FD64D5" w:rsidRDefault="00FD64D5">
      <w:pPr>
        <w:pStyle w:val="4"/>
        <w:jc w:val="both"/>
        <w:rPr>
          <w:rFonts w:ascii="Arial" w:hAnsi="Arial" w:cs="Arial"/>
          <w:sz w:val="20"/>
        </w:rPr>
      </w:pPr>
      <w:r>
        <w:rPr>
          <w:rFonts w:ascii="Arial" w:hAnsi="Arial" w:cs="Arial"/>
          <w:i/>
          <w:iCs/>
          <w:sz w:val="20"/>
        </w:rPr>
        <w:t>Статья 715. Права заказчика во время выполнения работы подрядчиком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Заказчик вправе во всякое время проверять ход и качество работы, выполняемой подрядчиком, не вмешиваясь в его деятельность.</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подряда либо поручить исправление работ другому лицу за счет подрядчика, а также потребовать возмещения убытков.</w:t>
      </w:r>
    </w:p>
    <w:p w:rsidR="00FD64D5" w:rsidRDefault="00FD64D5">
      <w:pPr>
        <w:pStyle w:val="4"/>
        <w:jc w:val="both"/>
        <w:rPr>
          <w:rFonts w:ascii="Arial" w:hAnsi="Arial" w:cs="Arial"/>
          <w:sz w:val="20"/>
        </w:rPr>
      </w:pPr>
      <w:r>
        <w:rPr>
          <w:rFonts w:ascii="Arial" w:hAnsi="Arial" w:cs="Arial"/>
          <w:i/>
          <w:iCs/>
          <w:sz w:val="20"/>
        </w:rPr>
        <w:t>Статья 716. Обстоятельства, о которых подрядчик обязан предупредить заказчика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Подрядчик обязан немедленно предупредить заказчика и до получения от него указаний приостановить работу при обнаружении: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(обработки) вещи;</w:t>
      </w:r>
      <w:r>
        <w:rPr>
          <w:rFonts w:ascii="Arial" w:hAnsi="Arial" w:cs="Arial"/>
          <w:sz w:val="20"/>
        </w:rPr>
        <w:br/>
        <w:t>возможных неблагоприятных для заказчика последствий выполнения его указаний о способе исполнения работы;</w:t>
      </w:r>
      <w:r>
        <w:rPr>
          <w:rFonts w:ascii="Arial" w:hAnsi="Arial" w:cs="Arial"/>
          <w:sz w:val="20"/>
        </w:rPr>
        <w:br/>
        <w:t>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Подрядчик, не предупредивший заказчика об обстоятельствах, указанных в пункте 1 настоящей статьи, либо продолживший работу, не дожидаясь истечения указанного в договоре срока, а при его отсутствии разумного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заказчик, несмотря на своевременное и обоснованное предупреждение со стороны подрядчика об обстоятельствах, указанных в пункте 1 настоящей статьи, в разумный срок не заменит непригодные или недоброкачественные материал, оборудование, техническую документацию или переданную для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причиненных его прекращением убытков.</w:t>
      </w:r>
    </w:p>
    <w:p w:rsidR="00FD64D5" w:rsidRDefault="00FD64D5">
      <w:pPr>
        <w:pStyle w:val="4"/>
        <w:jc w:val="both"/>
        <w:rPr>
          <w:rFonts w:ascii="Arial" w:hAnsi="Arial" w:cs="Arial"/>
          <w:sz w:val="20"/>
        </w:rPr>
      </w:pPr>
      <w:r>
        <w:rPr>
          <w:rFonts w:ascii="Arial" w:hAnsi="Arial" w:cs="Arial"/>
          <w:i/>
          <w:iCs/>
          <w:sz w:val="20"/>
        </w:rPr>
        <w:t>Статья 717. Отказ заказчика от исполнения договора подряда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иное не предусмотрено договором подряда, заказчик может в любое время до сдачи ему результата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ценой, определенной за всю работу, и частью цены, выплаченной за выполненную работу.</w:t>
      </w:r>
    </w:p>
    <w:p w:rsidR="00FD64D5" w:rsidRDefault="00FD64D5">
      <w:pPr>
        <w:pStyle w:val="4"/>
        <w:jc w:val="both"/>
        <w:rPr>
          <w:rFonts w:ascii="Arial" w:hAnsi="Arial" w:cs="Arial"/>
          <w:sz w:val="20"/>
        </w:rPr>
      </w:pPr>
      <w:r>
        <w:rPr>
          <w:rFonts w:ascii="Arial" w:hAnsi="Arial" w:cs="Arial"/>
          <w:i/>
          <w:iCs/>
          <w:sz w:val="20"/>
        </w:rPr>
        <w:t>Статья 718. Содействие заказчика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Заказчик обязан в случаях, в объеме и в порядке, предусмотренных договором подряда, оказывать подрядчику содействие в выполнении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FD64D5" w:rsidRDefault="00FD64D5">
      <w:pPr>
        <w:pStyle w:val="4"/>
        <w:jc w:val="both"/>
        <w:rPr>
          <w:rFonts w:ascii="Arial" w:hAnsi="Arial" w:cs="Arial"/>
          <w:sz w:val="20"/>
        </w:rPr>
      </w:pPr>
      <w:r>
        <w:rPr>
          <w:rFonts w:ascii="Arial" w:hAnsi="Arial" w:cs="Arial"/>
          <w:i/>
          <w:iCs/>
          <w:sz w:val="20"/>
        </w:rPr>
        <w:t>Статья 719. Неисполнение заказчиком встречных обязанностей по договору подряда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непредоставление материала, оборудования, технической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 (статья 328).</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иное не предусмотрено договором подряда, подрядчик при наличии обстоятельств, указанных в пункте 1 настоящей статьи, вправе отказаться от исполнения договора и потребовать возмещения убытков.</w:t>
      </w:r>
    </w:p>
    <w:p w:rsidR="00FD64D5" w:rsidRDefault="00FD64D5">
      <w:pPr>
        <w:pStyle w:val="4"/>
        <w:jc w:val="both"/>
        <w:rPr>
          <w:rFonts w:ascii="Arial" w:hAnsi="Arial" w:cs="Arial"/>
          <w:sz w:val="20"/>
        </w:rPr>
      </w:pPr>
      <w:r>
        <w:rPr>
          <w:rFonts w:ascii="Arial" w:hAnsi="Arial" w:cs="Arial"/>
          <w:i/>
          <w:iCs/>
          <w:sz w:val="20"/>
        </w:rPr>
        <w:t>Статья 720. Приемка заказчиком работы, выполненной подрядчиком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Заказчик обязан в сроки и в порядке, которые предусмотрены договором подряда,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Заказчик, обнаруживший недостатки в работе при ее приемке, вправе ссылаться на них в случаях,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иное не предусмотрено договором подряда, заказчик, принявший работу без проверки, лишается права ссылаться на недостатки работы, которые могли быть установлены при обычном способе ее приемки (явные недостатки).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Заказчик, обнаруживший после приемки работы отступления в ней от договора подряда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6. Если иное не предусмотрено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статьей 327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7. Если уклонение заказчика от принятия выполненной работы повлекло за собой просрочку в сдаче работы, риск случайной гибели изготовленной (переработанной или обработанной) вещи признается перешедшим к заказчику в момент, когда передача вещи должна была состояться.</w:t>
      </w:r>
    </w:p>
    <w:p w:rsidR="00FD64D5" w:rsidRDefault="00FD64D5">
      <w:pPr>
        <w:pStyle w:val="4"/>
        <w:jc w:val="both"/>
        <w:rPr>
          <w:rFonts w:ascii="Arial" w:hAnsi="Arial" w:cs="Arial"/>
          <w:sz w:val="20"/>
        </w:rPr>
      </w:pPr>
      <w:r>
        <w:rPr>
          <w:rFonts w:ascii="Arial" w:hAnsi="Arial" w:cs="Arial"/>
          <w:i/>
          <w:iCs/>
          <w:sz w:val="20"/>
        </w:rPr>
        <w:t>Статья 721. Качество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правовыми 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законом, иными правовыми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FD64D5" w:rsidRDefault="00FD64D5">
      <w:pPr>
        <w:pStyle w:val="4"/>
        <w:jc w:val="both"/>
        <w:rPr>
          <w:rFonts w:ascii="Arial" w:hAnsi="Arial" w:cs="Arial"/>
          <w:sz w:val="20"/>
        </w:rPr>
      </w:pPr>
      <w:r>
        <w:rPr>
          <w:rFonts w:ascii="Arial" w:hAnsi="Arial" w:cs="Arial"/>
          <w:i/>
          <w:iCs/>
          <w:sz w:val="20"/>
        </w:rPr>
        <w:t>Статья 722. Гарантия качества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случае, когда законом, иным правовым актом, договором подряда или обычаями делового оборота предусмотрен для результата работы гарантийный срок, результат работы должен в течение всего гарантийного срока соответствовать условиям договора о качестве (пункт 1 статьи 721).</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Гарантия качества результата работы, если иное не предусмотрено договором подряда, распространяется на все, составляющее результат работы.</w:t>
      </w:r>
    </w:p>
    <w:p w:rsidR="00FD64D5" w:rsidRDefault="00FD64D5">
      <w:pPr>
        <w:pStyle w:val="4"/>
        <w:jc w:val="both"/>
        <w:rPr>
          <w:rFonts w:ascii="Arial" w:hAnsi="Arial" w:cs="Arial"/>
          <w:sz w:val="20"/>
        </w:rPr>
      </w:pPr>
      <w:r>
        <w:rPr>
          <w:rFonts w:ascii="Arial" w:hAnsi="Arial" w:cs="Arial"/>
          <w:i/>
          <w:iCs/>
          <w:sz w:val="20"/>
        </w:rPr>
        <w:t>Статья 723. Ответственность подрядчика за ненадлежащее качество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случаях, когда работа выполнена подрядчиком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обычного использования, заказчик вправе, если иное не установлено законом или договором, по своему выбору потребовать от подрядчика: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безвозмездного устранения недостатков в разумный срок;</w:t>
      </w:r>
      <w:r>
        <w:rPr>
          <w:rFonts w:ascii="Arial" w:hAnsi="Arial" w:cs="Arial"/>
          <w:sz w:val="20"/>
        </w:rPr>
        <w:br/>
        <w:t>соразмерного уменьшения установленной за работу цены;</w:t>
      </w:r>
      <w:r>
        <w:rPr>
          <w:rFonts w:ascii="Arial" w:hAnsi="Arial" w:cs="Arial"/>
          <w:sz w:val="20"/>
        </w:rPr>
        <w:br/>
        <w:t>возмещения своих расходов на устранение недостатков, когда право заказчика устранять их предусмотрено в договоре подряда (статья 397).</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Подрядчик вправе вместо устранения недостатков,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возможен.</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действий или бездействия подрядчика.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(статья 475).</w:t>
      </w:r>
    </w:p>
    <w:p w:rsidR="00FD64D5" w:rsidRDefault="00FD64D5">
      <w:pPr>
        <w:pStyle w:val="4"/>
        <w:jc w:val="both"/>
        <w:rPr>
          <w:rFonts w:ascii="Arial" w:hAnsi="Arial" w:cs="Arial"/>
          <w:sz w:val="20"/>
        </w:rPr>
      </w:pPr>
      <w:r>
        <w:rPr>
          <w:rFonts w:ascii="Arial" w:hAnsi="Arial" w:cs="Arial"/>
          <w:i/>
          <w:iCs/>
          <w:sz w:val="20"/>
        </w:rPr>
        <w:t>Статья 724. Сроки обнаружения ненадлежащего качества результата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установленные настоящей статьей.</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двух лет со дня передачи результата работы, если иные сроки не установлены законом, договором или обычаями делового оборота.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Заказчик вправе предъявить требования, связанные с недостатками результата работы, обнаруженными в течение гарантийного срока.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пунктом 5 настоящей статьи, подрядчик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5. Если иное не предусмотрено договором подряда, гарантийный срок (пункт 1 статьи 722) начинает течь с момента, когда результат выполненной работы был принят или должен был быть принят заказчиком.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6. К исчислению гарантийного срока по договору подряда применяются соответственно правила, содержащиеся в пунктах 2 и 4 статьи 471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FD64D5" w:rsidRDefault="00FD64D5">
      <w:pPr>
        <w:pStyle w:val="4"/>
        <w:jc w:val="both"/>
        <w:rPr>
          <w:rFonts w:ascii="Arial" w:hAnsi="Arial" w:cs="Arial"/>
          <w:sz w:val="20"/>
        </w:rPr>
      </w:pPr>
      <w:r>
        <w:rPr>
          <w:rFonts w:ascii="Arial" w:hAnsi="Arial" w:cs="Arial"/>
          <w:i/>
          <w:iCs/>
          <w:sz w:val="20"/>
        </w:rPr>
        <w:t>Статья 725. Давность по искам о ненадлежащем качестве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статьи 196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 работы в целом.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пункте 1 настоящей статьи, начинается со дня заявления о недостатках.</w:t>
      </w:r>
    </w:p>
    <w:p w:rsidR="00FD64D5" w:rsidRDefault="00FD64D5">
      <w:pPr>
        <w:pStyle w:val="4"/>
        <w:jc w:val="both"/>
        <w:rPr>
          <w:rFonts w:ascii="Arial" w:hAnsi="Arial" w:cs="Arial"/>
          <w:sz w:val="20"/>
        </w:rPr>
      </w:pPr>
      <w:r>
        <w:rPr>
          <w:rFonts w:ascii="Arial" w:hAnsi="Arial" w:cs="Arial"/>
          <w:i/>
          <w:iCs/>
          <w:sz w:val="20"/>
        </w:rPr>
        <w:t>Статья 726. Обязанность подрядчика передать информацию заказчику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Подрядчик обязан передать заказчику вместе с результатом работы информацию, 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результата работы для целей, указанных в договоре.</w:t>
      </w:r>
    </w:p>
    <w:p w:rsidR="00FD64D5" w:rsidRDefault="00FD64D5">
      <w:pPr>
        <w:pStyle w:val="4"/>
        <w:jc w:val="both"/>
        <w:rPr>
          <w:rFonts w:ascii="Arial" w:hAnsi="Arial" w:cs="Arial"/>
          <w:sz w:val="20"/>
        </w:rPr>
      </w:pPr>
      <w:r>
        <w:rPr>
          <w:rFonts w:ascii="Arial" w:hAnsi="Arial" w:cs="Arial"/>
          <w:i/>
          <w:iCs/>
          <w:sz w:val="20"/>
        </w:rPr>
        <w:t>Статья 727. Конфиденциальность полученной сторонами информации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сторона благодаря исполнению своего обязательства по договору подряда получила от другой стороны информацию о новых решениях и технических знаниях, в том числе не защищаемых законом, а также сведения, которые могут рассматриваться как коммерческая тайна (статья 139), сторона, получившая такую информацию, не вправе сообщать ее третьим лицам без согласия другой стороны.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Порядок и условия пользования такой информацией определяются соглашением сторон.</w:t>
      </w:r>
    </w:p>
    <w:p w:rsidR="00FD64D5" w:rsidRDefault="00FD64D5">
      <w:pPr>
        <w:pStyle w:val="4"/>
        <w:jc w:val="both"/>
        <w:rPr>
          <w:rFonts w:ascii="Arial" w:hAnsi="Arial" w:cs="Arial"/>
          <w:sz w:val="20"/>
        </w:rPr>
      </w:pPr>
      <w:r>
        <w:rPr>
          <w:rFonts w:ascii="Arial" w:hAnsi="Arial" w:cs="Arial"/>
          <w:i/>
          <w:iCs/>
          <w:sz w:val="20"/>
        </w:rPr>
        <w:t>Статья 728. Возвращение подрядчиком имущества, переданного заказчиком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случаях, когда заказчик на основании пункта 2 статьи 715 или пункта 3 статьи 723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имущества.</w:t>
      </w:r>
    </w:p>
    <w:p w:rsidR="00FD64D5" w:rsidRDefault="00FD64D5">
      <w:pPr>
        <w:pStyle w:val="4"/>
        <w:jc w:val="both"/>
        <w:rPr>
          <w:rFonts w:ascii="Arial" w:hAnsi="Arial" w:cs="Arial"/>
          <w:sz w:val="20"/>
        </w:rPr>
      </w:pPr>
      <w:r>
        <w:rPr>
          <w:rFonts w:ascii="Arial" w:hAnsi="Arial" w:cs="Arial"/>
          <w:i/>
          <w:iCs/>
          <w:sz w:val="20"/>
        </w:rPr>
        <w:t>Статья 729. Последствия прекращения договора подряда до приемки результата работы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случае прекращения договора подряда по основаниям, предусмотренным законом или договором, до приемки заказчиком результата работы, выполненной подрядчиком (пункт 1 статьи 720), заказчик вправе требовать передачи ему результата незавершенной работы с компенсацией подрядчику произведенных затрат.</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r>
        <w:rPr>
          <w:rFonts w:ascii="Arial" w:hAnsi="Arial" w:cs="Arial"/>
          <w:b/>
          <w:bCs/>
          <w:sz w:val="20"/>
          <w:u w:val="single"/>
        </w:rPr>
        <w:t>26. Агентский договор.</w:t>
      </w:r>
    </w:p>
    <w:p w:rsidR="00FD64D5" w:rsidRDefault="00FD64D5">
      <w:pPr>
        <w:jc w:val="both"/>
        <w:rPr>
          <w:rFonts w:ascii="Arial" w:hAnsi="Arial" w:cs="Arial"/>
          <w:b/>
          <w:bCs/>
          <w:sz w:val="20"/>
          <w:u w:val="single"/>
        </w:rPr>
      </w:pPr>
    </w:p>
    <w:p w:rsidR="00FD64D5" w:rsidRDefault="00FD64D5">
      <w:pPr>
        <w:pStyle w:val="4"/>
        <w:jc w:val="both"/>
        <w:rPr>
          <w:rFonts w:ascii="Arial" w:hAnsi="Arial" w:cs="Arial"/>
          <w:sz w:val="20"/>
        </w:rPr>
      </w:pPr>
      <w:r>
        <w:rPr>
          <w:rFonts w:ascii="Arial" w:hAnsi="Arial" w:cs="Arial"/>
          <w:i/>
          <w:iCs/>
          <w:sz w:val="20"/>
        </w:rPr>
        <w:t>Статья 1005. Агентский договор</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 агентскому договору одна сторона (агент) обязуется за вознаграждение совершать по поручению другой стороны (принципала) юридические и иные действия от своего имени, но за счет принципала либо от имени и за счет принципала.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сделке, совершенной агентом с третьим лицом от своего имени и за счет принципала, приобретает права и становится обязанным агент, хотя бы принципал и был назван в сделке или вступил с третьим лицом в непосредственные отношения по исполнению сделки.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сделке, совершенной агентом с третьим лицом от имени и за счет принципала, права и обязанности возникают непосредственно у принципала.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случаях, когда в агентском договоре, заключенном в письменной форме, предусмотрены общие полномочия агента на совершение сделок от имени принципала, последний в отношениях с третьими лицами не вправе ссылаться на отсутствие у агента надлежащих полномочий, если не докажет, что третье лицо знало или должно было знать об ограничении полномочий агента.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Агентский договор может быть заключен на определенный срок или без указания срока его действия.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4. Законом могут быть предусмотрены особенности отдельных видов агентского договора.</w:t>
      </w:r>
    </w:p>
    <w:p w:rsidR="00FD64D5" w:rsidRDefault="00FD64D5">
      <w:pPr>
        <w:pStyle w:val="4"/>
        <w:jc w:val="both"/>
        <w:rPr>
          <w:rFonts w:ascii="Arial" w:hAnsi="Arial" w:cs="Arial"/>
          <w:sz w:val="20"/>
        </w:rPr>
      </w:pPr>
      <w:r>
        <w:rPr>
          <w:rFonts w:ascii="Arial" w:hAnsi="Arial" w:cs="Arial"/>
          <w:i/>
          <w:iCs/>
          <w:sz w:val="20"/>
        </w:rPr>
        <w:t>Статья 1006. Агентское вознаграждение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Принципал обязан уплатить агенту вознаграждение в размере и в порядке, установленных в агентском договоре.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в агентском договоре размер агентского вознаграждения не предусмотрен и он не может быть определен исходя из условий договора, вознаграждение подлежит уплате в размере, определяемом в соответствии с пунктом 3 статьи 424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 отсутствии в договоре условий о порядке уплаты агентского вознаграждения принципал обязан уплачивать вознаграждение в течение недели с момента представления ему агентом отчета за прошедший период, если из существа договора или обычаев делового оборота не вытекает иной порядок уплаты вознаграждения.</w:t>
      </w:r>
    </w:p>
    <w:p w:rsidR="00FD64D5" w:rsidRDefault="00FD64D5">
      <w:pPr>
        <w:pStyle w:val="4"/>
        <w:jc w:val="both"/>
        <w:rPr>
          <w:rFonts w:ascii="Arial" w:hAnsi="Arial" w:cs="Arial"/>
          <w:sz w:val="20"/>
        </w:rPr>
      </w:pPr>
      <w:r>
        <w:rPr>
          <w:rFonts w:ascii="Arial" w:hAnsi="Arial" w:cs="Arial"/>
          <w:i/>
          <w:iCs/>
          <w:sz w:val="20"/>
        </w:rPr>
        <w:t>Статья 1007. Ограничения агентским договором прав принципала и агента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Агентским договором может быть предусмотрено обязательство принципала не заключать аналогичных агентских договоров с другими агентами, действующими на определенной в договоре территории, либо воздерживаться от осуществления на этой территории самостоятельной деятельности, аналогичной деятельности, составляющей предмет агентского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Агентским договором может быть предусмотрено обязательство агента не заключать с другими принципалами аналогичных агентских договоров, которые должны исполняться на территории, полностью или частично совпадающей с территорией, указанной в договоре.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Условия агентского договора, в силу которых агент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или место жительства на определенной в договоре территории, являются ничтожными.</w:t>
      </w:r>
    </w:p>
    <w:p w:rsidR="00FD64D5" w:rsidRDefault="00FD64D5">
      <w:pPr>
        <w:pStyle w:val="4"/>
        <w:jc w:val="both"/>
        <w:rPr>
          <w:rFonts w:ascii="Arial" w:hAnsi="Arial" w:cs="Arial"/>
          <w:sz w:val="20"/>
        </w:rPr>
      </w:pPr>
      <w:r>
        <w:rPr>
          <w:rFonts w:ascii="Arial" w:hAnsi="Arial" w:cs="Arial"/>
          <w:i/>
          <w:iCs/>
          <w:sz w:val="20"/>
        </w:rPr>
        <w:t>Статья 1008. Отчеты агента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 ходе исполнения агентского договора агент обязан представлять принципалу отчеты в порядке и в сроки, которые предусмотрены договором. При отсутствии в договоре соответствующих условий отчеты представляются агентом по мере исполнения им договора либо по окончании действия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агентским договором не предусмотрено иное, к отчету агента должны быть приложены необходимые доказательства расходов, произведенных агентом за счет принципала.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Принципал, имеющий возражения по отчету агента, должен сообщить о них агенту в течение тридцати дней со дня получения отчета, если соглашением сторон не установлен иной срок. В противном случае отчет считается принятым принципалом.</w:t>
      </w:r>
    </w:p>
    <w:p w:rsidR="00FD64D5" w:rsidRDefault="00FD64D5">
      <w:pPr>
        <w:pStyle w:val="4"/>
        <w:jc w:val="both"/>
        <w:rPr>
          <w:rFonts w:ascii="Arial" w:hAnsi="Arial" w:cs="Arial"/>
          <w:sz w:val="20"/>
        </w:rPr>
      </w:pPr>
      <w:r>
        <w:rPr>
          <w:rFonts w:ascii="Arial" w:hAnsi="Arial" w:cs="Arial"/>
          <w:i/>
          <w:iCs/>
          <w:sz w:val="20"/>
        </w:rPr>
        <w:t>Статья 1009. Субагентский договор</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предусмотрено агентским договором, агент вправе в целях исполнения договора заключить субагентский договор с другим лицом, оставаясь ответственным за действия субагента перед принципалом. В агентском договоре может быть предусмотрена обязанность агента заключить субагентский договор с указанием или без указания конкретных условий такого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Субагент не вправе заключать с третьими лицами сделки от имени лица, являющегося принципалом по агентскому договору, за исключением случаев, когда в соответствии с пунктом 1 статьи 187 настоящего Кодекса субагент может действовать на основе передоверия. Порядок и последствия такого передоверия определяются по правилам, предусмотренным статьей 976 настоящего Кодекса.</w:t>
      </w:r>
    </w:p>
    <w:p w:rsidR="00FD64D5" w:rsidRDefault="00FD64D5">
      <w:pPr>
        <w:pStyle w:val="4"/>
        <w:jc w:val="both"/>
        <w:rPr>
          <w:rFonts w:ascii="Arial" w:hAnsi="Arial" w:cs="Arial"/>
          <w:sz w:val="20"/>
        </w:rPr>
      </w:pPr>
      <w:r>
        <w:rPr>
          <w:rFonts w:ascii="Arial" w:hAnsi="Arial" w:cs="Arial"/>
          <w:i/>
          <w:iCs/>
          <w:sz w:val="20"/>
        </w:rPr>
        <w:t>Статья 1010. Прекращение агентского договора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Агентский договор прекращается вследствие: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отказа одной из сторон от исполнения договора, заключенного без определения срока окончания его действия;</w:t>
      </w:r>
      <w:r>
        <w:rPr>
          <w:rFonts w:ascii="Arial" w:hAnsi="Arial" w:cs="Arial"/>
          <w:sz w:val="20"/>
        </w:rPr>
        <w:br/>
        <w:t>смерти агента, признания его недееспособным, ограниченно дееспособным или безвестно отсутствующим;</w:t>
      </w:r>
      <w:r>
        <w:rPr>
          <w:rFonts w:ascii="Arial" w:hAnsi="Arial" w:cs="Arial"/>
          <w:sz w:val="20"/>
        </w:rPr>
        <w:br/>
        <w:t>признания индивидуального предпринимателя, являющегося агентом, несостоятельным (банкротом).</w:t>
      </w:r>
    </w:p>
    <w:p w:rsidR="00FD64D5" w:rsidRDefault="00FD64D5">
      <w:pPr>
        <w:pStyle w:val="4"/>
        <w:jc w:val="both"/>
        <w:rPr>
          <w:rFonts w:ascii="Arial" w:hAnsi="Arial" w:cs="Arial"/>
          <w:sz w:val="20"/>
        </w:rPr>
      </w:pPr>
      <w:r>
        <w:rPr>
          <w:rFonts w:ascii="Arial" w:hAnsi="Arial" w:cs="Arial"/>
          <w:i/>
          <w:iCs/>
          <w:sz w:val="20"/>
        </w:rPr>
        <w:t>Статья 1011. Применение к агентским отношениям правил о договорах поручения и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 отношениям, вытекающим из агентского договора, соответственно применяются правила, предусмотренные главой 49 или главой 51 настоящего Кодекса, в зависимости от того, действует агент по условиям этого договора от имени принципала или от своего имени, если эти правила не противоречат положениям настоящей главы или существу агентского договора.</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r>
        <w:rPr>
          <w:rFonts w:ascii="Arial" w:hAnsi="Arial" w:cs="Arial"/>
          <w:b/>
          <w:bCs/>
          <w:sz w:val="20"/>
          <w:u w:val="single"/>
        </w:rPr>
        <w:t>27. Основные международные конвенции в области охраны промышленной собственности.</w:t>
      </w:r>
    </w:p>
    <w:p w:rsidR="00FD64D5" w:rsidRDefault="00FD64D5">
      <w:pPr>
        <w:jc w:val="both"/>
        <w:rPr>
          <w:rFonts w:ascii="Arial" w:hAnsi="Arial" w:cs="Arial"/>
          <w:b/>
          <w:bCs/>
          <w:sz w:val="20"/>
          <w:u w:val="single"/>
        </w:rPr>
      </w:pPr>
    </w:p>
    <w:p w:rsidR="00FD64D5" w:rsidRDefault="00FD64D5">
      <w:pPr>
        <w:ind w:left="167" w:right="167"/>
        <w:jc w:val="both"/>
        <w:rPr>
          <w:rFonts w:ascii="Arial" w:hAnsi="Arial" w:cs="Arial"/>
          <w:sz w:val="20"/>
          <w:szCs w:val="16"/>
        </w:rPr>
      </w:pPr>
      <w:r>
        <w:rPr>
          <w:rFonts w:ascii="Arial" w:hAnsi="Arial" w:cs="Arial"/>
          <w:b/>
          <w:bCs/>
          <w:sz w:val="20"/>
          <w:szCs w:val="20"/>
        </w:rPr>
        <w:t>Конвенция по охране промышленной собственности</w:t>
      </w:r>
      <w:r>
        <w:rPr>
          <w:rFonts w:ascii="Arial" w:hAnsi="Arial" w:cs="Arial"/>
          <w:sz w:val="20"/>
          <w:szCs w:val="16"/>
        </w:rPr>
        <w:br/>
      </w:r>
      <w:r>
        <w:rPr>
          <w:rFonts w:ascii="Arial" w:hAnsi="Arial" w:cs="Arial"/>
          <w:i/>
          <w:iCs/>
          <w:sz w:val="20"/>
          <w:szCs w:val="16"/>
        </w:rPr>
        <w:t>Париж, 20 марта 1883 г.</w:t>
      </w:r>
      <w:r>
        <w:rPr>
          <w:rFonts w:ascii="Arial" w:hAnsi="Arial" w:cs="Arial"/>
          <w:sz w:val="20"/>
          <w:szCs w:val="16"/>
        </w:rPr>
        <w:br/>
      </w:r>
      <w:r>
        <w:rPr>
          <w:rFonts w:ascii="Arial" w:hAnsi="Arial" w:cs="Arial"/>
          <w:sz w:val="20"/>
          <w:szCs w:val="16"/>
        </w:rPr>
        <w:br/>
        <w:t>О действии настоящей Конвенции см. письмо Высшего Арбитражного Суда РФ от 16 августа 1995 г. N ОМ-230 Статья 1.</w:t>
      </w:r>
      <w:r>
        <w:rPr>
          <w:rFonts w:ascii="Arial" w:hAnsi="Arial" w:cs="Arial"/>
          <w:sz w:val="20"/>
          <w:szCs w:val="16"/>
        </w:rPr>
        <w:br/>
        <w:t xml:space="preserve">Образование Союза; понятие промышленной собственности </w:t>
      </w:r>
    </w:p>
    <w:p w:rsidR="00FD64D5" w:rsidRDefault="00FD64D5">
      <w:pPr>
        <w:numPr>
          <w:ilvl w:val="0"/>
          <w:numId w:val="31"/>
        </w:numPr>
        <w:spacing w:before="100" w:beforeAutospacing="1" w:after="100" w:afterAutospacing="1"/>
        <w:ind w:left="887" w:right="167"/>
        <w:jc w:val="both"/>
        <w:rPr>
          <w:rFonts w:ascii="Arial" w:hAnsi="Arial" w:cs="Arial"/>
          <w:sz w:val="20"/>
          <w:szCs w:val="16"/>
        </w:rPr>
      </w:pPr>
      <w:r>
        <w:rPr>
          <w:rFonts w:ascii="Arial" w:hAnsi="Arial" w:cs="Arial"/>
          <w:sz w:val="20"/>
          <w:szCs w:val="16"/>
        </w:rPr>
        <w:t xml:space="preserve">Страны, к которым применяется настоящая Конвенция, образуют Союз по охране промышленной собственности. </w:t>
      </w:r>
    </w:p>
    <w:p w:rsidR="00FD64D5" w:rsidRDefault="00FD64D5">
      <w:pPr>
        <w:numPr>
          <w:ilvl w:val="0"/>
          <w:numId w:val="31"/>
        </w:numPr>
        <w:spacing w:before="100" w:beforeAutospacing="1" w:after="100" w:afterAutospacing="1"/>
        <w:ind w:left="887" w:right="167"/>
        <w:jc w:val="both"/>
        <w:rPr>
          <w:rFonts w:ascii="Arial" w:hAnsi="Arial" w:cs="Arial"/>
          <w:sz w:val="20"/>
          <w:szCs w:val="16"/>
        </w:rPr>
      </w:pPr>
      <w:r>
        <w:rPr>
          <w:rFonts w:ascii="Arial" w:hAnsi="Arial" w:cs="Arial"/>
          <w:sz w:val="20"/>
          <w:szCs w:val="16"/>
        </w:rPr>
        <w:t xml:space="preserve">Объектами охраны промышленной собственности являются патенты на изобретения, полезные модели, промышленные образцы, товарные знаки, знаки обслуживания, фирменные наименования и указания происхождения или наименования места происхождения, а также пресечение недобросовестной конкуренции. </w:t>
      </w:r>
    </w:p>
    <w:p w:rsidR="00FD64D5" w:rsidRDefault="00FD64D5">
      <w:pPr>
        <w:numPr>
          <w:ilvl w:val="0"/>
          <w:numId w:val="31"/>
        </w:numPr>
        <w:spacing w:before="100" w:beforeAutospacing="1" w:after="100" w:afterAutospacing="1"/>
        <w:ind w:left="887" w:right="167"/>
        <w:jc w:val="both"/>
        <w:rPr>
          <w:rFonts w:ascii="Arial" w:hAnsi="Arial" w:cs="Arial"/>
          <w:sz w:val="20"/>
          <w:szCs w:val="16"/>
        </w:rPr>
      </w:pPr>
      <w:r>
        <w:rPr>
          <w:rFonts w:ascii="Arial" w:hAnsi="Arial" w:cs="Arial"/>
          <w:sz w:val="20"/>
          <w:szCs w:val="16"/>
        </w:rPr>
        <w:t xml:space="preserve">Промышленная собственность понимается в самом широком смысле и распространяется не только на промышленность и торговлю в собственном смысле слова, но также и на области сельскохозяйственного производства и добывающей промышленности и на все продукты промышленного или природного происхождения, как, например: вино, зерно, табачный лист, фрукты, скот, ископаемые, минеральные воды, пиво, цветы, мука. </w:t>
      </w:r>
    </w:p>
    <w:p w:rsidR="00FD64D5" w:rsidRDefault="00FD64D5">
      <w:pPr>
        <w:numPr>
          <w:ilvl w:val="0"/>
          <w:numId w:val="31"/>
        </w:numPr>
        <w:spacing w:before="100" w:beforeAutospacing="1" w:after="100" w:afterAutospacing="1"/>
        <w:ind w:left="887" w:right="167"/>
        <w:jc w:val="both"/>
        <w:rPr>
          <w:rFonts w:ascii="Arial" w:hAnsi="Arial" w:cs="Arial"/>
          <w:sz w:val="20"/>
          <w:szCs w:val="16"/>
        </w:rPr>
      </w:pPr>
      <w:r>
        <w:rPr>
          <w:rFonts w:ascii="Arial" w:hAnsi="Arial" w:cs="Arial"/>
          <w:sz w:val="20"/>
          <w:szCs w:val="16"/>
        </w:rPr>
        <w:t xml:space="preserve">К патентам на изобретения относятся различные виды промышленных патентов, признаваемых законодательством стран Союза, как, например: ввозные патенты, патенты на усовершенствование, дополнительные патенты и свидетельства и т.п. </w:t>
      </w:r>
    </w:p>
    <w:p w:rsidR="00FD64D5" w:rsidRDefault="00FD64D5">
      <w:pPr>
        <w:spacing w:after="335"/>
        <w:ind w:left="167" w:right="167"/>
        <w:jc w:val="both"/>
        <w:rPr>
          <w:rFonts w:ascii="Arial" w:hAnsi="Arial" w:cs="Arial"/>
          <w:sz w:val="20"/>
          <w:szCs w:val="16"/>
        </w:rPr>
      </w:pPr>
      <w:r>
        <w:rPr>
          <w:rFonts w:ascii="Arial" w:hAnsi="Arial" w:cs="Arial"/>
          <w:sz w:val="20"/>
          <w:szCs w:val="16"/>
        </w:rPr>
        <w:t>Статья 2.</w:t>
      </w:r>
      <w:r>
        <w:rPr>
          <w:rFonts w:ascii="Arial" w:hAnsi="Arial" w:cs="Arial"/>
          <w:sz w:val="20"/>
          <w:szCs w:val="16"/>
        </w:rPr>
        <w:br/>
        <w:t>Национальный режим для граждан стран Союза</w:t>
      </w:r>
      <w:r>
        <w:rPr>
          <w:rFonts w:ascii="Arial" w:hAnsi="Arial" w:cs="Arial"/>
          <w:sz w:val="20"/>
          <w:szCs w:val="16"/>
        </w:rPr>
        <w:br/>
      </w:r>
      <w:r>
        <w:rPr>
          <w:rFonts w:ascii="Arial" w:hAnsi="Arial" w:cs="Arial"/>
          <w:sz w:val="20"/>
          <w:szCs w:val="16"/>
        </w:rPr>
        <w:br/>
        <w:t xml:space="preserve">О регулировании отношений, возникающих в связи с созданием, правовой охраной и использованием изобретений, полезных моделей и промышленных образцов в Российской Федерации см. Патентный закон РФ от 23 сентября 1992 г. N 3517-1 </w:t>
      </w:r>
    </w:p>
    <w:p w:rsidR="00FD64D5" w:rsidRDefault="00FD64D5">
      <w:pPr>
        <w:numPr>
          <w:ilvl w:val="0"/>
          <w:numId w:val="32"/>
        </w:numPr>
        <w:spacing w:before="100" w:beforeAutospacing="1" w:after="100" w:afterAutospacing="1"/>
        <w:ind w:left="887" w:right="167"/>
        <w:jc w:val="both"/>
        <w:rPr>
          <w:rFonts w:ascii="Arial" w:hAnsi="Arial" w:cs="Arial"/>
          <w:sz w:val="20"/>
          <w:szCs w:val="16"/>
        </w:rPr>
      </w:pPr>
      <w:r>
        <w:rPr>
          <w:rFonts w:ascii="Arial" w:hAnsi="Arial" w:cs="Arial"/>
          <w:sz w:val="20"/>
          <w:szCs w:val="16"/>
        </w:rPr>
        <w:t xml:space="preserve">В отношении охраны промышленной собственности граждане каждой страны Союза пользуются во всех других странах Союза теми же преимуществами, которые предоставляются в настоящее время или будут предоставлены впоследствии соответствующими законами собственным гражданам, не ущемляя при этом прав, специально предусмотренных настоящей Конвенцией. Исходя из этого, их права будут охраняться так же, как и права граждан данной страны, и они будут пользоваться теми же законными средствами защиты от всякого посягательства на их права, если при этом соблюдены условия и формальности, предписываемые собственным гражданам. </w:t>
      </w:r>
    </w:p>
    <w:p w:rsidR="00FD64D5" w:rsidRDefault="00FD64D5">
      <w:pPr>
        <w:numPr>
          <w:ilvl w:val="0"/>
          <w:numId w:val="32"/>
        </w:numPr>
        <w:spacing w:before="100" w:beforeAutospacing="1" w:after="100" w:afterAutospacing="1"/>
        <w:ind w:left="887" w:right="167"/>
        <w:jc w:val="both"/>
        <w:rPr>
          <w:rFonts w:ascii="Arial" w:hAnsi="Arial" w:cs="Arial"/>
          <w:sz w:val="20"/>
          <w:szCs w:val="16"/>
        </w:rPr>
      </w:pPr>
      <w:r>
        <w:rPr>
          <w:rFonts w:ascii="Arial" w:hAnsi="Arial" w:cs="Arial"/>
          <w:sz w:val="20"/>
          <w:szCs w:val="16"/>
        </w:rPr>
        <w:t xml:space="preserve">Однако никакие условия о месте жительства или наличие предприятия в стране, где испрашивается охрана, не могут быть поставлены гражданам стран Союза в качестве предпосылки для пользования каким-либо из прав промышленной собственности. </w:t>
      </w:r>
    </w:p>
    <w:p w:rsidR="00FD64D5" w:rsidRDefault="00FD64D5">
      <w:pPr>
        <w:numPr>
          <w:ilvl w:val="0"/>
          <w:numId w:val="32"/>
        </w:numPr>
        <w:spacing w:before="100" w:beforeAutospacing="1" w:after="100" w:afterAutospacing="1"/>
        <w:ind w:left="887" w:right="167"/>
        <w:jc w:val="both"/>
        <w:rPr>
          <w:rFonts w:ascii="Arial" w:hAnsi="Arial" w:cs="Arial"/>
          <w:sz w:val="20"/>
          <w:szCs w:val="16"/>
        </w:rPr>
      </w:pPr>
      <w:r>
        <w:rPr>
          <w:rFonts w:ascii="Arial" w:hAnsi="Arial" w:cs="Arial"/>
          <w:sz w:val="20"/>
          <w:szCs w:val="16"/>
        </w:rPr>
        <w:t xml:space="preserve">Безусловно, сохраняются положения законодательства каждой из стран Союза, относящиеся к судебной и административной процедуре и к компетенции судебных и административных органов, а также к выбору местожительства или к назначению поверенного, соблюдение которых требуется на основании законов о промышленной собственности. </w:t>
      </w:r>
    </w:p>
    <w:p w:rsidR="00FD64D5" w:rsidRDefault="00FD64D5">
      <w:pPr>
        <w:pStyle w:val="a3"/>
        <w:jc w:val="both"/>
        <w:rPr>
          <w:rFonts w:ascii="Arial" w:hAnsi="Arial" w:cs="Arial"/>
          <w:sz w:val="20"/>
        </w:rPr>
      </w:pPr>
      <w:r>
        <w:rPr>
          <w:rFonts w:ascii="Arial" w:hAnsi="Arial" w:cs="Arial" w:hint="eastAsia"/>
          <w:sz w:val="20"/>
        </w:rPr>
        <w:t>Основным</w:t>
      </w:r>
      <w:r>
        <w:rPr>
          <w:rFonts w:ascii="Arial" w:hAnsi="Arial" w:cs="Arial" w:hint="eastAsia"/>
          <w:sz w:val="20"/>
        </w:rPr>
        <w:t xml:space="preserve"> </w:t>
      </w:r>
      <w:r>
        <w:rPr>
          <w:rFonts w:ascii="Arial" w:hAnsi="Arial" w:cs="Arial" w:hint="eastAsia"/>
          <w:sz w:val="20"/>
        </w:rPr>
        <w:t>международным</w:t>
      </w:r>
      <w:r>
        <w:rPr>
          <w:rFonts w:ascii="Arial" w:hAnsi="Arial" w:cs="Arial" w:hint="eastAsia"/>
          <w:sz w:val="20"/>
        </w:rPr>
        <w:t xml:space="preserve"> </w:t>
      </w:r>
      <w:r>
        <w:rPr>
          <w:rFonts w:ascii="Arial" w:hAnsi="Arial" w:cs="Arial" w:hint="eastAsia"/>
          <w:sz w:val="20"/>
        </w:rPr>
        <w:t>соглашением</w:t>
      </w:r>
      <w:r>
        <w:rPr>
          <w:rFonts w:ascii="Arial" w:hAnsi="Arial" w:cs="Arial" w:hint="eastAsia"/>
          <w:sz w:val="20"/>
        </w:rPr>
        <w:t xml:space="preserve">, </w:t>
      </w:r>
      <w:r>
        <w:rPr>
          <w:rFonts w:ascii="Arial" w:hAnsi="Arial" w:cs="Arial" w:hint="eastAsia"/>
          <w:sz w:val="20"/>
        </w:rPr>
        <w:t>регулирующим</w:t>
      </w:r>
      <w:r>
        <w:rPr>
          <w:rFonts w:ascii="Arial" w:hAnsi="Arial" w:cs="Arial" w:hint="eastAsia"/>
          <w:sz w:val="20"/>
        </w:rPr>
        <w:t xml:space="preserve"> </w:t>
      </w:r>
      <w:r>
        <w:rPr>
          <w:rFonts w:ascii="Arial" w:hAnsi="Arial" w:cs="Arial" w:hint="eastAsia"/>
          <w:sz w:val="20"/>
        </w:rPr>
        <w:t>вопросы</w:t>
      </w:r>
      <w:r>
        <w:rPr>
          <w:rFonts w:ascii="Arial" w:hAnsi="Arial" w:cs="Arial" w:hint="eastAsia"/>
          <w:sz w:val="20"/>
        </w:rPr>
        <w:t xml:space="preserve"> </w:t>
      </w:r>
      <w:r>
        <w:rPr>
          <w:rFonts w:ascii="Arial" w:hAnsi="Arial" w:cs="Arial" w:hint="eastAsia"/>
          <w:sz w:val="20"/>
        </w:rPr>
        <w:t>охраны</w:t>
      </w:r>
      <w:r>
        <w:rPr>
          <w:rFonts w:ascii="Arial" w:hAnsi="Arial" w:cs="Arial" w:hint="eastAsia"/>
          <w:sz w:val="20"/>
        </w:rPr>
        <w:t xml:space="preserve"> </w:t>
      </w:r>
      <w:r>
        <w:rPr>
          <w:rFonts w:ascii="Arial" w:hAnsi="Arial" w:cs="Arial" w:hint="eastAsia"/>
          <w:sz w:val="20"/>
        </w:rPr>
        <w:t>прав</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изобретения</w:t>
      </w:r>
      <w:r>
        <w:rPr>
          <w:rFonts w:ascii="Arial" w:hAnsi="Arial" w:cs="Arial" w:hint="eastAsia"/>
          <w:sz w:val="20"/>
        </w:rPr>
        <w:t xml:space="preserve">, </w:t>
      </w:r>
      <w:r>
        <w:rPr>
          <w:rFonts w:ascii="Arial" w:hAnsi="Arial" w:cs="Arial" w:hint="eastAsia"/>
          <w:sz w:val="20"/>
        </w:rPr>
        <w:t>товарные</w:t>
      </w:r>
      <w:r>
        <w:rPr>
          <w:rFonts w:ascii="Arial" w:hAnsi="Arial" w:cs="Arial" w:hint="eastAsia"/>
          <w:sz w:val="20"/>
        </w:rPr>
        <w:t xml:space="preserve"> </w:t>
      </w:r>
      <w:r>
        <w:rPr>
          <w:rFonts w:ascii="Arial" w:hAnsi="Arial" w:cs="Arial" w:hint="eastAsia"/>
          <w:sz w:val="20"/>
        </w:rPr>
        <w:t>знаки</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иные</w:t>
      </w:r>
      <w:r>
        <w:rPr>
          <w:rFonts w:ascii="Arial" w:hAnsi="Arial" w:cs="Arial" w:hint="eastAsia"/>
          <w:sz w:val="20"/>
        </w:rPr>
        <w:t xml:space="preserve"> </w:t>
      </w:r>
      <w:r>
        <w:rPr>
          <w:rFonts w:ascii="Arial" w:hAnsi="Arial" w:cs="Arial" w:hint="eastAsia"/>
          <w:sz w:val="20"/>
        </w:rPr>
        <w:t>объекты</w:t>
      </w:r>
      <w:r>
        <w:rPr>
          <w:rFonts w:ascii="Arial" w:hAnsi="Arial" w:cs="Arial" w:hint="eastAsia"/>
          <w:sz w:val="20"/>
        </w:rPr>
        <w:t xml:space="preserve"> </w:t>
      </w:r>
      <w:r>
        <w:rPr>
          <w:rFonts w:ascii="Arial" w:hAnsi="Arial" w:cs="Arial" w:hint="eastAsia"/>
          <w:sz w:val="20"/>
        </w:rPr>
        <w:t>промышленной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является</w:t>
      </w:r>
      <w:r>
        <w:rPr>
          <w:rFonts w:ascii="Arial" w:hAnsi="Arial" w:cs="Arial" w:hint="eastAsia"/>
          <w:sz w:val="20"/>
        </w:rPr>
        <w:t xml:space="preserve"> </w:t>
      </w:r>
      <w:r>
        <w:rPr>
          <w:rFonts w:ascii="Arial" w:hAnsi="Arial" w:cs="Arial" w:hint="eastAsia"/>
          <w:b/>
          <w:bCs/>
          <w:sz w:val="20"/>
        </w:rPr>
        <w:t>Парижская</w:t>
      </w:r>
      <w:r>
        <w:rPr>
          <w:rFonts w:ascii="Arial" w:hAnsi="Arial" w:cs="Arial" w:hint="eastAsia"/>
          <w:b/>
          <w:bCs/>
          <w:sz w:val="20"/>
        </w:rPr>
        <w:t xml:space="preserve"> </w:t>
      </w:r>
      <w:r>
        <w:rPr>
          <w:rFonts w:ascii="Arial" w:hAnsi="Arial" w:cs="Arial" w:hint="eastAsia"/>
          <w:b/>
          <w:bCs/>
          <w:sz w:val="20"/>
        </w:rPr>
        <w:t>конвенция</w:t>
      </w:r>
      <w:r>
        <w:rPr>
          <w:rFonts w:ascii="Arial" w:hAnsi="Arial" w:cs="Arial" w:hint="eastAsia"/>
          <w:b/>
          <w:bCs/>
          <w:sz w:val="20"/>
        </w:rPr>
        <w:t xml:space="preserve"> </w:t>
      </w:r>
      <w:r>
        <w:rPr>
          <w:rFonts w:ascii="Arial" w:hAnsi="Arial" w:cs="Arial" w:hint="eastAsia"/>
          <w:b/>
          <w:bCs/>
          <w:sz w:val="20"/>
        </w:rPr>
        <w:t>по</w:t>
      </w:r>
      <w:r>
        <w:rPr>
          <w:rFonts w:ascii="Arial" w:hAnsi="Arial" w:cs="Arial" w:hint="eastAsia"/>
          <w:b/>
          <w:bCs/>
          <w:sz w:val="20"/>
        </w:rPr>
        <w:t xml:space="preserve"> </w:t>
      </w:r>
      <w:r>
        <w:rPr>
          <w:rFonts w:ascii="Arial" w:hAnsi="Arial" w:cs="Arial" w:hint="eastAsia"/>
          <w:b/>
          <w:bCs/>
          <w:sz w:val="20"/>
        </w:rPr>
        <w:t>охране</w:t>
      </w:r>
      <w:r>
        <w:rPr>
          <w:rFonts w:ascii="Arial" w:hAnsi="Arial" w:cs="Arial" w:hint="eastAsia"/>
          <w:b/>
          <w:bCs/>
          <w:sz w:val="20"/>
        </w:rPr>
        <w:t xml:space="preserve"> </w:t>
      </w:r>
      <w:r>
        <w:rPr>
          <w:rFonts w:ascii="Arial" w:hAnsi="Arial" w:cs="Arial" w:hint="eastAsia"/>
          <w:b/>
          <w:bCs/>
          <w:sz w:val="20"/>
        </w:rPr>
        <w:t>промышленной</w:t>
      </w:r>
      <w:r>
        <w:rPr>
          <w:rFonts w:ascii="Arial" w:hAnsi="Arial" w:cs="Arial" w:hint="eastAsia"/>
          <w:b/>
          <w:bCs/>
          <w:sz w:val="20"/>
        </w:rPr>
        <w:t xml:space="preserve"> </w:t>
      </w:r>
      <w:r>
        <w:rPr>
          <w:rFonts w:ascii="Arial" w:hAnsi="Arial" w:cs="Arial" w:hint="eastAsia"/>
          <w:b/>
          <w:bCs/>
          <w:sz w:val="20"/>
        </w:rPr>
        <w:t>собственности</w:t>
      </w:r>
      <w:r>
        <w:rPr>
          <w:rFonts w:ascii="Arial" w:hAnsi="Arial" w:cs="Arial" w:hint="eastAsia"/>
          <w:b/>
          <w:bCs/>
          <w:sz w:val="20"/>
        </w:rPr>
        <w:t xml:space="preserve"> 1883 </w:t>
      </w:r>
      <w:r>
        <w:rPr>
          <w:rFonts w:ascii="Arial" w:hAnsi="Arial" w:cs="Arial" w:hint="eastAsia"/>
          <w:b/>
          <w:bCs/>
          <w:sz w:val="20"/>
        </w:rPr>
        <w:t>года</w:t>
      </w:r>
      <w:r>
        <w:rPr>
          <w:rFonts w:ascii="Arial" w:hAnsi="Arial" w:cs="Arial" w:hint="eastAsia"/>
          <w:sz w:val="20"/>
        </w:rPr>
        <w:t xml:space="preserve">. </w:t>
      </w:r>
      <w:r>
        <w:rPr>
          <w:rFonts w:ascii="Arial" w:hAnsi="Arial" w:cs="Arial" w:hint="eastAsia"/>
          <w:sz w:val="20"/>
        </w:rPr>
        <w:t>Она</w:t>
      </w:r>
      <w:r>
        <w:rPr>
          <w:rFonts w:ascii="Arial" w:hAnsi="Arial" w:cs="Arial" w:hint="eastAsia"/>
          <w:sz w:val="20"/>
        </w:rPr>
        <w:t xml:space="preserve"> </w:t>
      </w:r>
      <w:r>
        <w:rPr>
          <w:rFonts w:ascii="Arial" w:hAnsi="Arial" w:cs="Arial" w:hint="eastAsia"/>
          <w:sz w:val="20"/>
        </w:rPr>
        <w:t>неоднократно</w:t>
      </w:r>
      <w:r>
        <w:rPr>
          <w:rFonts w:ascii="Arial" w:hAnsi="Arial" w:cs="Arial" w:hint="eastAsia"/>
          <w:sz w:val="20"/>
        </w:rPr>
        <w:t xml:space="preserve"> </w:t>
      </w:r>
      <w:r>
        <w:rPr>
          <w:rFonts w:ascii="Arial" w:hAnsi="Arial" w:cs="Arial" w:hint="eastAsia"/>
          <w:sz w:val="20"/>
        </w:rPr>
        <w:t>пересматривалась</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дополнялась</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международных</w:t>
      </w:r>
      <w:r>
        <w:rPr>
          <w:rFonts w:ascii="Arial" w:hAnsi="Arial" w:cs="Arial" w:hint="eastAsia"/>
          <w:sz w:val="20"/>
        </w:rPr>
        <w:t xml:space="preserve"> </w:t>
      </w:r>
      <w:r>
        <w:rPr>
          <w:rFonts w:ascii="Arial" w:hAnsi="Arial" w:cs="Arial" w:hint="eastAsia"/>
          <w:sz w:val="20"/>
        </w:rPr>
        <w:t>конференциях</w:t>
      </w:r>
      <w:r>
        <w:rPr>
          <w:rFonts w:ascii="Arial" w:hAnsi="Arial" w:cs="Arial" w:hint="eastAsia"/>
          <w:sz w:val="20"/>
        </w:rPr>
        <w:t xml:space="preserve">. </w:t>
      </w:r>
      <w:r>
        <w:rPr>
          <w:rFonts w:ascii="Arial" w:hAnsi="Arial" w:cs="Arial" w:hint="eastAsia"/>
          <w:sz w:val="20"/>
        </w:rPr>
        <w:t>Участники</w:t>
      </w:r>
      <w:r>
        <w:rPr>
          <w:rFonts w:ascii="Arial" w:hAnsi="Arial" w:cs="Arial" w:hint="eastAsia"/>
          <w:sz w:val="20"/>
        </w:rPr>
        <w:t xml:space="preserve">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образовали</w:t>
      </w:r>
      <w:r>
        <w:rPr>
          <w:rFonts w:ascii="Arial" w:hAnsi="Arial" w:cs="Arial" w:hint="eastAsia"/>
          <w:sz w:val="20"/>
        </w:rPr>
        <w:t xml:space="preserve"> </w:t>
      </w:r>
      <w:r>
        <w:rPr>
          <w:rFonts w:ascii="Arial" w:hAnsi="Arial" w:cs="Arial" w:hint="eastAsia"/>
          <w:sz w:val="20"/>
        </w:rPr>
        <w:t>Международный</w:t>
      </w:r>
      <w:r>
        <w:rPr>
          <w:rFonts w:ascii="Arial" w:hAnsi="Arial" w:cs="Arial" w:hint="eastAsia"/>
          <w:sz w:val="20"/>
        </w:rPr>
        <w:t xml:space="preserve"> </w:t>
      </w:r>
      <w:r>
        <w:rPr>
          <w:rFonts w:ascii="Arial" w:hAnsi="Arial" w:cs="Arial" w:hint="eastAsia"/>
          <w:sz w:val="20"/>
        </w:rPr>
        <w:t>союз</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 xml:space="preserve"> </w:t>
      </w:r>
      <w:r>
        <w:rPr>
          <w:rFonts w:ascii="Arial" w:hAnsi="Arial" w:cs="Arial" w:hint="eastAsia"/>
          <w:sz w:val="20"/>
        </w:rPr>
        <w:t>охране</w:t>
      </w:r>
      <w:r>
        <w:rPr>
          <w:rFonts w:ascii="Arial" w:hAnsi="Arial" w:cs="Arial" w:hint="eastAsia"/>
          <w:sz w:val="20"/>
        </w:rPr>
        <w:t xml:space="preserve"> </w:t>
      </w:r>
      <w:r>
        <w:rPr>
          <w:rFonts w:ascii="Arial" w:hAnsi="Arial" w:cs="Arial" w:hint="eastAsia"/>
          <w:sz w:val="20"/>
        </w:rPr>
        <w:t>промышленной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Парижский</w:t>
      </w:r>
      <w:r>
        <w:rPr>
          <w:rFonts w:ascii="Arial" w:hAnsi="Arial" w:cs="Arial" w:hint="eastAsia"/>
          <w:sz w:val="20"/>
        </w:rPr>
        <w:t xml:space="preserve"> </w:t>
      </w:r>
      <w:r>
        <w:rPr>
          <w:rFonts w:ascii="Arial" w:hAnsi="Arial" w:cs="Arial" w:hint="eastAsia"/>
          <w:sz w:val="20"/>
        </w:rPr>
        <w:t>союз</w:t>
      </w:r>
      <w:r>
        <w:rPr>
          <w:rFonts w:ascii="Arial" w:hAnsi="Arial" w:cs="Arial" w:hint="eastAsia"/>
          <w:sz w:val="20"/>
        </w:rPr>
        <w:t xml:space="preserve">). </w:t>
      </w:r>
      <w:r>
        <w:rPr>
          <w:rFonts w:ascii="Arial" w:hAnsi="Arial" w:cs="Arial" w:hint="eastAsia"/>
          <w:sz w:val="20"/>
        </w:rPr>
        <w:t>СССР</w:t>
      </w:r>
      <w:r>
        <w:rPr>
          <w:rFonts w:ascii="Arial" w:hAnsi="Arial" w:cs="Arial" w:hint="eastAsia"/>
          <w:sz w:val="20"/>
        </w:rPr>
        <w:t xml:space="preserve"> </w:t>
      </w:r>
      <w:r>
        <w:rPr>
          <w:rFonts w:ascii="Arial" w:hAnsi="Arial" w:cs="Arial" w:hint="eastAsia"/>
          <w:sz w:val="20"/>
        </w:rPr>
        <w:t>присоединился</w:t>
      </w:r>
      <w:r>
        <w:rPr>
          <w:rFonts w:ascii="Arial" w:hAnsi="Arial" w:cs="Arial" w:hint="eastAsia"/>
          <w:sz w:val="20"/>
        </w:rPr>
        <w:t xml:space="preserve"> </w:t>
      </w:r>
      <w:r>
        <w:rPr>
          <w:rFonts w:ascii="Arial" w:hAnsi="Arial" w:cs="Arial" w:hint="eastAsia"/>
          <w:sz w:val="20"/>
        </w:rPr>
        <w:t>к</w:t>
      </w:r>
      <w:r>
        <w:rPr>
          <w:rFonts w:ascii="Arial" w:hAnsi="Arial" w:cs="Arial" w:hint="eastAsia"/>
          <w:sz w:val="20"/>
        </w:rPr>
        <w:t xml:space="preserve">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1965 </w:t>
      </w:r>
      <w:r>
        <w:rPr>
          <w:rFonts w:ascii="Arial" w:hAnsi="Arial" w:cs="Arial" w:hint="eastAsia"/>
          <w:sz w:val="20"/>
        </w:rPr>
        <w:t>году</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Парижский</w:t>
      </w:r>
      <w:r>
        <w:rPr>
          <w:rFonts w:ascii="Arial" w:hAnsi="Arial" w:cs="Arial" w:hint="eastAsia"/>
          <w:sz w:val="20"/>
        </w:rPr>
        <w:t xml:space="preserve"> </w:t>
      </w:r>
      <w:r>
        <w:rPr>
          <w:rFonts w:ascii="Arial" w:hAnsi="Arial" w:cs="Arial" w:hint="eastAsia"/>
          <w:sz w:val="20"/>
        </w:rPr>
        <w:t>союз</w:t>
      </w:r>
      <w:r>
        <w:rPr>
          <w:rFonts w:ascii="Arial" w:hAnsi="Arial" w:cs="Arial" w:hint="eastAsia"/>
          <w:sz w:val="20"/>
        </w:rPr>
        <w:t xml:space="preserve"> </w:t>
      </w:r>
      <w:r>
        <w:rPr>
          <w:rFonts w:ascii="Arial" w:hAnsi="Arial" w:cs="Arial" w:hint="eastAsia"/>
          <w:sz w:val="20"/>
        </w:rPr>
        <w:t>входит</w:t>
      </w:r>
      <w:r>
        <w:rPr>
          <w:rFonts w:ascii="Arial" w:hAnsi="Arial" w:cs="Arial" w:hint="eastAsia"/>
          <w:sz w:val="20"/>
        </w:rPr>
        <w:t xml:space="preserve"> </w:t>
      </w:r>
      <w:r>
        <w:rPr>
          <w:rFonts w:ascii="Arial" w:hAnsi="Arial" w:cs="Arial" w:hint="eastAsia"/>
          <w:sz w:val="20"/>
        </w:rPr>
        <w:t>более</w:t>
      </w:r>
      <w:r>
        <w:rPr>
          <w:rFonts w:ascii="Arial" w:hAnsi="Arial" w:cs="Arial" w:hint="eastAsia"/>
          <w:sz w:val="20"/>
        </w:rPr>
        <w:t xml:space="preserve"> </w:t>
      </w:r>
      <w:r>
        <w:rPr>
          <w:rFonts w:ascii="Arial" w:hAnsi="Arial" w:cs="Arial" w:hint="eastAsia"/>
          <w:sz w:val="20"/>
        </w:rPr>
        <w:t>ста</w:t>
      </w:r>
      <w:r>
        <w:rPr>
          <w:rFonts w:ascii="Arial" w:hAnsi="Arial" w:cs="Arial" w:hint="eastAsia"/>
          <w:sz w:val="20"/>
        </w:rPr>
        <w:t xml:space="preserve"> </w:t>
      </w:r>
      <w:r>
        <w:rPr>
          <w:rFonts w:ascii="Arial" w:hAnsi="Arial" w:cs="Arial" w:hint="eastAsia"/>
          <w:sz w:val="20"/>
        </w:rPr>
        <w:t>государств</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Одним</w:t>
      </w:r>
      <w:r>
        <w:rPr>
          <w:rFonts w:ascii="Arial" w:hAnsi="Arial" w:cs="Arial" w:hint="eastAsia"/>
          <w:sz w:val="20"/>
        </w:rPr>
        <w:t xml:space="preserve"> </w:t>
      </w:r>
      <w:r>
        <w:rPr>
          <w:rFonts w:ascii="Arial" w:hAnsi="Arial" w:cs="Arial" w:hint="eastAsia"/>
          <w:sz w:val="20"/>
        </w:rPr>
        <w:t>из</w:t>
      </w:r>
      <w:r>
        <w:rPr>
          <w:rFonts w:ascii="Arial" w:hAnsi="Arial" w:cs="Arial" w:hint="eastAsia"/>
          <w:sz w:val="20"/>
        </w:rPr>
        <w:t xml:space="preserve"> </w:t>
      </w:r>
      <w:r>
        <w:rPr>
          <w:rFonts w:ascii="Arial" w:hAnsi="Arial" w:cs="Arial" w:hint="eastAsia"/>
          <w:sz w:val="20"/>
        </w:rPr>
        <w:t>основных</w:t>
      </w:r>
      <w:r>
        <w:rPr>
          <w:rFonts w:ascii="Arial" w:hAnsi="Arial" w:cs="Arial" w:hint="eastAsia"/>
          <w:sz w:val="20"/>
        </w:rPr>
        <w:t xml:space="preserve"> </w:t>
      </w:r>
      <w:r>
        <w:rPr>
          <w:rFonts w:ascii="Arial" w:hAnsi="Arial" w:cs="Arial" w:hint="eastAsia"/>
          <w:sz w:val="20"/>
        </w:rPr>
        <w:t>принципов</w:t>
      </w:r>
      <w:r>
        <w:rPr>
          <w:rFonts w:ascii="Arial" w:hAnsi="Arial" w:cs="Arial" w:hint="eastAsia"/>
          <w:sz w:val="20"/>
        </w:rPr>
        <w:t xml:space="preserve"> </w:t>
      </w:r>
      <w:r>
        <w:rPr>
          <w:rFonts w:ascii="Arial" w:hAnsi="Arial" w:cs="Arial" w:hint="eastAsia"/>
          <w:sz w:val="20"/>
        </w:rPr>
        <w:t>Парижской</w:t>
      </w:r>
      <w:r>
        <w:rPr>
          <w:rFonts w:ascii="Arial" w:hAnsi="Arial" w:cs="Arial" w:hint="eastAsia"/>
          <w:sz w:val="20"/>
        </w:rPr>
        <w:t xml:space="preserve">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является</w:t>
      </w:r>
      <w:r>
        <w:rPr>
          <w:rFonts w:ascii="Arial" w:hAnsi="Arial" w:cs="Arial" w:hint="eastAsia"/>
          <w:sz w:val="20"/>
        </w:rPr>
        <w:t xml:space="preserve"> </w:t>
      </w:r>
      <w:r>
        <w:rPr>
          <w:rFonts w:ascii="Arial" w:hAnsi="Arial" w:cs="Arial" w:hint="eastAsia"/>
          <w:b/>
          <w:bCs/>
          <w:sz w:val="20"/>
        </w:rPr>
        <w:t>принцип</w:t>
      </w:r>
      <w:r>
        <w:rPr>
          <w:rFonts w:ascii="Arial" w:hAnsi="Arial" w:cs="Arial" w:hint="eastAsia"/>
          <w:b/>
          <w:bCs/>
          <w:sz w:val="20"/>
        </w:rPr>
        <w:t xml:space="preserve"> </w:t>
      </w:r>
      <w:r>
        <w:rPr>
          <w:rFonts w:ascii="Arial" w:hAnsi="Arial" w:cs="Arial" w:hint="eastAsia"/>
          <w:b/>
          <w:bCs/>
          <w:sz w:val="20"/>
        </w:rPr>
        <w:t>национального</w:t>
      </w:r>
      <w:r>
        <w:rPr>
          <w:rFonts w:ascii="Arial" w:hAnsi="Arial" w:cs="Arial" w:hint="eastAsia"/>
          <w:b/>
          <w:bCs/>
          <w:sz w:val="20"/>
        </w:rPr>
        <w:t xml:space="preserve"> </w:t>
      </w:r>
      <w:r>
        <w:rPr>
          <w:rFonts w:ascii="Arial" w:hAnsi="Arial" w:cs="Arial" w:hint="eastAsia"/>
          <w:b/>
          <w:bCs/>
          <w:sz w:val="20"/>
        </w:rPr>
        <w:t>режима</w:t>
      </w:r>
      <w:r>
        <w:rPr>
          <w:rFonts w:ascii="Arial" w:hAnsi="Arial" w:cs="Arial" w:hint="eastAsia"/>
          <w:sz w:val="20"/>
        </w:rPr>
        <w:t xml:space="preserve">. </w:t>
      </w:r>
      <w:r>
        <w:rPr>
          <w:rFonts w:ascii="Arial" w:hAnsi="Arial" w:cs="Arial" w:hint="eastAsia"/>
          <w:sz w:val="20"/>
        </w:rPr>
        <w:t>Конвенция</w:t>
      </w:r>
      <w:r>
        <w:rPr>
          <w:rFonts w:ascii="Arial" w:hAnsi="Arial" w:cs="Arial" w:hint="eastAsia"/>
          <w:sz w:val="20"/>
        </w:rPr>
        <w:t xml:space="preserve"> </w:t>
      </w:r>
      <w:r>
        <w:rPr>
          <w:rFonts w:ascii="Arial" w:hAnsi="Arial" w:cs="Arial" w:hint="eastAsia"/>
          <w:sz w:val="20"/>
        </w:rPr>
        <w:t>предусматривает</w:t>
      </w:r>
      <w:r>
        <w:rPr>
          <w:rFonts w:ascii="Arial" w:hAnsi="Arial" w:cs="Arial" w:hint="eastAsia"/>
          <w:sz w:val="20"/>
        </w:rPr>
        <w:t xml:space="preserve"> </w:t>
      </w:r>
      <w:r>
        <w:rPr>
          <w:rFonts w:ascii="Arial" w:hAnsi="Arial" w:cs="Arial" w:hint="eastAsia"/>
          <w:sz w:val="20"/>
        </w:rPr>
        <w:t>предоставление</w:t>
      </w:r>
      <w:r>
        <w:rPr>
          <w:rFonts w:ascii="Arial" w:hAnsi="Arial" w:cs="Arial" w:hint="eastAsia"/>
          <w:sz w:val="20"/>
        </w:rPr>
        <w:t xml:space="preserve"> </w:t>
      </w:r>
      <w:r>
        <w:rPr>
          <w:rFonts w:ascii="Arial" w:hAnsi="Arial" w:cs="Arial" w:hint="eastAsia"/>
          <w:sz w:val="20"/>
        </w:rPr>
        <w:t>физическим</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юридическим</w:t>
      </w:r>
      <w:r>
        <w:rPr>
          <w:rFonts w:ascii="Arial" w:hAnsi="Arial" w:cs="Arial" w:hint="eastAsia"/>
          <w:sz w:val="20"/>
        </w:rPr>
        <w:t xml:space="preserve"> </w:t>
      </w:r>
      <w:r>
        <w:rPr>
          <w:rFonts w:ascii="Arial" w:hAnsi="Arial" w:cs="Arial" w:hint="eastAsia"/>
          <w:sz w:val="20"/>
        </w:rPr>
        <w:t>лицам</w:t>
      </w:r>
      <w:r>
        <w:rPr>
          <w:rFonts w:ascii="Arial" w:hAnsi="Arial" w:cs="Arial" w:hint="eastAsia"/>
          <w:sz w:val="20"/>
        </w:rPr>
        <w:t xml:space="preserve"> </w:t>
      </w:r>
      <w:r>
        <w:rPr>
          <w:rFonts w:ascii="Arial" w:hAnsi="Arial" w:cs="Arial" w:hint="eastAsia"/>
          <w:sz w:val="20"/>
        </w:rPr>
        <w:t>любой</w:t>
      </w:r>
      <w:r>
        <w:rPr>
          <w:rFonts w:ascii="Arial" w:hAnsi="Arial" w:cs="Arial" w:hint="eastAsia"/>
          <w:sz w:val="20"/>
        </w:rPr>
        <w:t xml:space="preserve"> </w:t>
      </w:r>
      <w:r>
        <w:rPr>
          <w:rFonts w:ascii="Arial" w:hAnsi="Arial" w:cs="Arial" w:hint="eastAsia"/>
          <w:sz w:val="20"/>
        </w:rPr>
        <w:t>страны</w:t>
      </w:r>
      <w:r>
        <w:rPr>
          <w:rFonts w:ascii="Arial" w:hAnsi="Arial" w:cs="Arial" w:hint="eastAsia"/>
          <w:sz w:val="20"/>
        </w:rPr>
        <w:t>-</w:t>
      </w:r>
      <w:r>
        <w:rPr>
          <w:rFonts w:ascii="Arial" w:hAnsi="Arial" w:cs="Arial" w:hint="eastAsia"/>
          <w:sz w:val="20"/>
        </w:rPr>
        <w:t>участницы</w:t>
      </w:r>
      <w:r>
        <w:rPr>
          <w:rFonts w:ascii="Arial" w:hAnsi="Arial" w:cs="Arial" w:hint="eastAsia"/>
          <w:sz w:val="20"/>
        </w:rPr>
        <w:t xml:space="preserve"> </w:t>
      </w:r>
      <w:r>
        <w:rPr>
          <w:rFonts w:ascii="Arial" w:hAnsi="Arial" w:cs="Arial" w:hint="eastAsia"/>
          <w:sz w:val="20"/>
        </w:rPr>
        <w:t>такой</w:t>
      </w:r>
      <w:r>
        <w:rPr>
          <w:rFonts w:ascii="Arial" w:hAnsi="Arial" w:cs="Arial" w:hint="eastAsia"/>
          <w:sz w:val="20"/>
        </w:rPr>
        <w:t xml:space="preserve"> </w:t>
      </w:r>
      <w:r>
        <w:rPr>
          <w:rFonts w:ascii="Arial" w:hAnsi="Arial" w:cs="Arial" w:hint="eastAsia"/>
          <w:sz w:val="20"/>
        </w:rPr>
        <w:t>же</w:t>
      </w:r>
      <w:r>
        <w:rPr>
          <w:rFonts w:ascii="Arial" w:hAnsi="Arial" w:cs="Arial" w:hint="eastAsia"/>
          <w:sz w:val="20"/>
        </w:rPr>
        <w:t xml:space="preserve"> </w:t>
      </w:r>
      <w:r>
        <w:rPr>
          <w:rFonts w:ascii="Arial" w:hAnsi="Arial" w:cs="Arial" w:hint="eastAsia"/>
          <w:sz w:val="20"/>
        </w:rPr>
        <w:t>охраны</w:t>
      </w:r>
      <w:r>
        <w:rPr>
          <w:rFonts w:ascii="Arial" w:hAnsi="Arial" w:cs="Arial" w:hint="eastAsia"/>
          <w:sz w:val="20"/>
        </w:rPr>
        <w:t xml:space="preserve"> </w:t>
      </w:r>
      <w:r>
        <w:rPr>
          <w:rFonts w:ascii="Arial" w:hAnsi="Arial" w:cs="Arial" w:hint="eastAsia"/>
          <w:sz w:val="20"/>
        </w:rPr>
        <w:t>их</w:t>
      </w:r>
      <w:r>
        <w:rPr>
          <w:rFonts w:ascii="Arial" w:hAnsi="Arial" w:cs="Arial" w:hint="eastAsia"/>
          <w:sz w:val="20"/>
        </w:rPr>
        <w:t xml:space="preserve"> </w:t>
      </w:r>
      <w:r>
        <w:rPr>
          <w:rFonts w:ascii="Arial" w:hAnsi="Arial" w:cs="Arial" w:hint="eastAsia"/>
          <w:sz w:val="20"/>
        </w:rPr>
        <w:t>промышленной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w:t>
      </w:r>
      <w:r>
        <w:rPr>
          <w:rFonts w:ascii="Arial" w:hAnsi="Arial" w:cs="Arial" w:hint="eastAsia"/>
          <w:sz w:val="20"/>
        </w:rPr>
        <w:t>какая</w:t>
      </w:r>
      <w:r>
        <w:rPr>
          <w:rFonts w:ascii="Arial" w:hAnsi="Arial" w:cs="Arial" w:hint="eastAsia"/>
          <w:sz w:val="20"/>
        </w:rPr>
        <w:t xml:space="preserve"> </w:t>
      </w:r>
      <w:r>
        <w:rPr>
          <w:rFonts w:ascii="Arial" w:hAnsi="Arial" w:cs="Arial" w:hint="eastAsia"/>
          <w:sz w:val="20"/>
        </w:rPr>
        <w:t>предоставляется</w:t>
      </w:r>
      <w:r>
        <w:rPr>
          <w:rFonts w:ascii="Arial" w:hAnsi="Arial" w:cs="Arial" w:hint="eastAsia"/>
          <w:sz w:val="20"/>
        </w:rPr>
        <w:t xml:space="preserve"> </w:t>
      </w:r>
      <w:r>
        <w:rPr>
          <w:rFonts w:ascii="Arial" w:hAnsi="Arial" w:cs="Arial" w:hint="eastAsia"/>
          <w:sz w:val="20"/>
        </w:rPr>
        <w:t>или</w:t>
      </w:r>
      <w:r>
        <w:rPr>
          <w:rFonts w:ascii="Arial" w:hAnsi="Arial" w:cs="Arial" w:hint="eastAsia"/>
          <w:sz w:val="20"/>
        </w:rPr>
        <w:t xml:space="preserve"> </w:t>
      </w:r>
      <w:r>
        <w:rPr>
          <w:rFonts w:ascii="Arial" w:hAnsi="Arial" w:cs="Arial" w:hint="eastAsia"/>
          <w:sz w:val="20"/>
        </w:rPr>
        <w:t>будет</w:t>
      </w:r>
      <w:r>
        <w:rPr>
          <w:rFonts w:ascii="Arial" w:hAnsi="Arial" w:cs="Arial" w:hint="eastAsia"/>
          <w:sz w:val="20"/>
        </w:rPr>
        <w:t xml:space="preserve"> </w:t>
      </w:r>
      <w:r>
        <w:rPr>
          <w:rFonts w:ascii="Arial" w:hAnsi="Arial" w:cs="Arial" w:hint="eastAsia"/>
          <w:sz w:val="20"/>
        </w:rPr>
        <w:t>предоставляться</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будущем</w:t>
      </w:r>
      <w:r>
        <w:rPr>
          <w:rFonts w:ascii="Arial" w:hAnsi="Arial" w:cs="Arial" w:hint="eastAsia"/>
          <w:sz w:val="20"/>
        </w:rPr>
        <w:t xml:space="preserve"> </w:t>
      </w:r>
      <w:r>
        <w:rPr>
          <w:rFonts w:ascii="Arial" w:hAnsi="Arial" w:cs="Arial" w:hint="eastAsia"/>
          <w:sz w:val="20"/>
        </w:rPr>
        <w:t>своим</w:t>
      </w:r>
      <w:r>
        <w:rPr>
          <w:rFonts w:ascii="Arial" w:hAnsi="Arial" w:cs="Arial" w:hint="eastAsia"/>
          <w:sz w:val="20"/>
        </w:rPr>
        <w:t xml:space="preserve"> </w:t>
      </w:r>
      <w:r>
        <w:rPr>
          <w:rFonts w:ascii="Arial" w:hAnsi="Arial" w:cs="Arial" w:hint="eastAsia"/>
          <w:sz w:val="20"/>
        </w:rPr>
        <w:t>гражданам</w:t>
      </w:r>
      <w:r>
        <w:rPr>
          <w:rFonts w:ascii="Arial" w:hAnsi="Arial" w:cs="Arial" w:hint="eastAsia"/>
          <w:sz w:val="20"/>
        </w:rPr>
        <w:t xml:space="preserve"> </w:t>
      </w:r>
      <w:r>
        <w:rPr>
          <w:rFonts w:ascii="Arial" w:hAnsi="Arial" w:cs="Arial" w:hint="eastAsia"/>
          <w:sz w:val="20"/>
        </w:rPr>
        <w:t>законодательством</w:t>
      </w:r>
      <w:r>
        <w:rPr>
          <w:rFonts w:ascii="Arial" w:hAnsi="Arial" w:cs="Arial" w:hint="eastAsia"/>
          <w:sz w:val="20"/>
        </w:rPr>
        <w:t xml:space="preserve"> </w:t>
      </w:r>
      <w:r>
        <w:rPr>
          <w:rFonts w:ascii="Arial" w:hAnsi="Arial" w:cs="Arial" w:hint="eastAsia"/>
          <w:sz w:val="20"/>
        </w:rPr>
        <w:t>данного</w:t>
      </w:r>
      <w:r>
        <w:rPr>
          <w:rFonts w:ascii="Arial" w:hAnsi="Arial" w:cs="Arial" w:hint="eastAsia"/>
          <w:sz w:val="20"/>
        </w:rPr>
        <w:t xml:space="preserve"> </w:t>
      </w:r>
      <w:r>
        <w:rPr>
          <w:rFonts w:ascii="Arial" w:hAnsi="Arial" w:cs="Arial" w:hint="eastAsia"/>
          <w:sz w:val="20"/>
        </w:rPr>
        <w:t>государства</w:t>
      </w:r>
      <w:r>
        <w:rPr>
          <w:rFonts w:ascii="Arial" w:hAnsi="Arial" w:cs="Arial" w:hint="eastAsia"/>
          <w:sz w:val="20"/>
        </w:rPr>
        <w:t>" (</w:t>
      </w:r>
      <w:r>
        <w:rPr>
          <w:rFonts w:ascii="Arial" w:hAnsi="Arial" w:cs="Arial" w:hint="eastAsia"/>
          <w:sz w:val="20"/>
        </w:rPr>
        <w:t>статья</w:t>
      </w:r>
      <w:r>
        <w:rPr>
          <w:rFonts w:ascii="Arial" w:hAnsi="Arial" w:cs="Arial" w:hint="eastAsia"/>
          <w:sz w:val="20"/>
        </w:rPr>
        <w:t xml:space="preserve"> 2). </w:t>
      </w:r>
      <w:r>
        <w:rPr>
          <w:rFonts w:ascii="Arial" w:hAnsi="Arial" w:cs="Arial" w:hint="eastAsia"/>
          <w:sz w:val="20"/>
        </w:rPr>
        <w:t>Целью</w:t>
      </w:r>
      <w:r>
        <w:rPr>
          <w:rFonts w:ascii="Arial" w:hAnsi="Arial" w:cs="Arial" w:hint="eastAsia"/>
          <w:sz w:val="20"/>
        </w:rPr>
        <w:t xml:space="preserve">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является</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только</w:t>
      </w:r>
      <w:r>
        <w:rPr>
          <w:rFonts w:ascii="Arial" w:hAnsi="Arial" w:cs="Arial" w:hint="eastAsia"/>
          <w:sz w:val="20"/>
        </w:rPr>
        <w:t xml:space="preserve"> </w:t>
      </w:r>
      <w:r>
        <w:rPr>
          <w:rFonts w:ascii="Arial" w:hAnsi="Arial" w:cs="Arial" w:hint="eastAsia"/>
          <w:sz w:val="20"/>
        </w:rPr>
        <w:t>устранение</w:t>
      </w:r>
      <w:r>
        <w:rPr>
          <w:rFonts w:ascii="Arial" w:hAnsi="Arial" w:cs="Arial" w:hint="eastAsia"/>
          <w:sz w:val="20"/>
        </w:rPr>
        <w:t xml:space="preserve"> </w:t>
      </w:r>
      <w:r>
        <w:rPr>
          <w:rFonts w:ascii="Arial" w:hAnsi="Arial" w:cs="Arial" w:hint="eastAsia"/>
          <w:sz w:val="20"/>
        </w:rPr>
        <w:t>любой</w:t>
      </w:r>
      <w:r>
        <w:rPr>
          <w:rFonts w:ascii="Arial" w:hAnsi="Arial" w:cs="Arial" w:hint="eastAsia"/>
          <w:sz w:val="20"/>
        </w:rPr>
        <w:t xml:space="preserve"> </w:t>
      </w:r>
      <w:r>
        <w:rPr>
          <w:rFonts w:ascii="Arial" w:hAnsi="Arial" w:cs="Arial" w:hint="eastAsia"/>
          <w:sz w:val="20"/>
        </w:rPr>
        <w:t>дискриминации</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отношении</w:t>
      </w:r>
      <w:r>
        <w:rPr>
          <w:rFonts w:ascii="Arial" w:hAnsi="Arial" w:cs="Arial" w:hint="eastAsia"/>
          <w:sz w:val="20"/>
        </w:rPr>
        <w:t xml:space="preserve"> </w:t>
      </w:r>
      <w:r>
        <w:rPr>
          <w:rFonts w:ascii="Arial" w:hAnsi="Arial" w:cs="Arial" w:hint="eastAsia"/>
          <w:sz w:val="20"/>
        </w:rPr>
        <w:t>иностранных</w:t>
      </w:r>
      <w:r>
        <w:rPr>
          <w:rFonts w:ascii="Arial" w:hAnsi="Arial" w:cs="Arial" w:hint="eastAsia"/>
          <w:sz w:val="20"/>
        </w:rPr>
        <w:t xml:space="preserve"> </w:t>
      </w:r>
      <w:r>
        <w:rPr>
          <w:rFonts w:ascii="Arial" w:hAnsi="Arial" w:cs="Arial" w:hint="eastAsia"/>
          <w:sz w:val="20"/>
        </w:rPr>
        <w:t>заявителей</w:t>
      </w:r>
      <w:r>
        <w:rPr>
          <w:rFonts w:ascii="Arial" w:hAnsi="Arial" w:cs="Arial" w:hint="eastAsia"/>
          <w:sz w:val="20"/>
        </w:rPr>
        <w:t xml:space="preserve">, </w:t>
      </w:r>
      <w:r>
        <w:rPr>
          <w:rFonts w:ascii="Arial" w:hAnsi="Arial" w:cs="Arial" w:hint="eastAsia"/>
          <w:sz w:val="20"/>
        </w:rPr>
        <w:t>но</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облегчение</w:t>
      </w:r>
      <w:r>
        <w:rPr>
          <w:rFonts w:ascii="Arial" w:hAnsi="Arial" w:cs="Arial" w:hint="eastAsia"/>
          <w:sz w:val="20"/>
        </w:rPr>
        <w:t xml:space="preserve"> </w:t>
      </w:r>
      <w:r>
        <w:rPr>
          <w:rFonts w:ascii="Arial" w:hAnsi="Arial" w:cs="Arial" w:hint="eastAsia"/>
          <w:sz w:val="20"/>
        </w:rPr>
        <w:t>иностранным</w:t>
      </w:r>
      <w:r>
        <w:rPr>
          <w:rFonts w:ascii="Arial" w:hAnsi="Arial" w:cs="Arial" w:hint="eastAsia"/>
          <w:sz w:val="20"/>
        </w:rPr>
        <w:t xml:space="preserve"> </w:t>
      </w:r>
      <w:r>
        <w:rPr>
          <w:rFonts w:ascii="Arial" w:hAnsi="Arial" w:cs="Arial" w:hint="eastAsia"/>
          <w:sz w:val="20"/>
        </w:rPr>
        <w:t>физическим</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юридическим</w:t>
      </w:r>
      <w:r>
        <w:rPr>
          <w:rFonts w:ascii="Arial" w:hAnsi="Arial" w:cs="Arial" w:hint="eastAsia"/>
          <w:sz w:val="20"/>
        </w:rPr>
        <w:t xml:space="preserve"> </w:t>
      </w:r>
      <w:r>
        <w:rPr>
          <w:rFonts w:ascii="Arial" w:hAnsi="Arial" w:cs="Arial" w:hint="eastAsia"/>
          <w:sz w:val="20"/>
        </w:rPr>
        <w:t>лицам</w:t>
      </w:r>
      <w:r>
        <w:rPr>
          <w:rFonts w:ascii="Arial" w:hAnsi="Arial" w:cs="Arial" w:hint="eastAsia"/>
          <w:sz w:val="20"/>
        </w:rPr>
        <w:t xml:space="preserve"> </w:t>
      </w:r>
      <w:r>
        <w:rPr>
          <w:rFonts w:ascii="Arial" w:hAnsi="Arial" w:cs="Arial" w:hint="eastAsia"/>
          <w:sz w:val="20"/>
        </w:rPr>
        <w:t>приобретения</w:t>
      </w:r>
      <w:r>
        <w:rPr>
          <w:rFonts w:ascii="Arial" w:hAnsi="Arial" w:cs="Arial" w:hint="eastAsia"/>
          <w:sz w:val="20"/>
        </w:rPr>
        <w:t xml:space="preserve">, </w:t>
      </w:r>
      <w:r>
        <w:rPr>
          <w:rFonts w:ascii="Arial" w:hAnsi="Arial" w:cs="Arial" w:hint="eastAsia"/>
          <w:sz w:val="20"/>
        </w:rPr>
        <w:t>использования</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защиты</w:t>
      </w:r>
      <w:r>
        <w:rPr>
          <w:rFonts w:ascii="Arial" w:hAnsi="Arial" w:cs="Arial" w:hint="eastAsia"/>
          <w:sz w:val="20"/>
        </w:rPr>
        <w:t xml:space="preserve"> </w:t>
      </w:r>
      <w:r>
        <w:rPr>
          <w:rFonts w:ascii="Arial" w:hAnsi="Arial" w:cs="Arial" w:hint="eastAsia"/>
          <w:sz w:val="20"/>
        </w:rPr>
        <w:t>прав</w:t>
      </w:r>
      <w:r>
        <w:rPr>
          <w:rFonts w:ascii="Arial" w:hAnsi="Arial" w:cs="Arial" w:hint="eastAsia"/>
          <w:sz w:val="20"/>
        </w:rPr>
        <w:t xml:space="preserve"> </w:t>
      </w:r>
      <w:r>
        <w:rPr>
          <w:rFonts w:ascii="Arial" w:hAnsi="Arial" w:cs="Arial" w:hint="eastAsia"/>
          <w:sz w:val="20"/>
        </w:rPr>
        <w:t>промышленной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Статьей</w:t>
      </w:r>
      <w:r>
        <w:rPr>
          <w:rFonts w:ascii="Arial" w:hAnsi="Arial" w:cs="Arial" w:hint="eastAsia"/>
          <w:sz w:val="20"/>
        </w:rPr>
        <w:t xml:space="preserve"> 3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к</w:t>
      </w:r>
      <w:r>
        <w:rPr>
          <w:rFonts w:ascii="Arial" w:hAnsi="Arial" w:cs="Arial" w:hint="eastAsia"/>
          <w:sz w:val="20"/>
        </w:rPr>
        <w:t xml:space="preserve"> </w:t>
      </w:r>
      <w:r>
        <w:rPr>
          <w:rFonts w:ascii="Arial" w:hAnsi="Arial" w:cs="Arial" w:hint="eastAsia"/>
          <w:sz w:val="20"/>
        </w:rPr>
        <w:t>гражданам</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юридическим</w:t>
      </w:r>
      <w:r>
        <w:rPr>
          <w:rFonts w:ascii="Arial" w:hAnsi="Arial" w:cs="Arial" w:hint="eastAsia"/>
          <w:sz w:val="20"/>
        </w:rPr>
        <w:t xml:space="preserve"> </w:t>
      </w:r>
      <w:r>
        <w:rPr>
          <w:rFonts w:ascii="Arial" w:hAnsi="Arial" w:cs="Arial" w:hint="eastAsia"/>
          <w:sz w:val="20"/>
        </w:rPr>
        <w:t>лицам</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 xml:space="preserve"> </w:t>
      </w:r>
      <w:r>
        <w:rPr>
          <w:rFonts w:ascii="Arial" w:hAnsi="Arial" w:cs="Arial" w:hint="eastAsia"/>
          <w:sz w:val="20"/>
        </w:rPr>
        <w:t>Союза</w:t>
      </w:r>
      <w:r>
        <w:rPr>
          <w:rFonts w:ascii="Arial" w:hAnsi="Arial" w:cs="Arial" w:hint="eastAsia"/>
          <w:sz w:val="20"/>
        </w:rPr>
        <w:t xml:space="preserve"> </w:t>
      </w:r>
      <w:r>
        <w:rPr>
          <w:rFonts w:ascii="Arial" w:hAnsi="Arial" w:cs="Arial" w:hint="eastAsia"/>
          <w:sz w:val="20"/>
        </w:rPr>
        <w:t>приравнены</w:t>
      </w:r>
      <w:r>
        <w:rPr>
          <w:rFonts w:ascii="Arial" w:hAnsi="Arial" w:cs="Arial" w:hint="eastAsia"/>
          <w:sz w:val="20"/>
        </w:rPr>
        <w:t xml:space="preserve"> </w:t>
      </w:r>
      <w:r>
        <w:rPr>
          <w:rFonts w:ascii="Arial" w:hAnsi="Arial" w:cs="Arial" w:hint="eastAsia"/>
          <w:sz w:val="20"/>
        </w:rPr>
        <w:t>некоторые</w:t>
      </w:r>
      <w:r>
        <w:rPr>
          <w:rFonts w:ascii="Arial" w:hAnsi="Arial" w:cs="Arial" w:hint="eastAsia"/>
          <w:sz w:val="20"/>
        </w:rPr>
        <w:t xml:space="preserve"> </w:t>
      </w:r>
      <w:r>
        <w:rPr>
          <w:rFonts w:ascii="Arial" w:hAnsi="Arial" w:cs="Arial" w:hint="eastAsia"/>
          <w:sz w:val="20"/>
        </w:rPr>
        <w:t>категории</w:t>
      </w:r>
      <w:r>
        <w:rPr>
          <w:rFonts w:ascii="Arial" w:hAnsi="Arial" w:cs="Arial" w:hint="eastAsia"/>
          <w:sz w:val="20"/>
        </w:rPr>
        <w:t xml:space="preserve"> </w:t>
      </w:r>
      <w:r>
        <w:rPr>
          <w:rFonts w:ascii="Arial" w:hAnsi="Arial" w:cs="Arial" w:hint="eastAsia"/>
          <w:sz w:val="20"/>
        </w:rPr>
        <w:t>лиц</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зависимости</w:t>
      </w:r>
      <w:r>
        <w:rPr>
          <w:rFonts w:ascii="Arial" w:hAnsi="Arial" w:cs="Arial" w:hint="eastAsia"/>
          <w:sz w:val="20"/>
        </w:rPr>
        <w:t xml:space="preserve"> </w:t>
      </w:r>
      <w:r>
        <w:rPr>
          <w:rFonts w:ascii="Arial" w:hAnsi="Arial" w:cs="Arial" w:hint="eastAsia"/>
          <w:sz w:val="20"/>
        </w:rPr>
        <w:t>от</w:t>
      </w:r>
      <w:r>
        <w:rPr>
          <w:rFonts w:ascii="Arial" w:hAnsi="Arial" w:cs="Arial" w:hint="eastAsia"/>
          <w:sz w:val="20"/>
        </w:rPr>
        <w:t xml:space="preserve"> </w:t>
      </w:r>
      <w:r>
        <w:rPr>
          <w:rFonts w:ascii="Arial" w:hAnsi="Arial" w:cs="Arial" w:hint="eastAsia"/>
          <w:sz w:val="20"/>
        </w:rPr>
        <w:t>местожительства</w:t>
      </w:r>
      <w:r>
        <w:rPr>
          <w:rFonts w:ascii="Arial" w:hAnsi="Arial" w:cs="Arial" w:hint="eastAsia"/>
          <w:sz w:val="20"/>
        </w:rPr>
        <w:t xml:space="preserve"> </w:t>
      </w:r>
      <w:r>
        <w:rPr>
          <w:rFonts w:ascii="Arial" w:hAnsi="Arial" w:cs="Arial" w:hint="eastAsia"/>
          <w:sz w:val="20"/>
        </w:rPr>
        <w:t>или</w:t>
      </w:r>
      <w:r>
        <w:rPr>
          <w:rFonts w:ascii="Arial" w:hAnsi="Arial" w:cs="Arial" w:hint="eastAsia"/>
          <w:sz w:val="20"/>
        </w:rPr>
        <w:t xml:space="preserve"> </w:t>
      </w:r>
      <w:r>
        <w:rPr>
          <w:rFonts w:ascii="Arial" w:hAnsi="Arial" w:cs="Arial" w:hint="eastAsia"/>
          <w:sz w:val="20"/>
        </w:rPr>
        <w:t>наличия</w:t>
      </w:r>
      <w:r>
        <w:rPr>
          <w:rFonts w:ascii="Arial" w:hAnsi="Arial" w:cs="Arial" w:hint="eastAsia"/>
          <w:sz w:val="20"/>
        </w:rPr>
        <w:t xml:space="preserve"> "</w:t>
      </w:r>
      <w:r>
        <w:rPr>
          <w:rFonts w:ascii="Arial" w:hAnsi="Arial" w:cs="Arial" w:hint="eastAsia"/>
          <w:sz w:val="20"/>
        </w:rPr>
        <w:t>действительных</w:t>
      </w:r>
      <w:r>
        <w:rPr>
          <w:rFonts w:ascii="Arial" w:hAnsi="Arial" w:cs="Arial" w:hint="eastAsia"/>
          <w:sz w:val="20"/>
        </w:rPr>
        <w:t xml:space="preserve">, </w:t>
      </w:r>
      <w:r>
        <w:rPr>
          <w:rFonts w:ascii="Arial" w:hAnsi="Arial" w:cs="Arial" w:hint="eastAsia"/>
          <w:sz w:val="20"/>
        </w:rPr>
        <w:t>серьезных</w:t>
      </w:r>
      <w:r>
        <w:rPr>
          <w:rFonts w:ascii="Arial" w:hAnsi="Arial" w:cs="Arial" w:hint="eastAsia"/>
          <w:sz w:val="20"/>
        </w:rPr>
        <w:t xml:space="preserve"> </w:t>
      </w:r>
      <w:r>
        <w:rPr>
          <w:rFonts w:ascii="Arial" w:hAnsi="Arial" w:cs="Arial" w:hint="eastAsia"/>
          <w:sz w:val="20"/>
        </w:rPr>
        <w:t>промышленных</w:t>
      </w:r>
      <w:r>
        <w:rPr>
          <w:rFonts w:ascii="Arial" w:hAnsi="Arial" w:cs="Arial" w:hint="eastAsia"/>
          <w:sz w:val="20"/>
        </w:rPr>
        <w:t xml:space="preserve"> </w:t>
      </w:r>
      <w:r>
        <w:rPr>
          <w:rFonts w:ascii="Arial" w:hAnsi="Arial" w:cs="Arial" w:hint="eastAsia"/>
          <w:sz w:val="20"/>
        </w:rPr>
        <w:t>или</w:t>
      </w:r>
      <w:r>
        <w:rPr>
          <w:rFonts w:ascii="Arial" w:hAnsi="Arial" w:cs="Arial" w:hint="eastAsia"/>
          <w:sz w:val="20"/>
        </w:rPr>
        <w:t xml:space="preserve"> </w:t>
      </w:r>
      <w:r>
        <w:rPr>
          <w:rFonts w:ascii="Arial" w:hAnsi="Arial" w:cs="Arial" w:hint="eastAsia"/>
          <w:sz w:val="20"/>
        </w:rPr>
        <w:t>торговых</w:t>
      </w:r>
      <w:r>
        <w:rPr>
          <w:rFonts w:ascii="Arial" w:hAnsi="Arial" w:cs="Arial" w:hint="eastAsia"/>
          <w:sz w:val="20"/>
        </w:rPr>
        <w:t xml:space="preserve"> </w:t>
      </w:r>
      <w:r>
        <w:rPr>
          <w:rFonts w:ascii="Arial" w:hAnsi="Arial" w:cs="Arial" w:hint="eastAsia"/>
          <w:sz w:val="20"/>
        </w:rPr>
        <w:t>предприятий</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территории</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w:t>
      </w:r>
      <w:r>
        <w:rPr>
          <w:rFonts w:ascii="Arial" w:hAnsi="Arial" w:cs="Arial" w:hint="eastAsia"/>
          <w:sz w:val="20"/>
        </w:rPr>
        <w:t>участниц</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Парижская</w:t>
      </w:r>
      <w:r>
        <w:rPr>
          <w:rFonts w:ascii="Arial" w:hAnsi="Arial" w:cs="Arial" w:hint="eastAsia"/>
          <w:sz w:val="20"/>
        </w:rPr>
        <w:t xml:space="preserve"> </w:t>
      </w:r>
      <w:r>
        <w:rPr>
          <w:rFonts w:ascii="Arial" w:hAnsi="Arial" w:cs="Arial" w:hint="eastAsia"/>
          <w:sz w:val="20"/>
        </w:rPr>
        <w:t>конвенция</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предусматривает</w:t>
      </w:r>
      <w:r>
        <w:rPr>
          <w:rFonts w:ascii="Arial" w:hAnsi="Arial" w:cs="Arial" w:hint="eastAsia"/>
          <w:sz w:val="20"/>
        </w:rPr>
        <w:t xml:space="preserve"> </w:t>
      </w:r>
      <w:r>
        <w:rPr>
          <w:rFonts w:ascii="Arial" w:hAnsi="Arial" w:cs="Arial" w:hint="eastAsia"/>
          <w:sz w:val="20"/>
        </w:rPr>
        <w:t>создания</w:t>
      </w:r>
      <w:r>
        <w:rPr>
          <w:rFonts w:ascii="Arial" w:hAnsi="Arial" w:cs="Arial" w:hint="eastAsia"/>
          <w:sz w:val="20"/>
        </w:rPr>
        <w:t xml:space="preserve"> </w:t>
      </w:r>
      <w:r>
        <w:rPr>
          <w:rFonts w:ascii="Arial" w:hAnsi="Arial" w:cs="Arial" w:hint="eastAsia"/>
          <w:sz w:val="20"/>
        </w:rPr>
        <w:t>международных</w:t>
      </w:r>
      <w:r>
        <w:rPr>
          <w:rFonts w:ascii="Arial" w:hAnsi="Arial" w:cs="Arial" w:hint="eastAsia"/>
          <w:sz w:val="20"/>
        </w:rPr>
        <w:t xml:space="preserve"> </w:t>
      </w:r>
      <w:r>
        <w:rPr>
          <w:rFonts w:ascii="Arial" w:hAnsi="Arial" w:cs="Arial" w:hint="eastAsia"/>
          <w:sz w:val="20"/>
        </w:rPr>
        <w:t>патентов</w:t>
      </w:r>
      <w:r>
        <w:rPr>
          <w:rFonts w:ascii="Arial" w:hAnsi="Arial" w:cs="Arial" w:hint="eastAsia"/>
          <w:sz w:val="20"/>
        </w:rPr>
        <w:t xml:space="preserve"> </w:t>
      </w:r>
      <w:r>
        <w:rPr>
          <w:rFonts w:ascii="Arial" w:hAnsi="Arial" w:cs="Arial" w:hint="eastAsia"/>
          <w:sz w:val="20"/>
        </w:rPr>
        <w:t>или</w:t>
      </w:r>
      <w:r>
        <w:rPr>
          <w:rFonts w:ascii="Arial" w:hAnsi="Arial" w:cs="Arial" w:hint="eastAsia"/>
          <w:sz w:val="20"/>
        </w:rPr>
        <w:t xml:space="preserve"> </w:t>
      </w:r>
      <w:r>
        <w:rPr>
          <w:rFonts w:ascii="Arial" w:hAnsi="Arial" w:cs="Arial" w:hint="eastAsia"/>
          <w:sz w:val="20"/>
        </w:rPr>
        <w:t>товарных</w:t>
      </w:r>
      <w:r>
        <w:rPr>
          <w:rFonts w:ascii="Arial" w:hAnsi="Arial" w:cs="Arial" w:hint="eastAsia"/>
          <w:sz w:val="20"/>
        </w:rPr>
        <w:t xml:space="preserve"> </w:t>
      </w:r>
      <w:r>
        <w:rPr>
          <w:rFonts w:ascii="Arial" w:hAnsi="Arial" w:cs="Arial" w:hint="eastAsia"/>
          <w:sz w:val="20"/>
        </w:rPr>
        <w:t>знаков</w:t>
      </w:r>
      <w:r>
        <w:rPr>
          <w:rFonts w:ascii="Arial" w:hAnsi="Arial" w:cs="Arial" w:hint="eastAsia"/>
          <w:sz w:val="20"/>
        </w:rPr>
        <w:t xml:space="preserve">, </w:t>
      </w:r>
      <w:r>
        <w:rPr>
          <w:rFonts w:ascii="Arial" w:hAnsi="Arial" w:cs="Arial" w:hint="eastAsia"/>
          <w:sz w:val="20"/>
        </w:rPr>
        <w:t>которые</w:t>
      </w:r>
      <w:r>
        <w:rPr>
          <w:rFonts w:ascii="Arial" w:hAnsi="Arial" w:cs="Arial" w:hint="eastAsia"/>
          <w:sz w:val="20"/>
        </w:rPr>
        <w:t xml:space="preserve"> </w:t>
      </w:r>
      <w:r>
        <w:rPr>
          <w:rFonts w:ascii="Arial" w:hAnsi="Arial" w:cs="Arial" w:hint="eastAsia"/>
          <w:sz w:val="20"/>
        </w:rPr>
        <w:t>бы</w:t>
      </w:r>
      <w:r>
        <w:rPr>
          <w:rFonts w:ascii="Arial" w:hAnsi="Arial" w:cs="Arial" w:hint="eastAsia"/>
          <w:sz w:val="20"/>
        </w:rPr>
        <w:t xml:space="preserve"> </w:t>
      </w:r>
      <w:r>
        <w:rPr>
          <w:rFonts w:ascii="Arial" w:hAnsi="Arial" w:cs="Arial" w:hint="eastAsia"/>
          <w:sz w:val="20"/>
        </w:rPr>
        <w:t>действовали</w:t>
      </w:r>
      <w:r>
        <w:rPr>
          <w:rFonts w:ascii="Arial" w:hAnsi="Arial" w:cs="Arial" w:hint="eastAsia"/>
          <w:sz w:val="20"/>
        </w:rPr>
        <w:t xml:space="preserve"> </w:t>
      </w:r>
      <w:r>
        <w:rPr>
          <w:rFonts w:ascii="Arial" w:hAnsi="Arial" w:cs="Arial" w:hint="eastAsia"/>
          <w:sz w:val="20"/>
        </w:rPr>
        <w:t>во</w:t>
      </w:r>
      <w:r>
        <w:rPr>
          <w:rFonts w:ascii="Arial" w:hAnsi="Arial" w:cs="Arial" w:hint="eastAsia"/>
          <w:sz w:val="20"/>
        </w:rPr>
        <w:t xml:space="preserve"> </w:t>
      </w:r>
      <w:r>
        <w:rPr>
          <w:rFonts w:ascii="Arial" w:hAnsi="Arial" w:cs="Arial" w:hint="eastAsia"/>
          <w:sz w:val="20"/>
        </w:rPr>
        <w:t>всех</w:t>
      </w:r>
      <w:r>
        <w:rPr>
          <w:rFonts w:ascii="Arial" w:hAnsi="Arial" w:cs="Arial" w:hint="eastAsia"/>
          <w:sz w:val="20"/>
        </w:rPr>
        <w:t xml:space="preserve"> </w:t>
      </w:r>
      <w:r>
        <w:rPr>
          <w:rFonts w:ascii="Arial" w:hAnsi="Arial" w:cs="Arial" w:hint="eastAsia"/>
          <w:sz w:val="20"/>
        </w:rPr>
        <w:t>странах</w:t>
      </w:r>
      <w:r>
        <w:rPr>
          <w:rFonts w:ascii="Arial" w:hAnsi="Arial" w:cs="Arial" w:hint="eastAsia"/>
          <w:sz w:val="20"/>
        </w:rPr>
        <w:t>-</w:t>
      </w:r>
      <w:r>
        <w:rPr>
          <w:rFonts w:ascii="Arial" w:hAnsi="Arial" w:cs="Arial" w:hint="eastAsia"/>
          <w:sz w:val="20"/>
        </w:rPr>
        <w:t>участницах</w:t>
      </w:r>
      <w:r>
        <w:rPr>
          <w:rFonts w:ascii="Arial" w:hAnsi="Arial" w:cs="Arial" w:hint="eastAsia"/>
          <w:sz w:val="20"/>
        </w:rPr>
        <w:t xml:space="preserve">, </w:t>
      </w:r>
      <w:r>
        <w:rPr>
          <w:rFonts w:ascii="Arial" w:hAnsi="Arial" w:cs="Arial" w:hint="eastAsia"/>
          <w:sz w:val="20"/>
        </w:rPr>
        <w:t>будучи</w:t>
      </w:r>
      <w:r>
        <w:rPr>
          <w:rFonts w:ascii="Arial" w:hAnsi="Arial" w:cs="Arial" w:hint="eastAsia"/>
          <w:sz w:val="20"/>
        </w:rPr>
        <w:t xml:space="preserve"> </w:t>
      </w:r>
      <w:r>
        <w:rPr>
          <w:rFonts w:ascii="Arial" w:hAnsi="Arial" w:cs="Arial" w:hint="eastAsia"/>
          <w:sz w:val="20"/>
        </w:rPr>
        <w:t>выданными</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отдельной</w:t>
      </w:r>
      <w:r>
        <w:rPr>
          <w:rFonts w:ascii="Arial" w:hAnsi="Arial" w:cs="Arial" w:hint="eastAsia"/>
          <w:sz w:val="20"/>
        </w:rPr>
        <w:t xml:space="preserve"> </w:t>
      </w:r>
      <w:r>
        <w:rPr>
          <w:rFonts w:ascii="Arial" w:hAnsi="Arial" w:cs="Arial" w:hint="eastAsia"/>
          <w:sz w:val="20"/>
        </w:rPr>
        <w:t>стране</w:t>
      </w:r>
      <w:r>
        <w:rPr>
          <w:rFonts w:ascii="Arial" w:hAnsi="Arial" w:cs="Arial" w:hint="eastAsia"/>
          <w:sz w:val="20"/>
        </w:rPr>
        <w:t xml:space="preserve">. </w:t>
      </w:r>
      <w:r>
        <w:rPr>
          <w:rFonts w:ascii="Arial" w:hAnsi="Arial" w:cs="Arial" w:hint="eastAsia"/>
          <w:sz w:val="20"/>
        </w:rPr>
        <w:t>Напротив</w:t>
      </w:r>
      <w:r>
        <w:rPr>
          <w:rFonts w:ascii="Arial" w:hAnsi="Arial" w:cs="Arial" w:hint="eastAsia"/>
          <w:sz w:val="20"/>
        </w:rPr>
        <w:t xml:space="preserve">, </w:t>
      </w:r>
      <w:r>
        <w:rPr>
          <w:rFonts w:ascii="Arial" w:hAnsi="Arial" w:cs="Arial" w:hint="eastAsia"/>
          <w:sz w:val="20"/>
        </w:rPr>
        <w:t>статья</w:t>
      </w:r>
      <w:r>
        <w:rPr>
          <w:rFonts w:ascii="Arial" w:hAnsi="Arial" w:cs="Arial" w:hint="eastAsia"/>
          <w:sz w:val="20"/>
        </w:rPr>
        <w:t xml:space="preserve"> 4bis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предусматривает</w:t>
      </w:r>
      <w:r>
        <w:rPr>
          <w:rFonts w:ascii="Arial" w:hAnsi="Arial" w:cs="Arial" w:hint="eastAsia"/>
          <w:sz w:val="20"/>
        </w:rPr>
        <w:t xml:space="preserve"> </w:t>
      </w:r>
      <w:r>
        <w:rPr>
          <w:rFonts w:ascii="Arial" w:hAnsi="Arial" w:cs="Arial" w:hint="eastAsia"/>
          <w:sz w:val="20"/>
        </w:rPr>
        <w:t>независимость</w:t>
      </w:r>
      <w:r>
        <w:rPr>
          <w:rFonts w:ascii="Arial" w:hAnsi="Arial" w:cs="Arial" w:hint="eastAsia"/>
          <w:sz w:val="20"/>
        </w:rPr>
        <w:t xml:space="preserve"> </w:t>
      </w:r>
      <w:r>
        <w:rPr>
          <w:rFonts w:ascii="Arial" w:hAnsi="Arial" w:cs="Arial" w:hint="eastAsia"/>
          <w:sz w:val="20"/>
        </w:rPr>
        <w:t>патентов</w:t>
      </w:r>
      <w:r>
        <w:rPr>
          <w:rFonts w:ascii="Arial" w:hAnsi="Arial" w:cs="Arial" w:hint="eastAsia"/>
          <w:sz w:val="20"/>
        </w:rPr>
        <w:t xml:space="preserve">, </w:t>
      </w:r>
      <w:r>
        <w:rPr>
          <w:rFonts w:ascii="Arial" w:hAnsi="Arial" w:cs="Arial" w:hint="eastAsia"/>
          <w:sz w:val="20"/>
        </w:rPr>
        <w:t>полученных</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одно</w:t>
      </w:r>
      <w:r>
        <w:rPr>
          <w:rFonts w:ascii="Arial" w:hAnsi="Arial" w:cs="Arial" w:hint="eastAsia"/>
          <w:sz w:val="20"/>
        </w:rPr>
        <w:t xml:space="preserve"> </w:t>
      </w:r>
      <w:r>
        <w:rPr>
          <w:rFonts w:ascii="Arial" w:hAnsi="Arial" w:cs="Arial" w:hint="eastAsia"/>
          <w:sz w:val="20"/>
        </w:rPr>
        <w:t>изобретение</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различных</w:t>
      </w:r>
      <w:r>
        <w:rPr>
          <w:rFonts w:ascii="Arial" w:hAnsi="Arial" w:cs="Arial" w:hint="eastAsia"/>
          <w:sz w:val="20"/>
        </w:rPr>
        <w:t xml:space="preserve"> </w:t>
      </w:r>
      <w:r>
        <w:rPr>
          <w:rFonts w:ascii="Arial" w:hAnsi="Arial" w:cs="Arial" w:hint="eastAsia"/>
          <w:sz w:val="20"/>
        </w:rPr>
        <w:t>странах</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любой</w:t>
      </w:r>
      <w:r>
        <w:rPr>
          <w:rFonts w:ascii="Arial" w:hAnsi="Arial" w:cs="Arial" w:hint="eastAsia"/>
          <w:sz w:val="20"/>
        </w:rPr>
        <w:t xml:space="preserve"> </w:t>
      </w:r>
      <w:r>
        <w:rPr>
          <w:rFonts w:ascii="Arial" w:hAnsi="Arial" w:cs="Arial" w:hint="eastAsia"/>
          <w:sz w:val="20"/>
        </w:rPr>
        <w:t>другой</w:t>
      </w:r>
      <w:r>
        <w:rPr>
          <w:rFonts w:ascii="Arial" w:hAnsi="Arial" w:cs="Arial" w:hint="eastAsia"/>
          <w:sz w:val="20"/>
        </w:rPr>
        <w:t xml:space="preserve"> </w:t>
      </w:r>
      <w:r>
        <w:rPr>
          <w:rFonts w:ascii="Arial" w:hAnsi="Arial" w:cs="Arial" w:hint="eastAsia"/>
          <w:sz w:val="20"/>
        </w:rPr>
        <w:t>стране</w:t>
      </w:r>
      <w:r>
        <w:rPr>
          <w:rFonts w:ascii="Arial" w:hAnsi="Arial" w:cs="Arial" w:hint="eastAsia"/>
          <w:sz w:val="20"/>
        </w:rPr>
        <w:t xml:space="preserve"> </w:t>
      </w:r>
      <w:r>
        <w:rPr>
          <w:rFonts w:ascii="Arial" w:hAnsi="Arial" w:cs="Arial" w:hint="eastAsia"/>
          <w:sz w:val="20"/>
        </w:rPr>
        <w:t>Парижского</w:t>
      </w:r>
      <w:r>
        <w:rPr>
          <w:rFonts w:ascii="Arial" w:hAnsi="Arial" w:cs="Arial" w:hint="eastAsia"/>
          <w:sz w:val="20"/>
        </w:rPr>
        <w:t xml:space="preserve"> </w:t>
      </w:r>
      <w:r>
        <w:rPr>
          <w:rFonts w:ascii="Arial" w:hAnsi="Arial" w:cs="Arial" w:hint="eastAsia"/>
          <w:sz w:val="20"/>
        </w:rPr>
        <w:t>союза</w:t>
      </w:r>
      <w:r>
        <w:rPr>
          <w:rFonts w:ascii="Arial" w:hAnsi="Arial" w:cs="Arial" w:hint="eastAsia"/>
          <w:sz w:val="20"/>
        </w:rPr>
        <w:t xml:space="preserve"> </w:t>
      </w:r>
      <w:r>
        <w:rPr>
          <w:rFonts w:ascii="Arial" w:hAnsi="Arial" w:cs="Arial" w:hint="eastAsia"/>
          <w:sz w:val="20"/>
        </w:rPr>
        <w:t>изобретение</w:t>
      </w:r>
      <w:r>
        <w:rPr>
          <w:rFonts w:ascii="Arial" w:hAnsi="Arial" w:cs="Arial" w:hint="eastAsia"/>
          <w:sz w:val="20"/>
        </w:rPr>
        <w:t xml:space="preserve"> </w:t>
      </w:r>
      <w:r>
        <w:rPr>
          <w:rFonts w:ascii="Arial" w:hAnsi="Arial" w:cs="Arial" w:hint="eastAsia"/>
          <w:sz w:val="20"/>
        </w:rPr>
        <w:t>может</w:t>
      </w:r>
      <w:r>
        <w:rPr>
          <w:rFonts w:ascii="Arial" w:hAnsi="Arial" w:cs="Arial" w:hint="eastAsia"/>
          <w:sz w:val="20"/>
        </w:rPr>
        <w:t xml:space="preserve"> </w:t>
      </w:r>
      <w:r>
        <w:rPr>
          <w:rFonts w:ascii="Arial" w:hAnsi="Arial" w:cs="Arial" w:hint="eastAsia"/>
          <w:sz w:val="20"/>
        </w:rPr>
        <w:t>свободно</w:t>
      </w:r>
      <w:r>
        <w:rPr>
          <w:rFonts w:ascii="Arial" w:hAnsi="Arial" w:cs="Arial" w:hint="eastAsia"/>
          <w:sz w:val="20"/>
        </w:rPr>
        <w:t xml:space="preserve"> </w:t>
      </w:r>
      <w:r>
        <w:rPr>
          <w:rFonts w:ascii="Arial" w:hAnsi="Arial" w:cs="Arial" w:hint="eastAsia"/>
          <w:sz w:val="20"/>
        </w:rPr>
        <w:t>использоваться</w:t>
      </w:r>
      <w:r>
        <w:rPr>
          <w:rFonts w:ascii="Arial" w:hAnsi="Arial" w:cs="Arial" w:hint="eastAsia"/>
          <w:sz w:val="20"/>
        </w:rPr>
        <w:t xml:space="preserve">, </w:t>
      </w:r>
      <w:r>
        <w:rPr>
          <w:rFonts w:ascii="Arial" w:hAnsi="Arial" w:cs="Arial" w:hint="eastAsia"/>
          <w:sz w:val="20"/>
        </w:rPr>
        <w:t>если</w:t>
      </w:r>
      <w:r>
        <w:rPr>
          <w:rFonts w:ascii="Arial" w:hAnsi="Arial" w:cs="Arial" w:hint="eastAsia"/>
          <w:sz w:val="20"/>
        </w:rPr>
        <w:t xml:space="preserve"> </w:t>
      </w:r>
      <w:r>
        <w:rPr>
          <w:rFonts w:ascii="Arial" w:hAnsi="Arial" w:cs="Arial" w:hint="eastAsia"/>
          <w:sz w:val="20"/>
        </w:rPr>
        <w:t>оно</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было</w:t>
      </w:r>
      <w:r>
        <w:rPr>
          <w:rFonts w:ascii="Arial" w:hAnsi="Arial" w:cs="Arial" w:hint="eastAsia"/>
          <w:sz w:val="20"/>
        </w:rPr>
        <w:t xml:space="preserve"> </w:t>
      </w:r>
      <w:r>
        <w:rPr>
          <w:rFonts w:ascii="Arial" w:hAnsi="Arial" w:cs="Arial" w:hint="eastAsia"/>
          <w:sz w:val="20"/>
        </w:rPr>
        <w:t>там</w:t>
      </w:r>
      <w:r>
        <w:rPr>
          <w:rFonts w:ascii="Arial" w:hAnsi="Arial" w:cs="Arial" w:hint="eastAsia"/>
          <w:sz w:val="20"/>
        </w:rPr>
        <w:t xml:space="preserve"> </w:t>
      </w:r>
      <w:r>
        <w:rPr>
          <w:rFonts w:ascii="Arial" w:hAnsi="Arial" w:cs="Arial" w:hint="eastAsia"/>
          <w:sz w:val="20"/>
        </w:rPr>
        <w:t>запатентовано</w:t>
      </w:r>
      <w:r>
        <w:rPr>
          <w:rFonts w:ascii="Arial" w:hAnsi="Arial" w:cs="Arial" w:hint="eastAsia"/>
          <w:sz w:val="20"/>
        </w:rPr>
        <w:t xml:space="preserve">. </w:t>
      </w:r>
      <w:r>
        <w:rPr>
          <w:rFonts w:ascii="Arial" w:hAnsi="Arial" w:cs="Arial" w:hint="eastAsia"/>
          <w:sz w:val="20"/>
        </w:rPr>
        <w:t>Точно</w:t>
      </w:r>
      <w:r>
        <w:rPr>
          <w:rFonts w:ascii="Arial" w:hAnsi="Arial" w:cs="Arial" w:hint="eastAsia"/>
          <w:sz w:val="20"/>
        </w:rPr>
        <w:t xml:space="preserve"> </w:t>
      </w:r>
      <w:r>
        <w:rPr>
          <w:rFonts w:ascii="Arial" w:hAnsi="Arial" w:cs="Arial" w:hint="eastAsia"/>
          <w:sz w:val="20"/>
        </w:rPr>
        <w:t>так</w:t>
      </w:r>
      <w:r>
        <w:rPr>
          <w:rFonts w:ascii="Arial" w:hAnsi="Arial" w:cs="Arial" w:hint="eastAsia"/>
          <w:sz w:val="20"/>
        </w:rPr>
        <w:t xml:space="preserve"> </w:t>
      </w:r>
      <w:r>
        <w:rPr>
          <w:rFonts w:ascii="Arial" w:hAnsi="Arial" w:cs="Arial" w:hint="eastAsia"/>
          <w:sz w:val="20"/>
        </w:rPr>
        <w:t>же</w:t>
      </w:r>
      <w:r>
        <w:rPr>
          <w:rFonts w:ascii="Arial" w:hAnsi="Arial" w:cs="Arial" w:hint="eastAsia"/>
          <w:sz w:val="20"/>
        </w:rPr>
        <w:t xml:space="preserve"> </w:t>
      </w:r>
      <w:r>
        <w:rPr>
          <w:rFonts w:ascii="Arial" w:hAnsi="Arial" w:cs="Arial" w:hint="eastAsia"/>
          <w:sz w:val="20"/>
        </w:rPr>
        <w:t>Конвенция</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ставит</w:t>
      </w:r>
      <w:r>
        <w:rPr>
          <w:rFonts w:ascii="Arial" w:hAnsi="Arial" w:cs="Arial" w:hint="eastAsia"/>
          <w:sz w:val="20"/>
        </w:rPr>
        <w:t xml:space="preserve"> </w:t>
      </w:r>
      <w:r>
        <w:rPr>
          <w:rFonts w:ascii="Arial" w:hAnsi="Arial" w:cs="Arial" w:hint="eastAsia"/>
          <w:sz w:val="20"/>
        </w:rPr>
        <w:t>своей</w:t>
      </w:r>
      <w:r>
        <w:rPr>
          <w:rFonts w:ascii="Arial" w:hAnsi="Arial" w:cs="Arial" w:hint="eastAsia"/>
          <w:sz w:val="20"/>
        </w:rPr>
        <w:t xml:space="preserve"> </w:t>
      </w:r>
      <w:r>
        <w:rPr>
          <w:rFonts w:ascii="Arial" w:hAnsi="Arial" w:cs="Arial" w:hint="eastAsia"/>
          <w:sz w:val="20"/>
        </w:rPr>
        <w:t>задачей</w:t>
      </w:r>
      <w:r>
        <w:rPr>
          <w:rFonts w:ascii="Arial" w:hAnsi="Arial" w:cs="Arial" w:hint="eastAsia"/>
          <w:sz w:val="20"/>
        </w:rPr>
        <w:t xml:space="preserve"> </w:t>
      </w:r>
      <w:r>
        <w:rPr>
          <w:rFonts w:ascii="Arial" w:hAnsi="Arial" w:cs="Arial" w:hint="eastAsia"/>
          <w:sz w:val="20"/>
        </w:rPr>
        <w:t>создание</w:t>
      </w:r>
      <w:r>
        <w:rPr>
          <w:rFonts w:ascii="Arial" w:hAnsi="Arial" w:cs="Arial" w:hint="eastAsia"/>
          <w:sz w:val="20"/>
        </w:rPr>
        <w:t xml:space="preserve"> </w:t>
      </w:r>
      <w:r>
        <w:rPr>
          <w:rFonts w:ascii="Arial" w:hAnsi="Arial" w:cs="Arial" w:hint="eastAsia"/>
          <w:sz w:val="20"/>
        </w:rPr>
        <w:t>международного</w:t>
      </w:r>
      <w:r>
        <w:rPr>
          <w:rFonts w:ascii="Arial" w:hAnsi="Arial" w:cs="Arial" w:hint="eastAsia"/>
          <w:sz w:val="20"/>
        </w:rPr>
        <w:t xml:space="preserve"> </w:t>
      </w:r>
      <w:r>
        <w:rPr>
          <w:rFonts w:ascii="Arial" w:hAnsi="Arial" w:cs="Arial" w:hint="eastAsia"/>
          <w:sz w:val="20"/>
        </w:rPr>
        <w:t>товарного</w:t>
      </w:r>
      <w:r>
        <w:rPr>
          <w:rFonts w:ascii="Arial" w:hAnsi="Arial" w:cs="Arial" w:hint="eastAsia"/>
          <w:sz w:val="20"/>
        </w:rPr>
        <w:t xml:space="preserve"> </w:t>
      </w:r>
      <w:r>
        <w:rPr>
          <w:rFonts w:ascii="Arial" w:hAnsi="Arial" w:cs="Arial" w:hint="eastAsia"/>
          <w:sz w:val="20"/>
        </w:rPr>
        <w:t>знака</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Практически</w:t>
      </w:r>
      <w:r>
        <w:rPr>
          <w:rFonts w:ascii="Arial" w:hAnsi="Arial" w:cs="Arial" w:hint="eastAsia"/>
          <w:sz w:val="20"/>
        </w:rPr>
        <w:t xml:space="preserve"> </w:t>
      </w:r>
      <w:r>
        <w:rPr>
          <w:rFonts w:ascii="Arial" w:hAnsi="Arial" w:cs="Arial" w:hint="eastAsia"/>
          <w:sz w:val="20"/>
        </w:rPr>
        <w:t>наиболее</w:t>
      </w:r>
      <w:r>
        <w:rPr>
          <w:rFonts w:ascii="Arial" w:hAnsi="Arial" w:cs="Arial" w:hint="eastAsia"/>
          <w:sz w:val="20"/>
        </w:rPr>
        <w:t xml:space="preserve"> </w:t>
      </w:r>
      <w:r>
        <w:rPr>
          <w:rFonts w:ascii="Arial" w:hAnsi="Arial" w:cs="Arial" w:hint="eastAsia"/>
          <w:sz w:val="20"/>
        </w:rPr>
        <w:t>важным</w:t>
      </w:r>
      <w:r>
        <w:rPr>
          <w:rFonts w:ascii="Arial" w:hAnsi="Arial" w:cs="Arial" w:hint="eastAsia"/>
          <w:sz w:val="20"/>
        </w:rPr>
        <w:t xml:space="preserve"> </w:t>
      </w:r>
      <w:r>
        <w:rPr>
          <w:rFonts w:ascii="Arial" w:hAnsi="Arial" w:cs="Arial" w:hint="eastAsia"/>
          <w:sz w:val="20"/>
        </w:rPr>
        <w:t>правилом</w:t>
      </w:r>
      <w:r>
        <w:rPr>
          <w:rFonts w:ascii="Arial" w:hAnsi="Arial" w:cs="Arial" w:hint="eastAsia"/>
          <w:sz w:val="20"/>
        </w:rPr>
        <w:t xml:space="preserve"> </w:t>
      </w:r>
      <w:r>
        <w:rPr>
          <w:rFonts w:ascii="Arial" w:hAnsi="Arial" w:cs="Arial" w:hint="eastAsia"/>
          <w:sz w:val="20"/>
        </w:rPr>
        <w:t>Парижской</w:t>
      </w:r>
      <w:r>
        <w:rPr>
          <w:rFonts w:ascii="Arial" w:hAnsi="Arial" w:cs="Arial" w:hint="eastAsia"/>
          <w:sz w:val="20"/>
        </w:rPr>
        <w:t xml:space="preserve">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является</w:t>
      </w:r>
      <w:r>
        <w:rPr>
          <w:rFonts w:ascii="Arial" w:hAnsi="Arial" w:cs="Arial" w:hint="eastAsia"/>
          <w:sz w:val="20"/>
        </w:rPr>
        <w:t xml:space="preserve"> </w:t>
      </w:r>
      <w:r>
        <w:rPr>
          <w:rFonts w:ascii="Arial" w:hAnsi="Arial" w:cs="Arial" w:hint="eastAsia"/>
          <w:b/>
          <w:bCs/>
          <w:sz w:val="20"/>
        </w:rPr>
        <w:t>правило</w:t>
      </w:r>
      <w:r>
        <w:rPr>
          <w:rFonts w:ascii="Arial" w:hAnsi="Arial" w:cs="Arial" w:hint="eastAsia"/>
          <w:b/>
          <w:bCs/>
          <w:sz w:val="20"/>
        </w:rPr>
        <w:t xml:space="preserve"> </w:t>
      </w:r>
      <w:r>
        <w:rPr>
          <w:rFonts w:ascii="Arial" w:hAnsi="Arial" w:cs="Arial" w:hint="eastAsia"/>
          <w:b/>
          <w:bCs/>
          <w:sz w:val="20"/>
        </w:rPr>
        <w:t>о</w:t>
      </w:r>
      <w:r>
        <w:rPr>
          <w:rFonts w:ascii="Arial" w:hAnsi="Arial" w:cs="Arial" w:hint="eastAsia"/>
          <w:b/>
          <w:bCs/>
          <w:sz w:val="20"/>
        </w:rPr>
        <w:t xml:space="preserve"> </w:t>
      </w:r>
      <w:r>
        <w:rPr>
          <w:rFonts w:ascii="Arial" w:hAnsi="Arial" w:cs="Arial" w:hint="eastAsia"/>
          <w:b/>
          <w:bCs/>
          <w:sz w:val="20"/>
        </w:rPr>
        <w:t>конвенционном</w:t>
      </w:r>
      <w:r>
        <w:rPr>
          <w:rFonts w:ascii="Arial" w:hAnsi="Arial" w:cs="Arial" w:hint="eastAsia"/>
          <w:b/>
          <w:bCs/>
          <w:sz w:val="20"/>
        </w:rPr>
        <w:t xml:space="preserve"> </w:t>
      </w:r>
      <w:r>
        <w:rPr>
          <w:rFonts w:ascii="Arial" w:hAnsi="Arial" w:cs="Arial" w:hint="eastAsia"/>
          <w:b/>
          <w:bCs/>
          <w:sz w:val="20"/>
        </w:rPr>
        <w:t>приоритете</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соответствии</w:t>
      </w:r>
      <w:r>
        <w:rPr>
          <w:rFonts w:ascii="Arial" w:hAnsi="Arial" w:cs="Arial" w:hint="eastAsia"/>
          <w:sz w:val="20"/>
        </w:rPr>
        <w:t xml:space="preserve"> </w:t>
      </w:r>
      <w:r>
        <w:rPr>
          <w:rFonts w:ascii="Arial" w:hAnsi="Arial" w:cs="Arial" w:hint="eastAsia"/>
          <w:sz w:val="20"/>
        </w:rPr>
        <w:t>со</w:t>
      </w:r>
      <w:r>
        <w:rPr>
          <w:rFonts w:ascii="Arial" w:hAnsi="Arial" w:cs="Arial" w:hint="eastAsia"/>
          <w:sz w:val="20"/>
        </w:rPr>
        <w:t xml:space="preserve"> </w:t>
      </w:r>
      <w:r>
        <w:rPr>
          <w:rFonts w:ascii="Arial" w:hAnsi="Arial" w:cs="Arial" w:hint="eastAsia"/>
          <w:sz w:val="20"/>
        </w:rPr>
        <w:t>статьей</w:t>
      </w:r>
      <w:r>
        <w:rPr>
          <w:rFonts w:ascii="Arial" w:hAnsi="Arial" w:cs="Arial" w:hint="eastAsia"/>
          <w:sz w:val="20"/>
        </w:rPr>
        <w:t xml:space="preserve"> 4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лицо</w:t>
      </w:r>
      <w:r>
        <w:rPr>
          <w:rFonts w:ascii="Arial" w:hAnsi="Arial" w:cs="Arial" w:hint="eastAsia"/>
          <w:sz w:val="20"/>
        </w:rPr>
        <w:t xml:space="preserve">, </w:t>
      </w:r>
      <w:r>
        <w:rPr>
          <w:rFonts w:ascii="Arial" w:hAnsi="Arial" w:cs="Arial" w:hint="eastAsia"/>
          <w:sz w:val="20"/>
        </w:rPr>
        <w:t>подавшее</w:t>
      </w:r>
      <w:r>
        <w:rPr>
          <w:rFonts w:ascii="Arial" w:hAnsi="Arial" w:cs="Arial" w:hint="eastAsia"/>
          <w:sz w:val="20"/>
        </w:rPr>
        <w:t xml:space="preserve"> </w:t>
      </w:r>
      <w:r>
        <w:rPr>
          <w:rFonts w:ascii="Arial" w:hAnsi="Arial" w:cs="Arial" w:hint="eastAsia"/>
          <w:sz w:val="20"/>
        </w:rPr>
        <w:t>заявку</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изобретение</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одном</w:t>
      </w:r>
      <w:r>
        <w:rPr>
          <w:rFonts w:ascii="Arial" w:hAnsi="Arial" w:cs="Arial" w:hint="eastAsia"/>
          <w:sz w:val="20"/>
        </w:rPr>
        <w:t xml:space="preserve"> </w:t>
      </w:r>
      <w:r>
        <w:rPr>
          <w:rFonts w:ascii="Arial" w:hAnsi="Arial" w:cs="Arial" w:hint="eastAsia"/>
          <w:sz w:val="20"/>
        </w:rPr>
        <w:t>из</w:t>
      </w:r>
      <w:r>
        <w:rPr>
          <w:rFonts w:ascii="Arial" w:hAnsi="Arial" w:cs="Arial" w:hint="eastAsia"/>
          <w:sz w:val="20"/>
        </w:rPr>
        <w:t xml:space="preserve"> </w:t>
      </w:r>
      <w:r>
        <w:rPr>
          <w:rFonts w:ascii="Arial" w:hAnsi="Arial" w:cs="Arial" w:hint="eastAsia"/>
          <w:sz w:val="20"/>
        </w:rPr>
        <w:t>государств</w:t>
      </w:r>
      <w:r>
        <w:rPr>
          <w:rFonts w:ascii="Arial" w:hAnsi="Arial" w:cs="Arial" w:hint="eastAsia"/>
          <w:sz w:val="20"/>
        </w:rPr>
        <w:t>-</w:t>
      </w:r>
      <w:r>
        <w:rPr>
          <w:rFonts w:ascii="Arial" w:hAnsi="Arial" w:cs="Arial" w:hint="eastAsia"/>
          <w:sz w:val="20"/>
        </w:rPr>
        <w:t>участников</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течение</w:t>
      </w:r>
      <w:r>
        <w:rPr>
          <w:rFonts w:ascii="Arial" w:hAnsi="Arial" w:cs="Arial" w:hint="eastAsia"/>
          <w:sz w:val="20"/>
        </w:rPr>
        <w:t xml:space="preserve"> </w:t>
      </w:r>
      <w:r>
        <w:rPr>
          <w:rFonts w:ascii="Arial" w:hAnsi="Arial" w:cs="Arial" w:hint="eastAsia"/>
          <w:sz w:val="20"/>
        </w:rPr>
        <w:t>года</w:t>
      </w:r>
      <w:r>
        <w:rPr>
          <w:rFonts w:ascii="Arial" w:hAnsi="Arial" w:cs="Arial" w:hint="eastAsia"/>
          <w:sz w:val="20"/>
        </w:rPr>
        <w:t xml:space="preserve"> </w:t>
      </w:r>
      <w:r>
        <w:rPr>
          <w:rFonts w:ascii="Arial" w:hAnsi="Arial" w:cs="Arial" w:hint="eastAsia"/>
          <w:sz w:val="20"/>
        </w:rPr>
        <w:t>со</w:t>
      </w:r>
      <w:r>
        <w:rPr>
          <w:rFonts w:ascii="Arial" w:hAnsi="Arial" w:cs="Arial" w:hint="eastAsia"/>
          <w:sz w:val="20"/>
        </w:rPr>
        <w:t xml:space="preserve"> </w:t>
      </w:r>
      <w:r>
        <w:rPr>
          <w:rFonts w:ascii="Arial" w:hAnsi="Arial" w:cs="Arial" w:hint="eastAsia"/>
          <w:sz w:val="20"/>
        </w:rPr>
        <w:t>дня</w:t>
      </w:r>
      <w:r>
        <w:rPr>
          <w:rFonts w:ascii="Arial" w:hAnsi="Arial" w:cs="Arial" w:hint="eastAsia"/>
          <w:sz w:val="20"/>
        </w:rPr>
        <w:t xml:space="preserve"> </w:t>
      </w:r>
      <w:r>
        <w:rPr>
          <w:rFonts w:ascii="Arial" w:hAnsi="Arial" w:cs="Arial" w:hint="eastAsia"/>
          <w:sz w:val="20"/>
        </w:rPr>
        <w:t>подачи</w:t>
      </w:r>
      <w:r>
        <w:rPr>
          <w:rFonts w:ascii="Arial" w:hAnsi="Arial" w:cs="Arial" w:hint="eastAsia"/>
          <w:sz w:val="20"/>
        </w:rPr>
        <w:t xml:space="preserve"> </w:t>
      </w:r>
      <w:r>
        <w:rPr>
          <w:rFonts w:ascii="Arial" w:hAnsi="Arial" w:cs="Arial" w:hint="eastAsia"/>
          <w:sz w:val="20"/>
        </w:rPr>
        <w:t>первой</w:t>
      </w:r>
      <w:r>
        <w:rPr>
          <w:rFonts w:ascii="Arial" w:hAnsi="Arial" w:cs="Arial" w:hint="eastAsia"/>
          <w:sz w:val="20"/>
        </w:rPr>
        <w:t xml:space="preserve"> </w:t>
      </w:r>
      <w:r>
        <w:rPr>
          <w:rFonts w:ascii="Arial" w:hAnsi="Arial" w:cs="Arial" w:hint="eastAsia"/>
          <w:sz w:val="20"/>
        </w:rPr>
        <w:t>заявки</w:t>
      </w:r>
      <w:r>
        <w:rPr>
          <w:rFonts w:ascii="Arial" w:hAnsi="Arial" w:cs="Arial" w:hint="eastAsia"/>
          <w:sz w:val="20"/>
        </w:rPr>
        <w:t xml:space="preserve"> </w:t>
      </w:r>
      <w:r>
        <w:rPr>
          <w:rFonts w:ascii="Arial" w:hAnsi="Arial" w:cs="Arial" w:hint="eastAsia"/>
          <w:sz w:val="20"/>
        </w:rPr>
        <w:t>пользуется</w:t>
      </w:r>
      <w:r>
        <w:rPr>
          <w:rFonts w:ascii="Arial" w:hAnsi="Arial" w:cs="Arial" w:hint="eastAsia"/>
          <w:sz w:val="20"/>
        </w:rPr>
        <w:t xml:space="preserve"> </w:t>
      </w:r>
      <w:r>
        <w:rPr>
          <w:rFonts w:ascii="Arial" w:hAnsi="Arial" w:cs="Arial" w:hint="eastAsia"/>
          <w:sz w:val="20"/>
        </w:rPr>
        <w:t>правом</w:t>
      </w:r>
      <w:r>
        <w:rPr>
          <w:rFonts w:ascii="Arial" w:hAnsi="Arial" w:cs="Arial" w:hint="eastAsia"/>
          <w:sz w:val="20"/>
        </w:rPr>
        <w:t xml:space="preserve"> </w:t>
      </w:r>
      <w:r>
        <w:rPr>
          <w:rFonts w:ascii="Arial" w:hAnsi="Arial" w:cs="Arial" w:hint="eastAsia"/>
          <w:sz w:val="20"/>
        </w:rPr>
        <w:t>приоритета</w:t>
      </w:r>
      <w:r>
        <w:rPr>
          <w:rFonts w:ascii="Arial" w:hAnsi="Arial" w:cs="Arial" w:hint="eastAsia"/>
          <w:sz w:val="20"/>
        </w:rPr>
        <w:t xml:space="preserve"> </w:t>
      </w:r>
      <w:r>
        <w:rPr>
          <w:rFonts w:ascii="Arial" w:hAnsi="Arial" w:cs="Arial" w:hint="eastAsia"/>
          <w:sz w:val="20"/>
        </w:rPr>
        <w:t>для</w:t>
      </w:r>
      <w:r>
        <w:rPr>
          <w:rFonts w:ascii="Arial" w:hAnsi="Arial" w:cs="Arial" w:hint="eastAsia"/>
          <w:sz w:val="20"/>
        </w:rPr>
        <w:t xml:space="preserve"> </w:t>
      </w:r>
      <w:r>
        <w:rPr>
          <w:rFonts w:ascii="Arial" w:hAnsi="Arial" w:cs="Arial" w:hint="eastAsia"/>
          <w:sz w:val="20"/>
        </w:rPr>
        <w:t>подачи</w:t>
      </w:r>
      <w:r>
        <w:rPr>
          <w:rFonts w:ascii="Arial" w:hAnsi="Arial" w:cs="Arial" w:hint="eastAsia"/>
          <w:sz w:val="20"/>
        </w:rPr>
        <w:t xml:space="preserve"> </w:t>
      </w:r>
      <w:r>
        <w:rPr>
          <w:rFonts w:ascii="Arial" w:hAnsi="Arial" w:cs="Arial" w:hint="eastAsia"/>
          <w:sz w:val="20"/>
        </w:rPr>
        <w:t>заявки</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других</w:t>
      </w:r>
      <w:r>
        <w:rPr>
          <w:rFonts w:ascii="Arial" w:hAnsi="Arial" w:cs="Arial" w:hint="eastAsia"/>
          <w:sz w:val="20"/>
        </w:rPr>
        <w:t xml:space="preserve"> </w:t>
      </w:r>
      <w:r>
        <w:rPr>
          <w:rFonts w:ascii="Arial" w:hAnsi="Arial" w:cs="Arial" w:hint="eastAsia"/>
          <w:sz w:val="20"/>
        </w:rPr>
        <w:t>государствах</w:t>
      </w:r>
      <w:r>
        <w:rPr>
          <w:rFonts w:ascii="Arial" w:hAnsi="Arial" w:cs="Arial" w:hint="eastAsia"/>
          <w:sz w:val="20"/>
        </w:rPr>
        <w:t>-</w:t>
      </w:r>
      <w:r>
        <w:rPr>
          <w:rFonts w:ascii="Arial" w:hAnsi="Arial" w:cs="Arial" w:hint="eastAsia"/>
          <w:sz w:val="20"/>
        </w:rPr>
        <w:t>участниках</w:t>
      </w:r>
      <w:r>
        <w:rPr>
          <w:rFonts w:ascii="Arial" w:hAnsi="Arial" w:cs="Arial" w:hint="eastAsia"/>
          <w:sz w:val="20"/>
        </w:rPr>
        <w:t xml:space="preserve">. </w:t>
      </w:r>
      <w:r>
        <w:rPr>
          <w:rFonts w:ascii="Arial" w:hAnsi="Arial" w:cs="Arial" w:hint="eastAsia"/>
          <w:sz w:val="20"/>
        </w:rPr>
        <w:t>Публикация</w:t>
      </w:r>
      <w:r>
        <w:rPr>
          <w:rFonts w:ascii="Arial" w:hAnsi="Arial" w:cs="Arial" w:hint="eastAsia"/>
          <w:sz w:val="20"/>
        </w:rPr>
        <w:t xml:space="preserve"> </w:t>
      </w:r>
      <w:r>
        <w:rPr>
          <w:rFonts w:ascii="Arial" w:hAnsi="Arial" w:cs="Arial" w:hint="eastAsia"/>
          <w:sz w:val="20"/>
        </w:rPr>
        <w:t>о</w:t>
      </w:r>
      <w:r>
        <w:rPr>
          <w:rFonts w:ascii="Arial" w:hAnsi="Arial" w:cs="Arial" w:hint="eastAsia"/>
          <w:sz w:val="20"/>
        </w:rPr>
        <w:t xml:space="preserve"> </w:t>
      </w:r>
      <w:r>
        <w:rPr>
          <w:rFonts w:ascii="Arial" w:hAnsi="Arial" w:cs="Arial" w:hint="eastAsia"/>
          <w:sz w:val="20"/>
        </w:rPr>
        <w:t>таком</w:t>
      </w:r>
      <w:r>
        <w:rPr>
          <w:rFonts w:ascii="Arial" w:hAnsi="Arial" w:cs="Arial" w:hint="eastAsia"/>
          <w:sz w:val="20"/>
        </w:rPr>
        <w:t xml:space="preserve"> </w:t>
      </w:r>
      <w:r>
        <w:rPr>
          <w:rFonts w:ascii="Arial" w:hAnsi="Arial" w:cs="Arial" w:hint="eastAsia"/>
          <w:sz w:val="20"/>
        </w:rPr>
        <w:t>изобретении</w:t>
      </w:r>
      <w:r>
        <w:rPr>
          <w:rFonts w:ascii="Arial" w:hAnsi="Arial" w:cs="Arial" w:hint="eastAsia"/>
          <w:sz w:val="20"/>
        </w:rPr>
        <w:t xml:space="preserve">, </w:t>
      </w:r>
      <w:r>
        <w:rPr>
          <w:rFonts w:ascii="Arial" w:hAnsi="Arial" w:cs="Arial" w:hint="eastAsia"/>
          <w:sz w:val="20"/>
        </w:rPr>
        <w:t>подача</w:t>
      </w:r>
      <w:r>
        <w:rPr>
          <w:rFonts w:ascii="Arial" w:hAnsi="Arial" w:cs="Arial" w:hint="eastAsia"/>
          <w:sz w:val="20"/>
        </w:rPr>
        <w:t xml:space="preserve"> </w:t>
      </w:r>
      <w:r>
        <w:rPr>
          <w:rFonts w:ascii="Arial" w:hAnsi="Arial" w:cs="Arial" w:hint="eastAsia"/>
          <w:sz w:val="20"/>
        </w:rPr>
        <w:t>заявки</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него</w:t>
      </w:r>
      <w:r>
        <w:rPr>
          <w:rFonts w:ascii="Arial" w:hAnsi="Arial" w:cs="Arial" w:hint="eastAsia"/>
          <w:sz w:val="20"/>
        </w:rPr>
        <w:t xml:space="preserve"> </w:t>
      </w:r>
      <w:r>
        <w:rPr>
          <w:rFonts w:ascii="Arial" w:hAnsi="Arial" w:cs="Arial" w:hint="eastAsia"/>
          <w:sz w:val="20"/>
        </w:rPr>
        <w:t>третьими</w:t>
      </w:r>
      <w:r>
        <w:rPr>
          <w:rFonts w:ascii="Arial" w:hAnsi="Arial" w:cs="Arial" w:hint="eastAsia"/>
          <w:sz w:val="20"/>
        </w:rPr>
        <w:t xml:space="preserve"> </w:t>
      </w:r>
      <w:r>
        <w:rPr>
          <w:rFonts w:ascii="Arial" w:hAnsi="Arial" w:cs="Arial" w:hint="eastAsia"/>
          <w:sz w:val="20"/>
        </w:rPr>
        <w:t>лицами</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течение</w:t>
      </w:r>
      <w:r>
        <w:rPr>
          <w:rFonts w:ascii="Arial" w:hAnsi="Arial" w:cs="Arial" w:hint="eastAsia"/>
          <w:sz w:val="20"/>
        </w:rPr>
        <w:t xml:space="preserve"> </w:t>
      </w:r>
      <w:r>
        <w:rPr>
          <w:rFonts w:ascii="Arial" w:hAnsi="Arial" w:cs="Arial" w:hint="eastAsia"/>
          <w:sz w:val="20"/>
        </w:rPr>
        <w:t>годичного</w:t>
      </w:r>
      <w:r>
        <w:rPr>
          <w:rFonts w:ascii="Arial" w:hAnsi="Arial" w:cs="Arial" w:hint="eastAsia"/>
          <w:sz w:val="20"/>
        </w:rPr>
        <w:t xml:space="preserve"> </w:t>
      </w:r>
      <w:r>
        <w:rPr>
          <w:rFonts w:ascii="Arial" w:hAnsi="Arial" w:cs="Arial" w:hint="eastAsia"/>
          <w:sz w:val="20"/>
        </w:rPr>
        <w:t>срока</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помешают</w:t>
      </w:r>
      <w:r>
        <w:rPr>
          <w:rFonts w:ascii="Arial" w:hAnsi="Arial" w:cs="Arial" w:hint="eastAsia"/>
          <w:sz w:val="20"/>
        </w:rPr>
        <w:t xml:space="preserve"> </w:t>
      </w:r>
      <w:r>
        <w:rPr>
          <w:rFonts w:ascii="Arial" w:hAnsi="Arial" w:cs="Arial" w:hint="eastAsia"/>
          <w:sz w:val="20"/>
        </w:rPr>
        <w:t>выдаче</w:t>
      </w:r>
      <w:r>
        <w:rPr>
          <w:rFonts w:ascii="Arial" w:hAnsi="Arial" w:cs="Arial" w:hint="eastAsia"/>
          <w:sz w:val="20"/>
        </w:rPr>
        <w:t xml:space="preserve"> </w:t>
      </w:r>
      <w:r>
        <w:rPr>
          <w:rFonts w:ascii="Arial" w:hAnsi="Arial" w:cs="Arial" w:hint="eastAsia"/>
          <w:sz w:val="20"/>
        </w:rPr>
        <w:t>патента</w:t>
      </w:r>
      <w:r>
        <w:rPr>
          <w:rFonts w:ascii="Arial" w:hAnsi="Arial" w:cs="Arial" w:hint="eastAsia"/>
          <w:sz w:val="20"/>
        </w:rPr>
        <w:t xml:space="preserve">, </w:t>
      </w:r>
      <w:r>
        <w:rPr>
          <w:rFonts w:ascii="Arial" w:hAnsi="Arial" w:cs="Arial" w:hint="eastAsia"/>
          <w:sz w:val="20"/>
        </w:rPr>
        <w:t>так</w:t>
      </w:r>
      <w:r>
        <w:rPr>
          <w:rFonts w:ascii="Arial" w:hAnsi="Arial" w:cs="Arial" w:hint="eastAsia"/>
          <w:sz w:val="20"/>
        </w:rPr>
        <w:t xml:space="preserve"> </w:t>
      </w:r>
      <w:r>
        <w:rPr>
          <w:rFonts w:ascii="Arial" w:hAnsi="Arial" w:cs="Arial" w:hint="eastAsia"/>
          <w:sz w:val="20"/>
        </w:rPr>
        <w:t>как</w:t>
      </w:r>
      <w:r>
        <w:rPr>
          <w:rFonts w:ascii="Arial" w:hAnsi="Arial" w:cs="Arial" w:hint="eastAsia"/>
          <w:sz w:val="20"/>
        </w:rPr>
        <w:t xml:space="preserve"> </w:t>
      </w:r>
      <w:r>
        <w:rPr>
          <w:rFonts w:ascii="Arial" w:hAnsi="Arial" w:cs="Arial" w:hint="eastAsia"/>
          <w:sz w:val="20"/>
        </w:rPr>
        <w:t>приоритет</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новизна</w:t>
      </w:r>
      <w:r>
        <w:rPr>
          <w:rFonts w:ascii="Arial" w:hAnsi="Arial" w:cs="Arial" w:hint="eastAsia"/>
          <w:sz w:val="20"/>
        </w:rPr>
        <w:t xml:space="preserve"> </w:t>
      </w:r>
      <w:r>
        <w:rPr>
          <w:rFonts w:ascii="Arial" w:hAnsi="Arial" w:cs="Arial" w:hint="eastAsia"/>
          <w:sz w:val="20"/>
        </w:rPr>
        <w:t>изобретения</w:t>
      </w:r>
      <w:r>
        <w:rPr>
          <w:rFonts w:ascii="Arial" w:hAnsi="Arial" w:cs="Arial" w:hint="eastAsia"/>
          <w:sz w:val="20"/>
        </w:rPr>
        <w:t xml:space="preserve"> </w:t>
      </w:r>
      <w:r>
        <w:rPr>
          <w:rFonts w:ascii="Arial" w:hAnsi="Arial" w:cs="Arial" w:hint="eastAsia"/>
          <w:sz w:val="20"/>
        </w:rPr>
        <w:t>будут</w:t>
      </w:r>
      <w:r>
        <w:rPr>
          <w:rFonts w:ascii="Arial" w:hAnsi="Arial" w:cs="Arial" w:hint="eastAsia"/>
          <w:sz w:val="20"/>
        </w:rPr>
        <w:t xml:space="preserve"> </w:t>
      </w:r>
      <w:r>
        <w:rPr>
          <w:rFonts w:ascii="Arial" w:hAnsi="Arial" w:cs="Arial" w:hint="eastAsia"/>
          <w:sz w:val="20"/>
        </w:rPr>
        <w:t>определяться</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другой</w:t>
      </w:r>
      <w:r>
        <w:rPr>
          <w:rFonts w:ascii="Arial" w:hAnsi="Arial" w:cs="Arial" w:hint="eastAsia"/>
          <w:sz w:val="20"/>
        </w:rPr>
        <w:t xml:space="preserve"> </w:t>
      </w:r>
      <w:r>
        <w:rPr>
          <w:rFonts w:ascii="Arial" w:hAnsi="Arial" w:cs="Arial" w:hint="eastAsia"/>
          <w:sz w:val="20"/>
        </w:rPr>
        <w:t>стране</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день</w:t>
      </w:r>
      <w:r>
        <w:rPr>
          <w:rFonts w:ascii="Arial" w:hAnsi="Arial" w:cs="Arial" w:hint="eastAsia"/>
          <w:sz w:val="20"/>
        </w:rPr>
        <w:t xml:space="preserve"> </w:t>
      </w:r>
      <w:r>
        <w:rPr>
          <w:rFonts w:ascii="Arial" w:hAnsi="Arial" w:cs="Arial" w:hint="eastAsia"/>
          <w:sz w:val="20"/>
        </w:rPr>
        <w:t>фактической</w:t>
      </w:r>
      <w:r>
        <w:rPr>
          <w:rFonts w:ascii="Arial" w:hAnsi="Arial" w:cs="Arial" w:hint="eastAsia"/>
          <w:sz w:val="20"/>
        </w:rPr>
        <w:t xml:space="preserve"> </w:t>
      </w:r>
      <w:r>
        <w:rPr>
          <w:rFonts w:ascii="Arial" w:hAnsi="Arial" w:cs="Arial" w:hint="eastAsia"/>
          <w:sz w:val="20"/>
        </w:rPr>
        <w:t>подачи</w:t>
      </w:r>
      <w:r>
        <w:rPr>
          <w:rFonts w:ascii="Arial" w:hAnsi="Arial" w:cs="Arial" w:hint="eastAsia"/>
          <w:sz w:val="20"/>
        </w:rPr>
        <w:t xml:space="preserve"> </w:t>
      </w:r>
      <w:r>
        <w:rPr>
          <w:rFonts w:ascii="Arial" w:hAnsi="Arial" w:cs="Arial" w:hint="eastAsia"/>
          <w:sz w:val="20"/>
        </w:rPr>
        <w:t>заявки</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ней</w:t>
      </w:r>
      <w:r>
        <w:rPr>
          <w:rFonts w:ascii="Arial" w:hAnsi="Arial" w:cs="Arial" w:hint="eastAsia"/>
          <w:sz w:val="20"/>
        </w:rPr>
        <w:t xml:space="preserve">, </w:t>
      </w:r>
      <w:r>
        <w:rPr>
          <w:rFonts w:ascii="Arial" w:hAnsi="Arial" w:cs="Arial" w:hint="eastAsia"/>
          <w:sz w:val="20"/>
        </w:rPr>
        <w:t>а</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 xml:space="preserve"> </w:t>
      </w:r>
      <w:r>
        <w:rPr>
          <w:rFonts w:ascii="Arial" w:hAnsi="Arial" w:cs="Arial" w:hint="eastAsia"/>
          <w:sz w:val="20"/>
        </w:rPr>
        <w:t>времени</w:t>
      </w:r>
      <w:r>
        <w:rPr>
          <w:rFonts w:ascii="Arial" w:hAnsi="Arial" w:cs="Arial" w:hint="eastAsia"/>
          <w:sz w:val="20"/>
        </w:rPr>
        <w:t xml:space="preserve"> </w:t>
      </w:r>
      <w:r>
        <w:rPr>
          <w:rFonts w:ascii="Arial" w:hAnsi="Arial" w:cs="Arial" w:hint="eastAsia"/>
          <w:sz w:val="20"/>
        </w:rPr>
        <w:t>подачи</w:t>
      </w:r>
      <w:r>
        <w:rPr>
          <w:rFonts w:ascii="Arial" w:hAnsi="Arial" w:cs="Arial" w:hint="eastAsia"/>
          <w:sz w:val="20"/>
        </w:rPr>
        <w:t xml:space="preserve"> </w:t>
      </w:r>
      <w:r>
        <w:rPr>
          <w:rFonts w:ascii="Arial" w:hAnsi="Arial" w:cs="Arial" w:hint="eastAsia"/>
          <w:sz w:val="20"/>
        </w:rPr>
        <w:t>первой</w:t>
      </w:r>
      <w:r>
        <w:rPr>
          <w:rFonts w:ascii="Arial" w:hAnsi="Arial" w:cs="Arial" w:hint="eastAsia"/>
          <w:sz w:val="20"/>
        </w:rPr>
        <w:t xml:space="preserve"> </w:t>
      </w:r>
      <w:r>
        <w:rPr>
          <w:rFonts w:ascii="Arial" w:hAnsi="Arial" w:cs="Arial" w:hint="eastAsia"/>
          <w:sz w:val="20"/>
        </w:rPr>
        <w:t>заявки</w:t>
      </w:r>
      <w:r>
        <w:rPr>
          <w:rFonts w:ascii="Arial" w:hAnsi="Arial" w:cs="Arial" w:hint="eastAsia"/>
          <w:sz w:val="20"/>
        </w:rPr>
        <w:t xml:space="preserve">. </w:t>
      </w:r>
      <w:r>
        <w:rPr>
          <w:rFonts w:ascii="Arial" w:hAnsi="Arial" w:cs="Arial" w:hint="eastAsia"/>
          <w:sz w:val="20"/>
        </w:rPr>
        <w:t>Конвенционный</w:t>
      </w:r>
      <w:r>
        <w:rPr>
          <w:rFonts w:ascii="Arial" w:hAnsi="Arial" w:cs="Arial" w:hint="eastAsia"/>
          <w:sz w:val="20"/>
        </w:rPr>
        <w:t xml:space="preserve"> </w:t>
      </w:r>
      <w:r>
        <w:rPr>
          <w:rFonts w:ascii="Arial" w:hAnsi="Arial" w:cs="Arial" w:hint="eastAsia"/>
          <w:sz w:val="20"/>
        </w:rPr>
        <w:t>приоритет</w:t>
      </w:r>
      <w:r>
        <w:rPr>
          <w:rFonts w:ascii="Arial" w:hAnsi="Arial" w:cs="Arial" w:hint="eastAsia"/>
          <w:sz w:val="20"/>
        </w:rPr>
        <w:t xml:space="preserve"> </w:t>
      </w:r>
      <w:r>
        <w:rPr>
          <w:rFonts w:ascii="Arial" w:hAnsi="Arial" w:cs="Arial" w:hint="eastAsia"/>
          <w:sz w:val="20"/>
        </w:rPr>
        <w:t>предоставляется</w:t>
      </w:r>
      <w:r>
        <w:rPr>
          <w:rFonts w:ascii="Arial" w:hAnsi="Arial" w:cs="Arial" w:hint="eastAsia"/>
          <w:sz w:val="20"/>
        </w:rPr>
        <w:t xml:space="preserve"> </w:t>
      </w:r>
      <w:r>
        <w:rPr>
          <w:rFonts w:ascii="Arial" w:hAnsi="Arial" w:cs="Arial" w:hint="eastAsia"/>
          <w:sz w:val="20"/>
        </w:rPr>
        <w:t>также</w:t>
      </w:r>
      <w:r>
        <w:rPr>
          <w:rFonts w:ascii="Arial" w:hAnsi="Arial" w:cs="Arial" w:hint="eastAsia"/>
          <w:sz w:val="20"/>
        </w:rPr>
        <w:t xml:space="preserve"> </w:t>
      </w:r>
      <w:r>
        <w:rPr>
          <w:rFonts w:ascii="Arial" w:hAnsi="Arial" w:cs="Arial" w:hint="eastAsia"/>
          <w:sz w:val="20"/>
        </w:rPr>
        <w:t>при</w:t>
      </w:r>
      <w:r>
        <w:rPr>
          <w:rFonts w:ascii="Arial" w:hAnsi="Arial" w:cs="Arial" w:hint="eastAsia"/>
          <w:sz w:val="20"/>
        </w:rPr>
        <w:t xml:space="preserve"> </w:t>
      </w:r>
      <w:r>
        <w:rPr>
          <w:rFonts w:ascii="Arial" w:hAnsi="Arial" w:cs="Arial" w:hint="eastAsia"/>
          <w:sz w:val="20"/>
        </w:rPr>
        <w:t>патентовании</w:t>
      </w:r>
      <w:r>
        <w:rPr>
          <w:rFonts w:ascii="Arial" w:hAnsi="Arial" w:cs="Arial" w:hint="eastAsia"/>
          <w:sz w:val="20"/>
        </w:rPr>
        <w:t xml:space="preserve"> </w:t>
      </w:r>
      <w:r>
        <w:rPr>
          <w:rFonts w:ascii="Arial" w:hAnsi="Arial" w:cs="Arial" w:hint="eastAsia"/>
          <w:sz w:val="20"/>
        </w:rPr>
        <w:t>промышленных</w:t>
      </w:r>
      <w:r>
        <w:rPr>
          <w:rFonts w:ascii="Arial" w:hAnsi="Arial" w:cs="Arial" w:hint="eastAsia"/>
          <w:sz w:val="20"/>
        </w:rPr>
        <w:t xml:space="preserve"> </w:t>
      </w:r>
      <w:r>
        <w:rPr>
          <w:rFonts w:ascii="Arial" w:hAnsi="Arial" w:cs="Arial" w:hint="eastAsia"/>
          <w:sz w:val="20"/>
        </w:rPr>
        <w:t>образцов</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течение</w:t>
      </w:r>
      <w:r>
        <w:rPr>
          <w:rFonts w:ascii="Arial" w:hAnsi="Arial" w:cs="Arial" w:hint="eastAsia"/>
          <w:sz w:val="20"/>
        </w:rPr>
        <w:t xml:space="preserve"> 6 </w:t>
      </w:r>
      <w:r>
        <w:rPr>
          <w:rFonts w:ascii="Arial" w:hAnsi="Arial" w:cs="Arial" w:hint="eastAsia"/>
          <w:sz w:val="20"/>
        </w:rPr>
        <w:t>месяцев</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регистрации</w:t>
      </w:r>
      <w:r>
        <w:rPr>
          <w:rFonts w:ascii="Arial" w:hAnsi="Arial" w:cs="Arial" w:hint="eastAsia"/>
          <w:sz w:val="20"/>
        </w:rPr>
        <w:t xml:space="preserve"> </w:t>
      </w:r>
      <w:r>
        <w:rPr>
          <w:rFonts w:ascii="Arial" w:hAnsi="Arial" w:cs="Arial" w:hint="eastAsia"/>
          <w:sz w:val="20"/>
        </w:rPr>
        <w:t>товарных</w:t>
      </w:r>
      <w:r>
        <w:rPr>
          <w:rFonts w:ascii="Arial" w:hAnsi="Arial" w:cs="Arial" w:hint="eastAsia"/>
          <w:sz w:val="20"/>
        </w:rPr>
        <w:t xml:space="preserve"> </w:t>
      </w:r>
      <w:r>
        <w:rPr>
          <w:rFonts w:ascii="Arial" w:hAnsi="Arial" w:cs="Arial" w:hint="eastAsia"/>
          <w:sz w:val="20"/>
        </w:rPr>
        <w:t>знаков</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такой</w:t>
      </w:r>
      <w:r>
        <w:rPr>
          <w:rFonts w:ascii="Arial" w:hAnsi="Arial" w:cs="Arial" w:hint="eastAsia"/>
          <w:sz w:val="20"/>
        </w:rPr>
        <w:t xml:space="preserve"> </w:t>
      </w:r>
      <w:r>
        <w:rPr>
          <w:rFonts w:ascii="Arial" w:hAnsi="Arial" w:cs="Arial" w:hint="eastAsia"/>
          <w:sz w:val="20"/>
        </w:rPr>
        <w:t>же</w:t>
      </w:r>
      <w:r>
        <w:rPr>
          <w:rFonts w:ascii="Arial" w:hAnsi="Arial" w:cs="Arial" w:hint="eastAsia"/>
          <w:sz w:val="20"/>
        </w:rPr>
        <w:t xml:space="preserve"> </w:t>
      </w:r>
      <w:r>
        <w:rPr>
          <w:rFonts w:ascii="Arial" w:hAnsi="Arial" w:cs="Arial" w:hint="eastAsia"/>
          <w:sz w:val="20"/>
        </w:rPr>
        <w:t>срок</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В</w:t>
      </w:r>
      <w:r>
        <w:rPr>
          <w:rFonts w:ascii="Arial" w:hAnsi="Arial" w:cs="Arial" w:hint="eastAsia"/>
          <w:sz w:val="20"/>
        </w:rPr>
        <w:t xml:space="preserve"> </w:t>
      </w:r>
      <w:r>
        <w:rPr>
          <w:rFonts w:ascii="Arial" w:hAnsi="Arial" w:cs="Arial" w:hint="eastAsia"/>
          <w:sz w:val="20"/>
        </w:rPr>
        <w:t>связи</w:t>
      </w:r>
      <w:r>
        <w:rPr>
          <w:rFonts w:ascii="Arial" w:hAnsi="Arial" w:cs="Arial" w:hint="eastAsia"/>
          <w:sz w:val="20"/>
        </w:rPr>
        <w:t xml:space="preserve"> </w:t>
      </w:r>
      <w:r>
        <w:rPr>
          <w:rFonts w:ascii="Arial" w:hAnsi="Arial" w:cs="Arial" w:hint="eastAsia"/>
          <w:sz w:val="20"/>
        </w:rPr>
        <w:t>с</w:t>
      </w:r>
      <w:r>
        <w:rPr>
          <w:rFonts w:ascii="Arial" w:hAnsi="Arial" w:cs="Arial" w:hint="eastAsia"/>
          <w:sz w:val="20"/>
        </w:rPr>
        <w:t xml:space="preserve"> </w:t>
      </w:r>
      <w:r>
        <w:rPr>
          <w:rFonts w:ascii="Arial" w:hAnsi="Arial" w:cs="Arial" w:hint="eastAsia"/>
          <w:sz w:val="20"/>
        </w:rPr>
        <w:t>ростом</w:t>
      </w:r>
      <w:r>
        <w:rPr>
          <w:rFonts w:ascii="Arial" w:hAnsi="Arial" w:cs="Arial" w:hint="eastAsia"/>
          <w:sz w:val="20"/>
        </w:rPr>
        <w:t xml:space="preserve"> </w:t>
      </w:r>
      <w:r>
        <w:rPr>
          <w:rFonts w:ascii="Arial" w:hAnsi="Arial" w:cs="Arial" w:hint="eastAsia"/>
          <w:sz w:val="20"/>
        </w:rPr>
        <w:t>заявок</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одни</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те</w:t>
      </w:r>
      <w:r>
        <w:rPr>
          <w:rFonts w:ascii="Arial" w:hAnsi="Arial" w:cs="Arial" w:hint="eastAsia"/>
          <w:sz w:val="20"/>
        </w:rPr>
        <w:t xml:space="preserve"> </w:t>
      </w:r>
      <w:r>
        <w:rPr>
          <w:rFonts w:ascii="Arial" w:hAnsi="Arial" w:cs="Arial" w:hint="eastAsia"/>
          <w:sz w:val="20"/>
        </w:rPr>
        <w:t>же</w:t>
      </w:r>
      <w:r>
        <w:rPr>
          <w:rFonts w:ascii="Arial" w:hAnsi="Arial" w:cs="Arial" w:hint="eastAsia"/>
          <w:sz w:val="20"/>
        </w:rPr>
        <w:t xml:space="preserve"> </w:t>
      </w:r>
      <w:r>
        <w:rPr>
          <w:rFonts w:ascii="Arial" w:hAnsi="Arial" w:cs="Arial" w:hint="eastAsia"/>
          <w:sz w:val="20"/>
        </w:rPr>
        <w:t>изобретения</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различных</w:t>
      </w:r>
      <w:r>
        <w:rPr>
          <w:rFonts w:ascii="Arial" w:hAnsi="Arial" w:cs="Arial" w:hint="eastAsia"/>
          <w:sz w:val="20"/>
        </w:rPr>
        <w:t xml:space="preserve"> </w:t>
      </w:r>
      <w:r>
        <w:rPr>
          <w:rFonts w:ascii="Arial" w:hAnsi="Arial" w:cs="Arial" w:hint="eastAsia"/>
          <w:sz w:val="20"/>
        </w:rPr>
        <w:t>странах</w:t>
      </w:r>
      <w:r>
        <w:rPr>
          <w:rFonts w:ascii="Arial" w:hAnsi="Arial" w:cs="Arial" w:hint="eastAsia"/>
          <w:sz w:val="20"/>
        </w:rPr>
        <w:t xml:space="preserve">, </w:t>
      </w:r>
      <w:r>
        <w:rPr>
          <w:rFonts w:ascii="Arial" w:hAnsi="Arial" w:cs="Arial" w:hint="eastAsia"/>
          <w:sz w:val="20"/>
        </w:rPr>
        <w:t>расширением</w:t>
      </w:r>
      <w:r>
        <w:rPr>
          <w:rFonts w:ascii="Arial" w:hAnsi="Arial" w:cs="Arial" w:hint="eastAsia"/>
          <w:sz w:val="20"/>
        </w:rPr>
        <w:t xml:space="preserve"> </w:t>
      </w:r>
      <w:r>
        <w:rPr>
          <w:rFonts w:ascii="Arial" w:hAnsi="Arial" w:cs="Arial" w:hint="eastAsia"/>
          <w:sz w:val="20"/>
        </w:rPr>
        <w:t>масштабов</w:t>
      </w:r>
      <w:r>
        <w:rPr>
          <w:rFonts w:ascii="Arial" w:hAnsi="Arial" w:cs="Arial" w:hint="eastAsia"/>
          <w:sz w:val="20"/>
        </w:rPr>
        <w:t xml:space="preserve"> </w:t>
      </w:r>
      <w:r>
        <w:rPr>
          <w:rFonts w:ascii="Arial" w:hAnsi="Arial" w:cs="Arial" w:hint="eastAsia"/>
          <w:sz w:val="20"/>
        </w:rPr>
        <w:t>иностранного</w:t>
      </w:r>
      <w:r>
        <w:rPr>
          <w:rFonts w:ascii="Arial" w:hAnsi="Arial" w:cs="Arial" w:hint="eastAsia"/>
          <w:sz w:val="20"/>
        </w:rPr>
        <w:t xml:space="preserve"> </w:t>
      </w:r>
      <w:r>
        <w:rPr>
          <w:rFonts w:ascii="Arial" w:hAnsi="Arial" w:cs="Arial" w:hint="eastAsia"/>
          <w:sz w:val="20"/>
        </w:rPr>
        <w:t>патентования</w:t>
      </w:r>
      <w:r>
        <w:rPr>
          <w:rFonts w:ascii="Arial" w:hAnsi="Arial" w:cs="Arial" w:hint="eastAsia"/>
          <w:sz w:val="20"/>
        </w:rPr>
        <w:t xml:space="preserve"> </w:t>
      </w:r>
      <w:r>
        <w:rPr>
          <w:rFonts w:ascii="Arial" w:hAnsi="Arial" w:cs="Arial" w:hint="eastAsia"/>
          <w:sz w:val="20"/>
        </w:rPr>
        <w:t>возникла</w:t>
      </w:r>
      <w:r>
        <w:rPr>
          <w:rFonts w:ascii="Arial" w:hAnsi="Arial" w:cs="Arial" w:hint="eastAsia"/>
          <w:sz w:val="20"/>
        </w:rPr>
        <w:t xml:space="preserve"> </w:t>
      </w:r>
      <w:r>
        <w:rPr>
          <w:rFonts w:ascii="Arial" w:hAnsi="Arial" w:cs="Arial" w:hint="eastAsia"/>
          <w:sz w:val="20"/>
        </w:rPr>
        <w:t>необходимость</w:t>
      </w:r>
      <w:r>
        <w:rPr>
          <w:rFonts w:ascii="Arial" w:hAnsi="Arial" w:cs="Arial" w:hint="eastAsia"/>
          <w:sz w:val="20"/>
        </w:rPr>
        <w:t xml:space="preserve"> </w:t>
      </w:r>
      <w:r>
        <w:rPr>
          <w:rFonts w:ascii="Arial" w:hAnsi="Arial" w:cs="Arial" w:hint="eastAsia"/>
          <w:sz w:val="20"/>
        </w:rPr>
        <w:t>углубления</w:t>
      </w:r>
      <w:r>
        <w:rPr>
          <w:rFonts w:ascii="Arial" w:hAnsi="Arial" w:cs="Arial" w:hint="eastAsia"/>
          <w:sz w:val="20"/>
        </w:rPr>
        <w:t xml:space="preserve"> </w:t>
      </w:r>
      <w:r>
        <w:rPr>
          <w:rFonts w:ascii="Arial" w:hAnsi="Arial" w:cs="Arial" w:hint="eastAsia"/>
          <w:sz w:val="20"/>
        </w:rPr>
        <w:t>международного</w:t>
      </w:r>
      <w:r>
        <w:rPr>
          <w:rFonts w:ascii="Arial" w:hAnsi="Arial" w:cs="Arial" w:hint="eastAsia"/>
          <w:sz w:val="20"/>
        </w:rPr>
        <w:t xml:space="preserve"> </w:t>
      </w:r>
      <w:r>
        <w:rPr>
          <w:rFonts w:ascii="Arial" w:hAnsi="Arial" w:cs="Arial" w:hint="eastAsia"/>
          <w:sz w:val="20"/>
        </w:rPr>
        <w:t>сотрудничества</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этой</w:t>
      </w:r>
      <w:r>
        <w:rPr>
          <w:rFonts w:ascii="Arial" w:hAnsi="Arial" w:cs="Arial" w:hint="eastAsia"/>
          <w:sz w:val="20"/>
        </w:rPr>
        <w:t xml:space="preserve"> </w:t>
      </w:r>
      <w:r>
        <w:rPr>
          <w:rFonts w:ascii="Arial" w:hAnsi="Arial" w:cs="Arial" w:hint="eastAsia"/>
          <w:sz w:val="20"/>
        </w:rPr>
        <w:t>области</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 xml:space="preserve"> </w:t>
      </w:r>
      <w:r>
        <w:rPr>
          <w:rFonts w:ascii="Arial" w:hAnsi="Arial" w:cs="Arial" w:hint="eastAsia"/>
          <w:sz w:val="20"/>
        </w:rPr>
        <w:t>этой</w:t>
      </w:r>
      <w:r>
        <w:rPr>
          <w:rFonts w:ascii="Arial" w:hAnsi="Arial" w:cs="Arial" w:hint="eastAsia"/>
          <w:sz w:val="20"/>
        </w:rPr>
        <w:t xml:space="preserve"> </w:t>
      </w:r>
      <w:r>
        <w:rPr>
          <w:rFonts w:ascii="Arial" w:hAnsi="Arial" w:cs="Arial" w:hint="eastAsia"/>
          <w:sz w:val="20"/>
        </w:rPr>
        <w:t>причине</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1970 </w:t>
      </w:r>
      <w:r>
        <w:rPr>
          <w:rFonts w:ascii="Arial" w:hAnsi="Arial" w:cs="Arial" w:hint="eastAsia"/>
          <w:sz w:val="20"/>
        </w:rPr>
        <w:t>году</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Вашингтоне</w:t>
      </w:r>
      <w:r>
        <w:rPr>
          <w:rFonts w:ascii="Arial" w:hAnsi="Arial" w:cs="Arial" w:hint="eastAsia"/>
          <w:sz w:val="20"/>
        </w:rPr>
        <w:t xml:space="preserve"> </w:t>
      </w:r>
      <w:r>
        <w:rPr>
          <w:rFonts w:ascii="Arial" w:hAnsi="Arial" w:cs="Arial" w:hint="eastAsia"/>
          <w:sz w:val="20"/>
        </w:rPr>
        <w:t>был</w:t>
      </w:r>
      <w:r>
        <w:rPr>
          <w:rFonts w:ascii="Arial" w:hAnsi="Arial" w:cs="Arial" w:hint="eastAsia"/>
          <w:sz w:val="20"/>
        </w:rPr>
        <w:t xml:space="preserve"> </w:t>
      </w:r>
      <w:r>
        <w:rPr>
          <w:rFonts w:ascii="Arial" w:hAnsi="Arial" w:cs="Arial" w:hint="eastAsia"/>
          <w:sz w:val="20"/>
        </w:rPr>
        <w:t>заключен</w:t>
      </w:r>
      <w:r>
        <w:rPr>
          <w:rFonts w:ascii="Arial" w:hAnsi="Arial" w:cs="Arial" w:hint="eastAsia"/>
          <w:sz w:val="20"/>
        </w:rPr>
        <w:t xml:space="preserve"> </w:t>
      </w:r>
      <w:r>
        <w:rPr>
          <w:rFonts w:ascii="Arial" w:hAnsi="Arial" w:cs="Arial" w:hint="eastAsia"/>
          <w:b/>
          <w:bCs/>
          <w:sz w:val="20"/>
        </w:rPr>
        <w:t>Договор</w:t>
      </w:r>
      <w:r>
        <w:rPr>
          <w:rFonts w:ascii="Arial" w:hAnsi="Arial" w:cs="Arial" w:hint="eastAsia"/>
          <w:b/>
          <w:bCs/>
          <w:sz w:val="20"/>
        </w:rPr>
        <w:t xml:space="preserve"> </w:t>
      </w:r>
      <w:r>
        <w:rPr>
          <w:rFonts w:ascii="Arial" w:hAnsi="Arial" w:cs="Arial" w:hint="eastAsia"/>
          <w:b/>
          <w:bCs/>
          <w:sz w:val="20"/>
        </w:rPr>
        <w:t>о</w:t>
      </w:r>
      <w:r>
        <w:rPr>
          <w:rFonts w:ascii="Arial" w:hAnsi="Arial" w:cs="Arial" w:hint="eastAsia"/>
          <w:b/>
          <w:bCs/>
          <w:sz w:val="20"/>
        </w:rPr>
        <w:t xml:space="preserve"> </w:t>
      </w:r>
      <w:r>
        <w:rPr>
          <w:rFonts w:ascii="Arial" w:hAnsi="Arial" w:cs="Arial" w:hint="eastAsia"/>
          <w:b/>
          <w:bCs/>
          <w:sz w:val="20"/>
        </w:rPr>
        <w:t>патентной</w:t>
      </w:r>
      <w:r>
        <w:rPr>
          <w:rFonts w:ascii="Arial" w:hAnsi="Arial" w:cs="Arial" w:hint="eastAsia"/>
          <w:b/>
          <w:bCs/>
          <w:sz w:val="20"/>
        </w:rPr>
        <w:t xml:space="preserve"> </w:t>
      </w:r>
      <w:r>
        <w:rPr>
          <w:rFonts w:ascii="Arial" w:hAnsi="Arial" w:cs="Arial" w:hint="eastAsia"/>
          <w:b/>
          <w:bCs/>
          <w:sz w:val="20"/>
        </w:rPr>
        <w:t>кооперации</w:t>
      </w:r>
      <w:r>
        <w:rPr>
          <w:rFonts w:ascii="Arial" w:hAnsi="Arial" w:cs="Arial" w:hint="eastAsia"/>
          <w:b/>
          <w:bCs/>
          <w:sz w:val="20"/>
        </w:rPr>
        <w:t xml:space="preserve"> (</w:t>
      </w:r>
      <w:r>
        <w:rPr>
          <w:rFonts w:ascii="Arial" w:hAnsi="Arial" w:cs="Arial" w:hint="eastAsia"/>
          <w:b/>
          <w:bCs/>
          <w:sz w:val="20"/>
        </w:rPr>
        <w:t>РСТ</w:t>
      </w:r>
      <w:r>
        <w:rPr>
          <w:rFonts w:ascii="Arial" w:hAnsi="Arial" w:cs="Arial" w:hint="eastAsia"/>
          <w:b/>
          <w:bCs/>
          <w:sz w:val="20"/>
        </w:rPr>
        <w:t>)</w:t>
      </w:r>
      <w:r>
        <w:rPr>
          <w:rFonts w:ascii="Arial" w:hAnsi="Arial" w:cs="Arial" w:hint="eastAsia"/>
          <w:sz w:val="20"/>
        </w:rPr>
        <w:t xml:space="preserve">. </w:t>
      </w:r>
      <w:r>
        <w:rPr>
          <w:rFonts w:ascii="Arial" w:hAnsi="Arial" w:cs="Arial" w:hint="eastAsia"/>
          <w:sz w:val="20"/>
        </w:rPr>
        <w:t>СССР</w:t>
      </w:r>
      <w:r>
        <w:rPr>
          <w:rFonts w:ascii="Arial" w:hAnsi="Arial" w:cs="Arial" w:hint="eastAsia"/>
          <w:sz w:val="20"/>
        </w:rPr>
        <w:t xml:space="preserve"> </w:t>
      </w:r>
      <w:r>
        <w:rPr>
          <w:rFonts w:ascii="Arial" w:hAnsi="Arial" w:cs="Arial" w:hint="eastAsia"/>
          <w:sz w:val="20"/>
        </w:rPr>
        <w:t>ратифицировал</w:t>
      </w:r>
      <w:r>
        <w:rPr>
          <w:rFonts w:ascii="Arial" w:hAnsi="Arial" w:cs="Arial" w:hint="eastAsia"/>
          <w:sz w:val="20"/>
        </w:rPr>
        <w:t xml:space="preserve"> </w:t>
      </w:r>
      <w:r>
        <w:rPr>
          <w:rFonts w:ascii="Arial" w:hAnsi="Arial" w:cs="Arial" w:hint="eastAsia"/>
          <w:sz w:val="20"/>
        </w:rPr>
        <w:t>его</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1970 </w:t>
      </w:r>
      <w:r>
        <w:rPr>
          <w:rFonts w:ascii="Arial" w:hAnsi="Arial" w:cs="Arial" w:hint="eastAsia"/>
          <w:sz w:val="20"/>
        </w:rPr>
        <w:t>году</w:t>
      </w:r>
      <w:r>
        <w:rPr>
          <w:rFonts w:ascii="Arial" w:hAnsi="Arial" w:cs="Arial" w:hint="eastAsia"/>
          <w:sz w:val="20"/>
        </w:rPr>
        <w:t xml:space="preserve">. </w:t>
      </w:r>
      <w:r>
        <w:rPr>
          <w:rFonts w:ascii="Arial" w:hAnsi="Arial" w:cs="Arial" w:hint="eastAsia"/>
          <w:sz w:val="20"/>
        </w:rPr>
        <w:t>Задачей</w:t>
      </w:r>
      <w:r>
        <w:rPr>
          <w:rFonts w:ascii="Arial" w:hAnsi="Arial" w:cs="Arial" w:hint="eastAsia"/>
          <w:sz w:val="20"/>
        </w:rPr>
        <w:t xml:space="preserve"> </w:t>
      </w:r>
      <w:r>
        <w:rPr>
          <w:rFonts w:ascii="Arial" w:hAnsi="Arial" w:cs="Arial" w:hint="eastAsia"/>
          <w:sz w:val="20"/>
        </w:rPr>
        <w:t>Договора</w:t>
      </w:r>
      <w:r>
        <w:rPr>
          <w:rFonts w:ascii="Arial" w:hAnsi="Arial" w:cs="Arial" w:hint="eastAsia"/>
          <w:sz w:val="20"/>
        </w:rPr>
        <w:t xml:space="preserve"> </w:t>
      </w:r>
      <w:r>
        <w:rPr>
          <w:rFonts w:ascii="Arial" w:hAnsi="Arial" w:cs="Arial" w:hint="eastAsia"/>
          <w:sz w:val="20"/>
        </w:rPr>
        <w:t>является</w:t>
      </w:r>
      <w:r>
        <w:rPr>
          <w:rFonts w:ascii="Arial" w:hAnsi="Arial" w:cs="Arial" w:hint="eastAsia"/>
          <w:sz w:val="20"/>
        </w:rPr>
        <w:t xml:space="preserve"> </w:t>
      </w:r>
      <w:r>
        <w:rPr>
          <w:rFonts w:ascii="Arial" w:hAnsi="Arial" w:cs="Arial" w:hint="eastAsia"/>
          <w:b/>
          <w:bCs/>
          <w:sz w:val="20"/>
        </w:rPr>
        <w:t>облегчение</w:t>
      </w:r>
      <w:r>
        <w:rPr>
          <w:rFonts w:ascii="Arial" w:hAnsi="Arial" w:cs="Arial" w:hint="eastAsia"/>
          <w:b/>
          <w:bCs/>
          <w:sz w:val="20"/>
        </w:rPr>
        <w:t xml:space="preserve"> </w:t>
      </w:r>
      <w:r>
        <w:rPr>
          <w:rFonts w:ascii="Arial" w:hAnsi="Arial" w:cs="Arial" w:hint="eastAsia"/>
          <w:b/>
          <w:bCs/>
          <w:sz w:val="20"/>
        </w:rPr>
        <w:t>процедуры</w:t>
      </w:r>
      <w:r>
        <w:rPr>
          <w:rFonts w:ascii="Arial" w:hAnsi="Arial" w:cs="Arial" w:hint="eastAsia"/>
          <w:b/>
          <w:bCs/>
          <w:sz w:val="20"/>
        </w:rPr>
        <w:t xml:space="preserve"> </w:t>
      </w:r>
      <w:r>
        <w:rPr>
          <w:rFonts w:ascii="Arial" w:hAnsi="Arial" w:cs="Arial" w:hint="eastAsia"/>
          <w:b/>
          <w:bCs/>
          <w:sz w:val="20"/>
        </w:rPr>
        <w:t>подачи</w:t>
      </w:r>
      <w:r>
        <w:rPr>
          <w:rFonts w:ascii="Arial" w:hAnsi="Arial" w:cs="Arial" w:hint="eastAsia"/>
          <w:b/>
          <w:bCs/>
          <w:sz w:val="20"/>
        </w:rPr>
        <w:t xml:space="preserve"> </w:t>
      </w:r>
      <w:r>
        <w:rPr>
          <w:rFonts w:ascii="Arial" w:hAnsi="Arial" w:cs="Arial" w:hint="eastAsia"/>
          <w:b/>
          <w:bCs/>
          <w:sz w:val="20"/>
        </w:rPr>
        <w:t>заявок</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охрану</w:t>
      </w:r>
      <w:r>
        <w:rPr>
          <w:rFonts w:ascii="Arial" w:hAnsi="Arial" w:cs="Arial" w:hint="eastAsia"/>
          <w:sz w:val="20"/>
        </w:rPr>
        <w:t xml:space="preserve"> </w:t>
      </w:r>
      <w:r>
        <w:rPr>
          <w:rFonts w:ascii="Arial" w:hAnsi="Arial" w:cs="Arial" w:hint="eastAsia"/>
          <w:sz w:val="20"/>
        </w:rPr>
        <w:t>одной</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той</w:t>
      </w:r>
      <w:r>
        <w:rPr>
          <w:rFonts w:ascii="Arial" w:hAnsi="Arial" w:cs="Arial" w:hint="eastAsia"/>
          <w:sz w:val="20"/>
        </w:rPr>
        <w:t xml:space="preserve"> </w:t>
      </w:r>
      <w:r>
        <w:rPr>
          <w:rFonts w:ascii="Arial" w:hAnsi="Arial" w:cs="Arial" w:hint="eastAsia"/>
          <w:sz w:val="20"/>
        </w:rPr>
        <w:t>же</w:t>
      </w:r>
      <w:r>
        <w:rPr>
          <w:rFonts w:ascii="Arial" w:hAnsi="Arial" w:cs="Arial" w:hint="eastAsia"/>
          <w:sz w:val="20"/>
        </w:rPr>
        <w:t xml:space="preserve"> </w:t>
      </w:r>
      <w:r>
        <w:rPr>
          <w:rFonts w:ascii="Arial" w:hAnsi="Arial" w:cs="Arial" w:hint="eastAsia"/>
          <w:sz w:val="20"/>
        </w:rPr>
        <w:t>разработки</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разных</w:t>
      </w:r>
      <w:r>
        <w:rPr>
          <w:rFonts w:ascii="Arial" w:hAnsi="Arial" w:cs="Arial" w:hint="eastAsia"/>
          <w:sz w:val="20"/>
        </w:rPr>
        <w:t xml:space="preserve"> </w:t>
      </w:r>
      <w:r>
        <w:rPr>
          <w:rFonts w:ascii="Arial" w:hAnsi="Arial" w:cs="Arial" w:hint="eastAsia"/>
          <w:sz w:val="20"/>
        </w:rPr>
        <w:t>странах</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b/>
          <w:bCs/>
          <w:sz w:val="20"/>
        </w:rPr>
        <w:t>сокращение</w:t>
      </w:r>
      <w:r>
        <w:rPr>
          <w:rFonts w:ascii="Arial" w:hAnsi="Arial" w:cs="Arial" w:hint="eastAsia"/>
          <w:b/>
          <w:bCs/>
          <w:sz w:val="20"/>
        </w:rPr>
        <w:t xml:space="preserve"> </w:t>
      </w:r>
      <w:r>
        <w:rPr>
          <w:rFonts w:ascii="Arial" w:hAnsi="Arial" w:cs="Arial" w:hint="eastAsia"/>
          <w:b/>
          <w:bCs/>
          <w:sz w:val="20"/>
        </w:rPr>
        <w:t>дублирования</w:t>
      </w:r>
      <w:r>
        <w:rPr>
          <w:rFonts w:ascii="Arial" w:hAnsi="Arial" w:cs="Arial" w:hint="eastAsia"/>
          <w:b/>
          <w:bCs/>
          <w:sz w:val="20"/>
        </w:rPr>
        <w:t xml:space="preserve"> </w:t>
      </w:r>
      <w:r>
        <w:rPr>
          <w:rFonts w:ascii="Arial" w:hAnsi="Arial" w:cs="Arial" w:hint="eastAsia"/>
          <w:b/>
          <w:bCs/>
          <w:sz w:val="20"/>
        </w:rPr>
        <w:t>в</w:t>
      </w:r>
      <w:r>
        <w:rPr>
          <w:rFonts w:ascii="Arial" w:hAnsi="Arial" w:cs="Arial" w:hint="eastAsia"/>
          <w:b/>
          <w:bCs/>
          <w:sz w:val="20"/>
        </w:rPr>
        <w:t xml:space="preserve"> </w:t>
      </w:r>
      <w:r>
        <w:rPr>
          <w:rFonts w:ascii="Arial" w:hAnsi="Arial" w:cs="Arial" w:hint="eastAsia"/>
          <w:b/>
          <w:bCs/>
          <w:sz w:val="20"/>
        </w:rPr>
        <w:t>работе</w:t>
      </w:r>
      <w:r>
        <w:rPr>
          <w:rFonts w:ascii="Arial" w:hAnsi="Arial" w:cs="Arial" w:hint="eastAsia"/>
          <w:b/>
          <w:bCs/>
          <w:sz w:val="20"/>
        </w:rPr>
        <w:t xml:space="preserve"> </w:t>
      </w:r>
      <w:r>
        <w:rPr>
          <w:rFonts w:ascii="Arial" w:hAnsi="Arial" w:cs="Arial" w:hint="eastAsia"/>
          <w:b/>
          <w:bCs/>
          <w:sz w:val="20"/>
        </w:rPr>
        <w:t>патентных</w:t>
      </w:r>
      <w:r>
        <w:rPr>
          <w:rFonts w:ascii="Arial" w:hAnsi="Arial" w:cs="Arial" w:hint="eastAsia"/>
          <w:b/>
          <w:bCs/>
          <w:sz w:val="20"/>
        </w:rPr>
        <w:t xml:space="preserve"> </w:t>
      </w:r>
      <w:r>
        <w:rPr>
          <w:rFonts w:ascii="Arial" w:hAnsi="Arial" w:cs="Arial" w:hint="eastAsia"/>
          <w:b/>
          <w:bCs/>
          <w:sz w:val="20"/>
        </w:rPr>
        <w:t>ведомств</w:t>
      </w:r>
      <w:r>
        <w:rPr>
          <w:rFonts w:ascii="Arial" w:hAnsi="Arial" w:cs="Arial" w:hint="eastAsia"/>
          <w:sz w:val="20"/>
        </w:rPr>
        <w:t xml:space="preserve">. </w:t>
      </w:r>
      <w:r>
        <w:rPr>
          <w:rFonts w:ascii="Arial" w:hAnsi="Arial" w:cs="Arial" w:hint="eastAsia"/>
          <w:sz w:val="20"/>
        </w:rPr>
        <w:t>РСТ</w:t>
      </w:r>
      <w:r>
        <w:rPr>
          <w:rFonts w:ascii="Arial" w:hAnsi="Arial" w:cs="Arial" w:hint="eastAsia"/>
          <w:sz w:val="20"/>
        </w:rPr>
        <w:t xml:space="preserve"> </w:t>
      </w:r>
      <w:r>
        <w:rPr>
          <w:rFonts w:ascii="Arial" w:hAnsi="Arial" w:cs="Arial" w:hint="eastAsia"/>
          <w:sz w:val="20"/>
        </w:rPr>
        <w:t>устанавливает</w:t>
      </w:r>
      <w:r>
        <w:rPr>
          <w:rFonts w:ascii="Arial" w:hAnsi="Arial" w:cs="Arial" w:hint="eastAsia"/>
          <w:sz w:val="20"/>
        </w:rPr>
        <w:t xml:space="preserve"> </w:t>
      </w:r>
      <w:r>
        <w:rPr>
          <w:rFonts w:ascii="Arial" w:hAnsi="Arial" w:cs="Arial" w:hint="eastAsia"/>
          <w:sz w:val="20"/>
        </w:rPr>
        <w:t>порядок</w:t>
      </w:r>
      <w:r>
        <w:rPr>
          <w:rFonts w:ascii="Arial" w:hAnsi="Arial" w:cs="Arial" w:hint="eastAsia"/>
          <w:sz w:val="20"/>
        </w:rPr>
        <w:t xml:space="preserve"> </w:t>
      </w:r>
      <w:r>
        <w:rPr>
          <w:rFonts w:ascii="Arial" w:hAnsi="Arial" w:cs="Arial" w:hint="eastAsia"/>
          <w:sz w:val="20"/>
        </w:rPr>
        <w:t>подачи</w:t>
      </w:r>
      <w:r>
        <w:rPr>
          <w:rFonts w:ascii="Arial" w:hAnsi="Arial" w:cs="Arial" w:hint="eastAsia"/>
          <w:sz w:val="20"/>
        </w:rPr>
        <w:t xml:space="preserve"> </w:t>
      </w:r>
      <w:r>
        <w:rPr>
          <w:rFonts w:ascii="Arial" w:hAnsi="Arial" w:cs="Arial" w:hint="eastAsia"/>
          <w:sz w:val="20"/>
        </w:rPr>
        <w:t>автором</w:t>
      </w:r>
      <w:r>
        <w:rPr>
          <w:rFonts w:ascii="Arial" w:hAnsi="Arial" w:cs="Arial" w:hint="eastAsia"/>
          <w:sz w:val="20"/>
        </w:rPr>
        <w:t xml:space="preserve"> </w:t>
      </w:r>
      <w:r>
        <w:rPr>
          <w:rFonts w:ascii="Arial" w:hAnsi="Arial" w:cs="Arial" w:hint="eastAsia"/>
          <w:sz w:val="20"/>
        </w:rPr>
        <w:t>или</w:t>
      </w:r>
      <w:r>
        <w:rPr>
          <w:rFonts w:ascii="Arial" w:hAnsi="Arial" w:cs="Arial" w:hint="eastAsia"/>
          <w:sz w:val="20"/>
        </w:rPr>
        <w:t xml:space="preserve"> </w:t>
      </w:r>
      <w:r>
        <w:rPr>
          <w:rFonts w:ascii="Arial" w:hAnsi="Arial" w:cs="Arial" w:hint="eastAsia"/>
          <w:sz w:val="20"/>
        </w:rPr>
        <w:t>правопреемником</w:t>
      </w:r>
      <w:r>
        <w:rPr>
          <w:rFonts w:ascii="Arial" w:hAnsi="Arial" w:cs="Arial" w:hint="eastAsia"/>
          <w:sz w:val="20"/>
        </w:rPr>
        <w:t xml:space="preserve"> </w:t>
      </w:r>
      <w:r>
        <w:rPr>
          <w:rFonts w:ascii="Arial" w:hAnsi="Arial" w:cs="Arial" w:hint="eastAsia"/>
          <w:sz w:val="20"/>
        </w:rPr>
        <w:t>автора</w:t>
      </w:r>
      <w:r>
        <w:rPr>
          <w:rFonts w:ascii="Arial" w:hAnsi="Arial" w:cs="Arial" w:hint="eastAsia"/>
          <w:sz w:val="20"/>
        </w:rPr>
        <w:t xml:space="preserve"> </w:t>
      </w:r>
      <w:r>
        <w:rPr>
          <w:rFonts w:ascii="Arial" w:hAnsi="Arial" w:cs="Arial" w:hint="eastAsia"/>
          <w:sz w:val="20"/>
        </w:rPr>
        <w:t>изобретения</w:t>
      </w:r>
      <w:r>
        <w:rPr>
          <w:rFonts w:ascii="Arial" w:hAnsi="Arial" w:cs="Arial" w:hint="eastAsia"/>
          <w:sz w:val="20"/>
        </w:rPr>
        <w:t xml:space="preserve"> "</w:t>
      </w:r>
      <w:r>
        <w:rPr>
          <w:rFonts w:ascii="Arial" w:hAnsi="Arial" w:cs="Arial" w:hint="eastAsia"/>
          <w:sz w:val="20"/>
        </w:rPr>
        <w:t>международной</w:t>
      </w:r>
      <w:r>
        <w:rPr>
          <w:rFonts w:ascii="Arial" w:hAnsi="Arial" w:cs="Arial" w:hint="eastAsia"/>
          <w:sz w:val="20"/>
        </w:rPr>
        <w:t xml:space="preserve"> </w:t>
      </w:r>
      <w:r>
        <w:rPr>
          <w:rFonts w:ascii="Arial" w:hAnsi="Arial" w:cs="Arial" w:hint="eastAsia"/>
          <w:sz w:val="20"/>
        </w:rPr>
        <w:t>заявки</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получение</w:t>
      </w:r>
      <w:r>
        <w:rPr>
          <w:rFonts w:ascii="Arial" w:hAnsi="Arial" w:cs="Arial" w:hint="eastAsia"/>
          <w:sz w:val="20"/>
        </w:rPr>
        <w:t xml:space="preserve"> </w:t>
      </w:r>
      <w:r>
        <w:rPr>
          <w:rFonts w:ascii="Arial" w:hAnsi="Arial" w:cs="Arial" w:hint="eastAsia"/>
          <w:sz w:val="20"/>
        </w:rPr>
        <w:t>патента</w:t>
      </w:r>
      <w:r>
        <w:rPr>
          <w:rFonts w:ascii="Arial" w:hAnsi="Arial" w:cs="Arial" w:hint="eastAsia"/>
          <w:sz w:val="20"/>
        </w:rPr>
        <w:t xml:space="preserve">. </w:t>
      </w:r>
      <w:r>
        <w:rPr>
          <w:rFonts w:ascii="Arial" w:hAnsi="Arial" w:cs="Arial" w:hint="eastAsia"/>
          <w:sz w:val="20"/>
        </w:rPr>
        <w:t>Такой</w:t>
      </w:r>
      <w:r>
        <w:rPr>
          <w:rFonts w:ascii="Arial" w:hAnsi="Arial" w:cs="Arial" w:hint="eastAsia"/>
          <w:sz w:val="20"/>
        </w:rPr>
        <w:t xml:space="preserve"> </w:t>
      </w:r>
      <w:r>
        <w:rPr>
          <w:rFonts w:ascii="Arial" w:hAnsi="Arial" w:cs="Arial" w:hint="eastAsia"/>
          <w:sz w:val="20"/>
        </w:rPr>
        <w:t>порядок</w:t>
      </w:r>
      <w:r>
        <w:rPr>
          <w:rFonts w:ascii="Arial" w:hAnsi="Arial" w:cs="Arial" w:hint="eastAsia"/>
          <w:sz w:val="20"/>
        </w:rPr>
        <w:t xml:space="preserve"> </w:t>
      </w:r>
      <w:r>
        <w:rPr>
          <w:rFonts w:ascii="Arial" w:hAnsi="Arial" w:cs="Arial" w:hint="eastAsia"/>
          <w:sz w:val="20"/>
        </w:rPr>
        <w:t>уменьшает</w:t>
      </w:r>
      <w:r>
        <w:rPr>
          <w:rFonts w:ascii="Arial" w:hAnsi="Arial" w:cs="Arial" w:hint="eastAsia"/>
          <w:sz w:val="20"/>
        </w:rPr>
        <w:t xml:space="preserve"> </w:t>
      </w:r>
      <w:r>
        <w:rPr>
          <w:rFonts w:ascii="Arial" w:hAnsi="Arial" w:cs="Arial" w:hint="eastAsia"/>
          <w:sz w:val="20"/>
        </w:rPr>
        <w:t>затраты</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зарубежное</w:t>
      </w:r>
      <w:r>
        <w:rPr>
          <w:rFonts w:ascii="Arial" w:hAnsi="Arial" w:cs="Arial" w:hint="eastAsia"/>
          <w:sz w:val="20"/>
        </w:rPr>
        <w:t xml:space="preserve"> </w:t>
      </w:r>
      <w:r>
        <w:rPr>
          <w:rFonts w:ascii="Arial" w:hAnsi="Arial" w:cs="Arial" w:hint="eastAsia"/>
          <w:sz w:val="20"/>
        </w:rPr>
        <w:t>патентование</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делает</w:t>
      </w:r>
      <w:r>
        <w:rPr>
          <w:rFonts w:ascii="Arial" w:hAnsi="Arial" w:cs="Arial" w:hint="eastAsia"/>
          <w:sz w:val="20"/>
        </w:rPr>
        <w:t xml:space="preserve"> </w:t>
      </w:r>
      <w:r>
        <w:rPr>
          <w:rFonts w:ascii="Arial" w:hAnsi="Arial" w:cs="Arial" w:hint="eastAsia"/>
          <w:sz w:val="20"/>
        </w:rPr>
        <w:t>его</w:t>
      </w:r>
      <w:r>
        <w:rPr>
          <w:rFonts w:ascii="Arial" w:hAnsi="Arial" w:cs="Arial" w:hint="eastAsia"/>
          <w:sz w:val="20"/>
        </w:rPr>
        <w:t xml:space="preserve"> </w:t>
      </w:r>
      <w:r>
        <w:rPr>
          <w:rFonts w:ascii="Arial" w:hAnsi="Arial" w:cs="Arial" w:hint="eastAsia"/>
          <w:sz w:val="20"/>
        </w:rPr>
        <w:t>более</w:t>
      </w:r>
      <w:r>
        <w:rPr>
          <w:rFonts w:ascii="Arial" w:hAnsi="Arial" w:cs="Arial" w:hint="eastAsia"/>
          <w:sz w:val="20"/>
        </w:rPr>
        <w:t xml:space="preserve"> </w:t>
      </w:r>
      <w:r>
        <w:rPr>
          <w:rFonts w:ascii="Arial" w:hAnsi="Arial" w:cs="Arial" w:hint="eastAsia"/>
          <w:sz w:val="20"/>
        </w:rPr>
        <w:t>оперативным</w:t>
      </w:r>
      <w:r>
        <w:rPr>
          <w:rFonts w:ascii="Arial" w:hAnsi="Arial" w:cs="Arial" w:hint="eastAsia"/>
          <w:sz w:val="20"/>
        </w:rPr>
        <w:t xml:space="preserve">. </w:t>
      </w:r>
      <w:r>
        <w:rPr>
          <w:rFonts w:ascii="Arial" w:hAnsi="Arial" w:cs="Arial" w:hint="eastAsia"/>
          <w:sz w:val="20"/>
        </w:rPr>
        <w:t>Предусмотрено</w:t>
      </w:r>
      <w:r>
        <w:rPr>
          <w:rFonts w:ascii="Arial" w:hAnsi="Arial" w:cs="Arial" w:hint="eastAsia"/>
          <w:sz w:val="20"/>
        </w:rPr>
        <w:t xml:space="preserve"> </w:t>
      </w:r>
      <w:r>
        <w:rPr>
          <w:rFonts w:ascii="Arial" w:hAnsi="Arial" w:cs="Arial" w:hint="eastAsia"/>
          <w:sz w:val="20"/>
        </w:rPr>
        <w:t>создание</w:t>
      </w:r>
      <w:r>
        <w:rPr>
          <w:rFonts w:ascii="Arial" w:hAnsi="Arial" w:cs="Arial" w:hint="eastAsia"/>
          <w:sz w:val="20"/>
        </w:rPr>
        <w:t xml:space="preserve"> </w:t>
      </w:r>
      <w:r>
        <w:rPr>
          <w:rFonts w:ascii="Arial" w:hAnsi="Arial" w:cs="Arial" w:hint="eastAsia"/>
          <w:sz w:val="20"/>
        </w:rPr>
        <w:t>специальных</w:t>
      </w:r>
      <w:r>
        <w:rPr>
          <w:rFonts w:ascii="Arial" w:hAnsi="Arial" w:cs="Arial" w:hint="eastAsia"/>
          <w:sz w:val="20"/>
        </w:rPr>
        <w:t xml:space="preserve"> "</w:t>
      </w:r>
      <w:r>
        <w:rPr>
          <w:rFonts w:ascii="Arial" w:hAnsi="Arial" w:cs="Arial" w:hint="eastAsia"/>
          <w:sz w:val="20"/>
        </w:rPr>
        <w:t>международных</w:t>
      </w:r>
      <w:r>
        <w:rPr>
          <w:rFonts w:ascii="Arial" w:hAnsi="Arial" w:cs="Arial" w:hint="eastAsia"/>
          <w:sz w:val="20"/>
        </w:rPr>
        <w:t xml:space="preserve"> </w:t>
      </w:r>
      <w:r>
        <w:rPr>
          <w:rFonts w:ascii="Arial" w:hAnsi="Arial" w:cs="Arial" w:hint="eastAsia"/>
          <w:sz w:val="20"/>
        </w:rPr>
        <w:t>поисковых</w:t>
      </w:r>
      <w:r>
        <w:rPr>
          <w:rFonts w:ascii="Arial" w:hAnsi="Arial" w:cs="Arial" w:hint="eastAsia"/>
          <w:sz w:val="20"/>
        </w:rPr>
        <w:t xml:space="preserve"> </w:t>
      </w:r>
      <w:r>
        <w:rPr>
          <w:rFonts w:ascii="Arial" w:hAnsi="Arial" w:cs="Arial" w:hint="eastAsia"/>
          <w:sz w:val="20"/>
        </w:rPr>
        <w:t>органов</w:t>
      </w:r>
      <w:r>
        <w:rPr>
          <w:rFonts w:ascii="Arial" w:hAnsi="Arial" w:cs="Arial" w:hint="eastAsia"/>
          <w:sz w:val="20"/>
        </w:rPr>
        <w:t xml:space="preserve">", </w:t>
      </w:r>
      <w:r>
        <w:rPr>
          <w:rFonts w:ascii="Arial" w:hAnsi="Arial" w:cs="Arial" w:hint="eastAsia"/>
          <w:sz w:val="20"/>
        </w:rPr>
        <w:t>которые</w:t>
      </w:r>
      <w:r>
        <w:rPr>
          <w:rFonts w:ascii="Arial" w:hAnsi="Arial" w:cs="Arial" w:hint="eastAsia"/>
          <w:sz w:val="20"/>
        </w:rPr>
        <w:t xml:space="preserve"> </w:t>
      </w:r>
      <w:r>
        <w:rPr>
          <w:rFonts w:ascii="Arial" w:hAnsi="Arial" w:cs="Arial" w:hint="eastAsia"/>
          <w:sz w:val="20"/>
        </w:rPr>
        <w:t>производят</w:t>
      </w:r>
      <w:r>
        <w:rPr>
          <w:rFonts w:ascii="Arial" w:hAnsi="Arial" w:cs="Arial" w:hint="eastAsia"/>
          <w:sz w:val="20"/>
        </w:rPr>
        <w:t xml:space="preserve"> </w:t>
      </w:r>
      <w:r>
        <w:rPr>
          <w:rFonts w:ascii="Arial" w:hAnsi="Arial" w:cs="Arial" w:hint="eastAsia"/>
          <w:sz w:val="20"/>
        </w:rPr>
        <w:t>документальный</w:t>
      </w:r>
      <w:r>
        <w:rPr>
          <w:rFonts w:ascii="Arial" w:hAnsi="Arial" w:cs="Arial" w:hint="eastAsia"/>
          <w:sz w:val="20"/>
        </w:rPr>
        <w:t xml:space="preserve"> </w:t>
      </w:r>
      <w:r>
        <w:rPr>
          <w:rFonts w:ascii="Arial" w:hAnsi="Arial" w:cs="Arial" w:hint="eastAsia"/>
          <w:sz w:val="20"/>
        </w:rPr>
        <w:t>поиск</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 xml:space="preserve"> </w:t>
      </w:r>
      <w:r>
        <w:rPr>
          <w:rFonts w:ascii="Arial" w:hAnsi="Arial" w:cs="Arial" w:hint="eastAsia"/>
          <w:sz w:val="20"/>
        </w:rPr>
        <w:t>материалам</w:t>
      </w:r>
      <w:r>
        <w:rPr>
          <w:rFonts w:ascii="Arial" w:hAnsi="Arial" w:cs="Arial" w:hint="eastAsia"/>
          <w:sz w:val="20"/>
        </w:rPr>
        <w:t xml:space="preserve"> </w:t>
      </w:r>
      <w:r>
        <w:rPr>
          <w:rFonts w:ascii="Arial" w:hAnsi="Arial" w:cs="Arial" w:hint="eastAsia"/>
          <w:sz w:val="20"/>
        </w:rPr>
        <w:t>заявок</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организуют</w:t>
      </w:r>
      <w:r>
        <w:rPr>
          <w:rFonts w:ascii="Arial" w:hAnsi="Arial" w:cs="Arial" w:hint="eastAsia"/>
          <w:sz w:val="20"/>
        </w:rPr>
        <w:t xml:space="preserve"> </w:t>
      </w:r>
      <w:r>
        <w:rPr>
          <w:rFonts w:ascii="Arial" w:hAnsi="Arial" w:cs="Arial" w:hint="eastAsia"/>
          <w:sz w:val="20"/>
        </w:rPr>
        <w:t>проведение</w:t>
      </w:r>
      <w:r>
        <w:rPr>
          <w:rFonts w:ascii="Arial" w:hAnsi="Arial" w:cs="Arial" w:hint="eastAsia"/>
          <w:sz w:val="20"/>
        </w:rPr>
        <w:t xml:space="preserve"> </w:t>
      </w:r>
      <w:r>
        <w:rPr>
          <w:rFonts w:ascii="Arial" w:hAnsi="Arial" w:cs="Arial" w:hint="eastAsia"/>
          <w:sz w:val="20"/>
        </w:rPr>
        <w:t>экспертиз</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национальных</w:t>
      </w:r>
      <w:r>
        <w:rPr>
          <w:rFonts w:ascii="Arial" w:hAnsi="Arial" w:cs="Arial" w:hint="eastAsia"/>
          <w:sz w:val="20"/>
        </w:rPr>
        <w:t xml:space="preserve"> </w:t>
      </w:r>
      <w:r>
        <w:rPr>
          <w:rFonts w:ascii="Arial" w:hAnsi="Arial" w:cs="Arial" w:hint="eastAsia"/>
          <w:sz w:val="20"/>
        </w:rPr>
        <w:t>ведомствах</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которых</w:t>
      </w:r>
      <w:r>
        <w:rPr>
          <w:rFonts w:ascii="Arial" w:hAnsi="Arial" w:cs="Arial" w:hint="eastAsia"/>
          <w:sz w:val="20"/>
        </w:rPr>
        <w:t xml:space="preserve"> </w:t>
      </w:r>
      <w:r>
        <w:rPr>
          <w:rFonts w:ascii="Arial" w:hAnsi="Arial" w:cs="Arial" w:hint="eastAsia"/>
          <w:sz w:val="20"/>
        </w:rPr>
        <w:t>подается</w:t>
      </w:r>
      <w:r>
        <w:rPr>
          <w:rFonts w:ascii="Arial" w:hAnsi="Arial" w:cs="Arial" w:hint="eastAsia"/>
          <w:sz w:val="20"/>
        </w:rPr>
        <w:t xml:space="preserve"> </w:t>
      </w:r>
      <w:r>
        <w:rPr>
          <w:rFonts w:ascii="Arial" w:hAnsi="Arial" w:cs="Arial" w:hint="eastAsia"/>
          <w:sz w:val="20"/>
        </w:rPr>
        <w:t>заявка</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патентование</w:t>
      </w:r>
      <w:r>
        <w:rPr>
          <w:rFonts w:ascii="Arial" w:hAnsi="Arial" w:cs="Arial" w:hint="eastAsia"/>
          <w:sz w:val="20"/>
        </w:rPr>
        <w:t xml:space="preserve">. </w:t>
      </w:r>
      <w:r>
        <w:rPr>
          <w:rFonts w:ascii="Arial" w:hAnsi="Arial" w:cs="Arial" w:hint="eastAsia"/>
          <w:sz w:val="20"/>
        </w:rPr>
        <w:t>Договором</w:t>
      </w:r>
      <w:r>
        <w:rPr>
          <w:rFonts w:ascii="Arial" w:hAnsi="Arial" w:cs="Arial" w:hint="eastAsia"/>
          <w:sz w:val="20"/>
        </w:rPr>
        <w:t xml:space="preserve"> </w:t>
      </w:r>
      <w:r>
        <w:rPr>
          <w:rFonts w:ascii="Arial" w:hAnsi="Arial" w:cs="Arial" w:hint="eastAsia"/>
          <w:sz w:val="20"/>
        </w:rPr>
        <w:t>предусмотрено</w:t>
      </w:r>
      <w:r>
        <w:rPr>
          <w:rFonts w:ascii="Arial" w:hAnsi="Arial" w:cs="Arial" w:hint="eastAsia"/>
          <w:sz w:val="20"/>
        </w:rPr>
        <w:t xml:space="preserve"> </w:t>
      </w:r>
      <w:r>
        <w:rPr>
          <w:rFonts w:ascii="Arial" w:hAnsi="Arial" w:cs="Arial" w:hint="eastAsia"/>
          <w:sz w:val="20"/>
        </w:rPr>
        <w:t>проведение</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международных</w:t>
      </w:r>
      <w:r>
        <w:rPr>
          <w:rFonts w:ascii="Arial" w:hAnsi="Arial" w:cs="Arial" w:hint="eastAsia"/>
          <w:sz w:val="20"/>
        </w:rPr>
        <w:t xml:space="preserve"> </w:t>
      </w:r>
      <w:r>
        <w:rPr>
          <w:rFonts w:ascii="Arial" w:hAnsi="Arial" w:cs="Arial" w:hint="eastAsia"/>
          <w:sz w:val="20"/>
        </w:rPr>
        <w:t>предварительных</w:t>
      </w:r>
      <w:r>
        <w:rPr>
          <w:rFonts w:ascii="Arial" w:hAnsi="Arial" w:cs="Arial" w:hint="eastAsia"/>
          <w:sz w:val="20"/>
        </w:rPr>
        <w:t xml:space="preserve"> </w:t>
      </w:r>
      <w:r>
        <w:rPr>
          <w:rFonts w:ascii="Arial" w:hAnsi="Arial" w:cs="Arial" w:hint="eastAsia"/>
          <w:sz w:val="20"/>
        </w:rPr>
        <w:t>экспертиз</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Если</w:t>
      </w:r>
      <w:r>
        <w:rPr>
          <w:rFonts w:ascii="Arial" w:hAnsi="Arial" w:cs="Arial" w:hint="eastAsia"/>
          <w:sz w:val="20"/>
        </w:rPr>
        <w:t xml:space="preserve"> </w:t>
      </w:r>
      <w:r>
        <w:rPr>
          <w:rFonts w:ascii="Arial" w:hAnsi="Arial" w:cs="Arial" w:hint="eastAsia"/>
          <w:sz w:val="20"/>
        </w:rPr>
        <w:t>универсальные</w:t>
      </w:r>
      <w:r>
        <w:rPr>
          <w:rFonts w:ascii="Arial" w:hAnsi="Arial" w:cs="Arial" w:hint="eastAsia"/>
          <w:sz w:val="20"/>
        </w:rPr>
        <w:t xml:space="preserve"> </w:t>
      </w:r>
      <w:r>
        <w:rPr>
          <w:rFonts w:ascii="Arial" w:hAnsi="Arial" w:cs="Arial" w:hint="eastAsia"/>
          <w:sz w:val="20"/>
        </w:rPr>
        <w:t>международные</w:t>
      </w:r>
      <w:r>
        <w:rPr>
          <w:rFonts w:ascii="Arial" w:hAnsi="Arial" w:cs="Arial" w:hint="eastAsia"/>
          <w:sz w:val="20"/>
        </w:rPr>
        <w:t xml:space="preserve"> </w:t>
      </w:r>
      <w:r>
        <w:rPr>
          <w:rFonts w:ascii="Arial" w:hAnsi="Arial" w:cs="Arial" w:hint="eastAsia"/>
          <w:sz w:val="20"/>
        </w:rPr>
        <w:t>соглашения</w:t>
      </w:r>
      <w:r>
        <w:rPr>
          <w:rFonts w:ascii="Arial" w:hAnsi="Arial" w:cs="Arial" w:hint="eastAsia"/>
          <w:sz w:val="20"/>
        </w:rPr>
        <w:t xml:space="preserve"> </w:t>
      </w:r>
      <w:r>
        <w:rPr>
          <w:rFonts w:ascii="Arial" w:hAnsi="Arial" w:cs="Arial" w:hint="eastAsia"/>
          <w:sz w:val="20"/>
        </w:rPr>
        <w:t>об</w:t>
      </w:r>
      <w:r>
        <w:rPr>
          <w:rFonts w:ascii="Arial" w:hAnsi="Arial" w:cs="Arial" w:hint="eastAsia"/>
          <w:sz w:val="20"/>
        </w:rPr>
        <w:t xml:space="preserve"> </w:t>
      </w:r>
      <w:r>
        <w:rPr>
          <w:rFonts w:ascii="Arial" w:hAnsi="Arial" w:cs="Arial" w:hint="eastAsia"/>
          <w:sz w:val="20"/>
        </w:rPr>
        <w:t>охране</w:t>
      </w:r>
      <w:r>
        <w:rPr>
          <w:rFonts w:ascii="Arial" w:hAnsi="Arial" w:cs="Arial" w:hint="eastAsia"/>
          <w:sz w:val="20"/>
        </w:rPr>
        <w:t xml:space="preserve"> </w:t>
      </w:r>
      <w:r>
        <w:rPr>
          <w:rFonts w:ascii="Arial" w:hAnsi="Arial" w:cs="Arial" w:hint="eastAsia"/>
          <w:sz w:val="20"/>
        </w:rPr>
        <w:t>промышленной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еще</w:t>
      </w:r>
      <w:r>
        <w:rPr>
          <w:rFonts w:ascii="Arial" w:hAnsi="Arial" w:cs="Arial" w:hint="eastAsia"/>
          <w:sz w:val="20"/>
        </w:rPr>
        <w:t xml:space="preserve"> </w:t>
      </w:r>
      <w:r>
        <w:rPr>
          <w:rFonts w:ascii="Arial" w:hAnsi="Arial" w:cs="Arial" w:hint="eastAsia"/>
          <w:sz w:val="20"/>
        </w:rPr>
        <w:t>только</w:t>
      </w:r>
      <w:r>
        <w:rPr>
          <w:rFonts w:ascii="Arial" w:hAnsi="Arial" w:cs="Arial" w:hint="eastAsia"/>
          <w:sz w:val="20"/>
        </w:rPr>
        <w:t xml:space="preserve"> </w:t>
      </w:r>
      <w:r>
        <w:rPr>
          <w:rFonts w:ascii="Arial" w:hAnsi="Arial" w:cs="Arial" w:hint="eastAsia"/>
          <w:sz w:val="20"/>
        </w:rPr>
        <w:t>делают</w:t>
      </w:r>
      <w:r>
        <w:rPr>
          <w:rFonts w:ascii="Arial" w:hAnsi="Arial" w:cs="Arial" w:hint="eastAsia"/>
          <w:sz w:val="20"/>
        </w:rPr>
        <w:t xml:space="preserve"> </w:t>
      </w:r>
      <w:r>
        <w:rPr>
          <w:rFonts w:ascii="Arial" w:hAnsi="Arial" w:cs="Arial" w:hint="eastAsia"/>
          <w:sz w:val="20"/>
        </w:rPr>
        <w:t>первые</w:t>
      </w:r>
      <w:r>
        <w:rPr>
          <w:rFonts w:ascii="Arial" w:hAnsi="Arial" w:cs="Arial" w:hint="eastAsia"/>
          <w:sz w:val="20"/>
        </w:rPr>
        <w:t xml:space="preserve"> </w:t>
      </w:r>
      <w:r>
        <w:rPr>
          <w:rFonts w:ascii="Arial" w:hAnsi="Arial" w:cs="Arial" w:hint="eastAsia"/>
          <w:sz w:val="20"/>
        </w:rPr>
        <w:t>шаги</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 xml:space="preserve"> </w:t>
      </w:r>
      <w:r>
        <w:rPr>
          <w:rFonts w:ascii="Arial" w:hAnsi="Arial" w:cs="Arial" w:hint="eastAsia"/>
          <w:sz w:val="20"/>
        </w:rPr>
        <w:t>введению</w:t>
      </w:r>
      <w:r>
        <w:rPr>
          <w:rFonts w:ascii="Arial" w:hAnsi="Arial" w:cs="Arial" w:hint="eastAsia"/>
          <w:sz w:val="20"/>
        </w:rPr>
        <w:t xml:space="preserve"> </w:t>
      </w:r>
      <w:r>
        <w:rPr>
          <w:rFonts w:ascii="Arial" w:hAnsi="Arial" w:cs="Arial" w:hint="eastAsia"/>
          <w:b/>
          <w:bCs/>
          <w:sz w:val="20"/>
        </w:rPr>
        <w:t>единого</w:t>
      </w:r>
      <w:r>
        <w:rPr>
          <w:rFonts w:ascii="Arial" w:hAnsi="Arial" w:cs="Arial" w:hint="eastAsia"/>
          <w:b/>
          <w:bCs/>
          <w:sz w:val="20"/>
        </w:rPr>
        <w:t xml:space="preserve"> </w:t>
      </w:r>
      <w:r>
        <w:rPr>
          <w:rFonts w:ascii="Arial" w:hAnsi="Arial" w:cs="Arial" w:hint="eastAsia"/>
          <w:b/>
          <w:bCs/>
          <w:sz w:val="20"/>
        </w:rPr>
        <w:t>международного</w:t>
      </w:r>
      <w:r>
        <w:rPr>
          <w:rFonts w:ascii="Arial" w:hAnsi="Arial" w:cs="Arial" w:hint="eastAsia"/>
          <w:b/>
          <w:bCs/>
          <w:sz w:val="20"/>
        </w:rPr>
        <w:t xml:space="preserve"> </w:t>
      </w:r>
      <w:r>
        <w:rPr>
          <w:rFonts w:ascii="Arial" w:hAnsi="Arial" w:cs="Arial" w:hint="eastAsia"/>
          <w:b/>
          <w:bCs/>
          <w:sz w:val="20"/>
        </w:rPr>
        <w:t>патента</w:t>
      </w:r>
      <w:r>
        <w:rPr>
          <w:rFonts w:ascii="Arial" w:hAnsi="Arial" w:cs="Arial" w:hint="eastAsia"/>
          <w:sz w:val="20"/>
        </w:rPr>
        <w:t xml:space="preserve">, </w:t>
      </w:r>
      <w:r>
        <w:rPr>
          <w:rFonts w:ascii="Arial" w:hAnsi="Arial" w:cs="Arial" w:hint="eastAsia"/>
          <w:sz w:val="20"/>
        </w:rPr>
        <w:t>то</w:t>
      </w:r>
      <w:r>
        <w:rPr>
          <w:rFonts w:ascii="Arial" w:hAnsi="Arial" w:cs="Arial" w:hint="eastAsia"/>
          <w:sz w:val="20"/>
        </w:rPr>
        <w:t xml:space="preserve"> </w:t>
      </w:r>
      <w:r>
        <w:rPr>
          <w:rFonts w:ascii="Arial" w:hAnsi="Arial" w:cs="Arial" w:hint="eastAsia"/>
          <w:sz w:val="20"/>
        </w:rPr>
        <w:t>некоторые</w:t>
      </w:r>
      <w:r>
        <w:rPr>
          <w:rFonts w:ascii="Arial" w:hAnsi="Arial" w:cs="Arial" w:hint="eastAsia"/>
          <w:sz w:val="20"/>
        </w:rPr>
        <w:t xml:space="preserve"> </w:t>
      </w:r>
      <w:r>
        <w:rPr>
          <w:rFonts w:ascii="Arial" w:hAnsi="Arial" w:cs="Arial" w:hint="eastAsia"/>
          <w:sz w:val="20"/>
        </w:rPr>
        <w:t>региональные</w:t>
      </w:r>
      <w:r>
        <w:rPr>
          <w:rFonts w:ascii="Arial" w:hAnsi="Arial" w:cs="Arial" w:hint="eastAsia"/>
          <w:sz w:val="20"/>
        </w:rPr>
        <w:t xml:space="preserve"> </w:t>
      </w:r>
      <w:r>
        <w:rPr>
          <w:rFonts w:ascii="Arial" w:hAnsi="Arial" w:cs="Arial" w:hint="eastAsia"/>
          <w:sz w:val="20"/>
        </w:rPr>
        <w:t>договоры</w:t>
      </w:r>
      <w:r>
        <w:rPr>
          <w:rFonts w:ascii="Arial" w:hAnsi="Arial" w:cs="Arial" w:hint="eastAsia"/>
          <w:sz w:val="20"/>
        </w:rPr>
        <w:t xml:space="preserve"> </w:t>
      </w:r>
      <w:r>
        <w:rPr>
          <w:rFonts w:ascii="Arial" w:hAnsi="Arial" w:cs="Arial" w:hint="eastAsia"/>
          <w:sz w:val="20"/>
        </w:rPr>
        <w:t>с</w:t>
      </w:r>
      <w:r>
        <w:rPr>
          <w:rFonts w:ascii="Arial" w:hAnsi="Arial" w:cs="Arial" w:hint="eastAsia"/>
          <w:sz w:val="20"/>
        </w:rPr>
        <w:t xml:space="preserve"> </w:t>
      </w:r>
      <w:r>
        <w:rPr>
          <w:rFonts w:ascii="Arial" w:hAnsi="Arial" w:cs="Arial" w:hint="eastAsia"/>
          <w:sz w:val="20"/>
        </w:rPr>
        <w:t>успехом</w:t>
      </w:r>
      <w:r>
        <w:rPr>
          <w:rFonts w:ascii="Arial" w:hAnsi="Arial" w:cs="Arial" w:hint="eastAsia"/>
          <w:sz w:val="20"/>
        </w:rPr>
        <w:t xml:space="preserve"> </w:t>
      </w:r>
      <w:r>
        <w:rPr>
          <w:rFonts w:ascii="Arial" w:hAnsi="Arial" w:cs="Arial" w:hint="eastAsia"/>
          <w:sz w:val="20"/>
        </w:rPr>
        <w:t>внедрили</w:t>
      </w:r>
      <w:r>
        <w:rPr>
          <w:rFonts w:ascii="Arial" w:hAnsi="Arial" w:cs="Arial" w:hint="eastAsia"/>
          <w:sz w:val="20"/>
        </w:rPr>
        <w:t xml:space="preserve"> </w:t>
      </w:r>
      <w:r>
        <w:rPr>
          <w:rFonts w:ascii="Arial" w:hAnsi="Arial" w:cs="Arial" w:hint="eastAsia"/>
          <w:sz w:val="20"/>
        </w:rPr>
        <w:t>его</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жизнь</w:t>
      </w:r>
      <w:r>
        <w:rPr>
          <w:rFonts w:ascii="Arial" w:hAnsi="Arial" w:cs="Arial" w:hint="eastAsia"/>
          <w:sz w:val="20"/>
        </w:rPr>
        <w:t xml:space="preserve">. </w:t>
      </w:r>
      <w:r>
        <w:rPr>
          <w:rFonts w:ascii="Arial" w:hAnsi="Arial" w:cs="Arial" w:hint="eastAsia"/>
          <w:sz w:val="20"/>
        </w:rPr>
        <w:t>Так</w:t>
      </w:r>
      <w:r>
        <w:rPr>
          <w:rFonts w:ascii="Arial" w:hAnsi="Arial" w:cs="Arial" w:hint="eastAsia"/>
          <w:sz w:val="20"/>
        </w:rPr>
        <w:t xml:space="preserve">, </w:t>
      </w:r>
      <w:r>
        <w:rPr>
          <w:rFonts w:ascii="Arial" w:hAnsi="Arial" w:cs="Arial" w:hint="eastAsia"/>
          <w:b/>
          <w:bCs/>
          <w:sz w:val="20"/>
        </w:rPr>
        <w:t>Мюнхенская</w:t>
      </w:r>
      <w:r>
        <w:rPr>
          <w:rFonts w:ascii="Arial" w:hAnsi="Arial" w:cs="Arial" w:hint="eastAsia"/>
          <w:b/>
          <w:bCs/>
          <w:sz w:val="20"/>
        </w:rPr>
        <w:t xml:space="preserve"> </w:t>
      </w:r>
      <w:r>
        <w:rPr>
          <w:rFonts w:ascii="Arial" w:hAnsi="Arial" w:cs="Arial" w:hint="eastAsia"/>
          <w:b/>
          <w:bCs/>
          <w:sz w:val="20"/>
        </w:rPr>
        <w:t>конвенция</w:t>
      </w:r>
      <w:r>
        <w:rPr>
          <w:rFonts w:ascii="Arial" w:hAnsi="Arial" w:cs="Arial" w:hint="eastAsia"/>
          <w:b/>
          <w:bCs/>
          <w:sz w:val="20"/>
        </w:rPr>
        <w:t xml:space="preserve"> </w:t>
      </w:r>
      <w:r>
        <w:rPr>
          <w:rFonts w:ascii="Arial" w:hAnsi="Arial" w:cs="Arial" w:hint="eastAsia"/>
          <w:b/>
          <w:bCs/>
          <w:sz w:val="20"/>
        </w:rPr>
        <w:t>о</w:t>
      </w:r>
      <w:r>
        <w:rPr>
          <w:rFonts w:ascii="Arial" w:hAnsi="Arial" w:cs="Arial" w:hint="eastAsia"/>
          <w:b/>
          <w:bCs/>
          <w:sz w:val="20"/>
        </w:rPr>
        <w:t xml:space="preserve"> </w:t>
      </w:r>
      <w:r>
        <w:rPr>
          <w:rFonts w:ascii="Arial" w:hAnsi="Arial" w:cs="Arial" w:hint="eastAsia"/>
          <w:b/>
          <w:bCs/>
          <w:sz w:val="20"/>
        </w:rPr>
        <w:t>выдаче</w:t>
      </w:r>
      <w:r>
        <w:rPr>
          <w:rFonts w:ascii="Arial" w:hAnsi="Arial" w:cs="Arial" w:hint="eastAsia"/>
          <w:b/>
          <w:bCs/>
          <w:sz w:val="20"/>
        </w:rPr>
        <w:t xml:space="preserve"> </w:t>
      </w:r>
      <w:r>
        <w:rPr>
          <w:rFonts w:ascii="Arial" w:hAnsi="Arial" w:cs="Arial" w:hint="eastAsia"/>
          <w:b/>
          <w:bCs/>
          <w:sz w:val="20"/>
        </w:rPr>
        <w:t>европейских</w:t>
      </w:r>
      <w:r>
        <w:rPr>
          <w:rFonts w:ascii="Arial" w:hAnsi="Arial" w:cs="Arial" w:hint="eastAsia"/>
          <w:b/>
          <w:bCs/>
          <w:sz w:val="20"/>
        </w:rPr>
        <w:t xml:space="preserve"> </w:t>
      </w:r>
      <w:r>
        <w:rPr>
          <w:rFonts w:ascii="Arial" w:hAnsi="Arial" w:cs="Arial" w:hint="eastAsia"/>
          <w:b/>
          <w:bCs/>
          <w:sz w:val="20"/>
        </w:rPr>
        <w:t>патентов</w:t>
      </w:r>
      <w:r>
        <w:rPr>
          <w:rFonts w:ascii="Arial" w:hAnsi="Arial" w:cs="Arial" w:hint="eastAsia"/>
          <w:b/>
          <w:bCs/>
          <w:sz w:val="20"/>
        </w:rPr>
        <w:t xml:space="preserve"> 1973 </w:t>
      </w:r>
      <w:r>
        <w:rPr>
          <w:rFonts w:ascii="Arial" w:hAnsi="Arial" w:cs="Arial" w:hint="eastAsia"/>
          <w:b/>
          <w:bCs/>
          <w:sz w:val="20"/>
        </w:rPr>
        <w:t>года</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только</w:t>
      </w:r>
      <w:r>
        <w:rPr>
          <w:rFonts w:ascii="Arial" w:hAnsi="Arial" w:cs="Arial" w:hint="eastAsia"/>
          <w:sz w:val="20"/>
        </w:rPr>
        <w:t xml:space="preserve"> </w:t>
      </w:r>
      <w:r>
        <w:rPr>
          <w:rFonts w:ascii="Arial" w:hAnsi="Arial" w:cs="Arial" w:hint="eastAsia"/>
          <w:sz w:val="20"/>
        </w:rPr>
        <w:t>установила</w:t>
      </w:r>
      <w:r>
        <w:rPr>
          <w:rFonts w:ascii="Arial" w:hAnsi="Arial" w:cs="Arial" w:hint="eastAsia"/>
          <w:sz w:val="20"/>
        </w:rPr>
        <w:t xml:space="preserve"> </w:t>
      </w:r>
      <w:r>
        <w:rPr>
          <w:rFonts w:ascii="Arial" w:hAnsi="Arial" w:cs="Arial" w:hint="eastAsia"/>
          <w:sz w:val="20"/>
        </w:rPr>
        <w:t>такой</w:t>
      </w:r>
      <w:r>
        <w:rPr>
          <w:rFonts w:ascii="Arial" w:hAnsi="Arial" w:cs="Arial" w:hint="eastAsia"/>
          <w:sz w:val="20"/>
        </w:rPr>
        <w:t xml:space="preserve"> </w:t>
      </w:r>
      <w:r>
        <w:rPr>
          <w:rFonts w:ascii="Arial" w:hAnsi="Arial" w:cs="Arial" w:hint="eastAsia"/>
          <w:sz w:val="20"/>
        </w:rPr>
        <w:t>патент</w:t>
      </w:r>
      <w:r>
        <w:rPr>
          <w:rFonts w:ascii="Arial" w:hAnsi="Arial" w:cs="Arial" w:hint="eastAsia"/>
          <w:sz w:val="20"/>
        </w:rPr>
        <w:t xml:space="preserve">, </w:t>
      </w:r>
      <w:r>
        <w:rPr>
          <w:rFonts w:ascii="Arial" w:hAnsi="Arial" w:cs="Arial" w:hint="eastAsia"/>
          <w:sz w:val="20"/>
        </w:rPr>
        <w:t>но</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создала</w:t>
      </w:r>
      <w:r>
        <w:rPr>
          <w:rFonts w:ascii="Arial" w:hAnsi="Arial" w:cs="Arial" w:hint="eastAsia"/>
          <w:sz w:val="20"/>
        </w:rPr>
        <w:t xml:space="preserve"> </w:t>
      </w:r>
      <w:r>
        <w:rPr>
          <w:rFonts w:ascii="Arial" w:hAnsi="Arial" w:cs="Arial" w:hint="eastAsia"/>
          <w:sz w:val="20"/>
        </w:rPr>
        <w:t>Европейское</w:t>
      </w:r>
      <w:r>
        <w:rPr>
          <w:rFonts w:ascii="Arial" w:hAnsi="Arial" w:cs="Arial" w:hint="eastAsia"/>
          <w:sz w:val="20"/>
        </w:rPr>
        <w:t xml:space="preserve"> </w:t>
      </w:r>
      <w:r>
        <w:rPr>
          <w:rFonts w:ascii="Arial" w:hAnsi="Arial" w:cs="Arial" w:hint="eastAsia"/>
          <w:sz w:val="20"/>
        </w:rPr>
        <w:t>патентное</w:t>
      </w:r>
      <w:r>
        <w:rPr>
          <w:rFonts w:ascii="Arial" w:hAnsi="Arial" w:cs="Arial" w:hint="eastAsia"/>
          <w:sz w:val="20"/>
        </w:rPr>
        <w:t xml:space="preserve"> </w:t>
      </w:r>
      <w:r>
        <w:rPr>
          <w:rFonts w:ascii="Arial" w:hAnsi="Arial" w:cs="Arial" w:hint="eastAsia"/>
          <w:sz w:val="20"/>
        </w:rPr>
        <w:t>ведомство</w:t>
      </w:r>
      <w:r>
        <w:rPr>
          <w:rFonts w:ascii="Arial" w:hAnsi="Arial" w:cs="Arial" w:hint="eastAsia"/>
          <w:sz w:val="20"/>
        </w:rPr>
        <w:t xml:space="preserve"> </w:t>
      </w:r>
      <w:r>
        <w:rPr>
          <w:rFonts w:ascii="Arial" w:hAnsi="Arial" w:cs="Arial" w:hint="eastAsia"/>
          <w:sz w:val="20"/>
        </w:rPr>
        <w:t>для</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 xml:space="preserve"> </w:t>
      </w:r>
      <w:r>
        <w:rPr>
          <w:rFonts w:ascii="Arial" w:hAnsi="Arial" w:cs="Arial" w:hint="eastAsia"/>
          <w:sz w:val="20"/>
        </w:rPr>
        <w:t>Общего</w:t>
      </w:r>
      <w:r>
        <w:rPr>
          <w:rFonts w:ascii="Arial" w:hAnsi="Arial" w:cs="Arial" w:hint="eastAsia"/>
          <w:sz w:val="20"/>
        </w:rPr>
        <w:t xml:space="preserve"> </w:t>
      </w:r>
      <w:r>
        <w:rPr>
          <w:rFonts w:ascii="Arial" w:hAnsi="Arial" w:cs="Arial" w:hint="eastAsia"/>
          <w:sz w:val="20"/>
        </w:rPr>
        <w:t>рынка</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Международно</w:t>
      </w:r>
      <w:r>
        <w:rPr>
          <w:rFonts w:ascii="Arial" w:hAnsi="Arial" w:cs="Arial" w:hint="eastAsia"/>
          <w:sz w:val="20"/>
        </w:rPr>
        <w:t>-</w:t>
      </w:r>
      <w:r>
        <w:rPr>
          <w:rFonts w:ascii="Arial" w:hAnsi="Arial" w:cs="Arial" w:hint="eastAsia"/>
          <w:sz w:val="20"/>
        </w:rPr>
        <w:t>правовая</w:t>
      </w:r>
      <w:r>
        <w:rPr>
          <w:rFonts w:ascii="Arial" w:hAnsi="Arial" w:cs="Arial" w:hint="eastAsia"/>
          <w:sz w:val="20"/>
        </w:rPr>
        <w:t xml:space="preserve"> </w:t>
      </w:r>
      <w:r>
        <w:rPr>
          <w:rFonts w:ascii="Arial" w:hAnsi="Arial" w:cs="Arial" w:hint="eastAsia"/>
          <w:sz w:val="20"/>
        </w:rPr>
        <w:t>защита</w:t>
      </w:r>
      <w:r>
        <w:rPr>
          <w:rFonts w:ascii="Arial" w:hAnsi="Arial" w:cs="Arial" w:hint="eastAsia"/>
          <w:sz w:val="20"/>
        </w:rPr>
        <w:t xml:space="preserve"> </w:t>
      </w:r>
      <w:r>
        <w:rPr>
          <w:rFonts w:ascii="Arial" w:hAnsi="Arial" w:cs="Arial" w:hint="eastAsia"/>
          <w:sz w:val="20"/>
        </w:rPr>
        <w:t>товарных</w:t>
      </w:r>
      <w:r>
        <w:rPr>
          <w:rFonts w:ascii="Arial" w:hAnsi="Arial" w:cs="Arial" w:hint="eastAsia"/>
          <w:sz w:val="20"/>
        </w:rPr>
        <w:t xml:space="preserve"> </w:t>
      </w:r>
      <w:r>
        <w:rPr>
          <w:rFonts w:ascii="Arial" w:hAnsi="Arial" w:cs="Arial" w:hint="eastAsia"/>
          <w:sz w:val="20"/>
        </w:rPr>
        <w:t>знаков</w:t>
      </w:r>
      <w:r>
        <w:rPr>
          <w:rFonts w:ascii="Arial" w:hAnsi="Arial" w:cs="Arial" w:hint="eastAsia"/>
          <w:sz w:val="20"/>
        </w:rPr>
        <w:t xml:space="preserve"> </w:t>
      </w:r>
      <w:r>
        <w:rPr>
          <w:rFonts w:ascii="Arial" w:hAnsi="Arial" w:cs="Arial" w:hint="eastAsia"/>
          <w:sz w:val="20"/>
        </w:rPr>
        <w:t>кроме</w:t>
      </w:r>
      <w:r>
        <w:rPr>
          <w:rFonts w:ascii="Arial" w:hAnsi="Arial" w:cs="Arial" w:hint="eastAsia"/>
          <w:sz w:val="20"/>
        </w:rPr>
        <w:t xml:space="preserve"> </w:t>
      </w:r>
      <w:r>
        <w:rPr>
          <w:rFonts w:ascii="Arial" w:hAnsi="Arial" w:cs="Arial" w:hint="eastAsia"/>
          <w:sz w:val="20"/>
        </w:rPr>
        <w:t>Парижской</w:t>
      </w:r>
      <w:r>
        <w:rPr>
          <w:rFonts w:ascii="Arial" w:hAnsi="Arial" w:cs="Arial" w:hint="eastAsia"/>
          <w:sz w:val="20"/>
        </w:rPr>
        <w:t xml:space="preserve">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осуществляется</w:t>
      </w:r>
      <w:r>
        <w:rPr>
          <w:rFonts w:ascii="Arial" w:hAnsi="Arial" w:cs="Arial" w:hint="eastAsia"/>
          <w:sz w:val="20"/>
        </w:rPr>
        <w:t xml:space="preserve"> </w:t>
      </w:r>
      <w:r>
        <w:rPr>
          <w:rFonts w:ascii="Arial" w:hAnsi="Arial" w:cs="Arial" w:hint="eastAsia"/>
          <w:sz w:val="20"/>
        </w:rPr>
        <w:t>также</w:t>
      </w:r>
      <w:r>
        <w:rPr>
          <w:rFonts w:ascii="Arial" w:hAnsi="Arial" w:cs="Arial" w:hint="eastAsia"/>
          <w:sz w:val="20"/>
        </w:rPr>
        <w:t xml:space="preserve"> </w:t>
      </w:r>
      <w:r>
        <w:rPr>
          <w:rFonts w:ascii="Arial" w:hAnsi="Arial" w:cs="Arial" w:hint="eastAsia"/>
          <w:b/>
          <w:bCs/>
          <w:sz w:val="20"/>
        </w:rPr>
        <w:t>Мадридской</w:t>
      </w:r>
      <w:r>
        <w:rPr>
          <w:rFonts w:ascii="Arial" w:hAnsi="Arial" w:cs="Arial" w:hint="eastAsia"/>
          <w:b/>
          <w:bCs/>
          <w:sz w:val="20"/>
        </w:rPr>
        <w:t xml:space="preserve"> </w:t>
      </w:r>
      <w:r>
        <w:rPr>
          <w:rFonts w:ascii="Arial" w:hAnsi="Arial" w:cs="Arial" w:hint="eastAsia"/>
          <w:b/>
          <w:bCs/>
          <w:sz w:val="20"/>
        </w:rPr>
        <w:t>конвенцией</w:t>
      </w:r>
      <w:r>
        <w:rPr>
          <w:rFonts w:ascii="Arial" w:hAnsi="Arial" w:cs="Arial" w:hint="eastAsia"/>
          <w:b/>
          <w:bCs/>
          <w:sz w:val="20"/>
        </w:rPr>
        <w:t xml:space="preserve"> </w:t>
      </w:r>
      <w:r>
        <w:rPr>
          <w:rFonts w:ascii="Arial" w:hAnsi="Arial" w:cs="Arial" w:hint="eastAsia"/>
          <w:b/>
          <w:bCs/>
          <w:sz w:val="20"/>
        </w:rPr>
        <w:t>о</w:t>
      </w:r>
      <w:r>
        <w:rPr>
          <w:rFonts w:ascii="Arial" w:hAnsi="Arial" w:cs="Arial" w:hint="eastAsia"/>
          <w:b/>
          <w:bCs/>
          <w:sz w:val="20"/>
        </w:rPr>
        <w:t xml:space="preserve"> </w:t>
      </w:r>
      <w:r>
        <w:rPr>
          <w:rFonts w:ascii="Arial" w:hAnsi="Arial" w:cs="Arial" w:hint="eastAsia"/>
          <w:b/>
          <w:bCs/>
          <w:sz w:val="20"/>
        </w:rPr>
        <w:t>международной</w:t>
      </w:r>
      <w:r>
        <w:rPr>
          <w:rFonts w:ascii="Arial" w:hAnsi="Arial" w:cs="Arial" w:hint="eastAsia"/>
          <w:b/>
          <w:bCs/>
          <w:sz w:val="20"/>
        </w:rPr>
        <w:t xml:space="preserve"> </w:t>
      </w:r>
      <w:r>
        <w:rPr>
          <w:rFonts w:ascii="Arial" w:hAnsi="Arial" w:cs="Arial" w:hint="eastAsia"/>
          <w:b/>
          <w:bCs/>
          <w:sz w:val="20"/>
        </w:rPr>
        <w:t>регистрации</w:t>
      </w:r>
      <w:r>
        <w:rPr>
          <w:rFonts w:ascii="Arial" w:hAnsi="Arial" w:cs="Arial" w:hint="eastAsia"/>
          <w:b/>
          <w:bCs/>
          <w:sz w:val="20"/>
        </w:rPr>
        <w:t xml:space="preserve"> </w:t>
      </w:r>
      <w:r>
        <w:rPr>
          <w:rFonts w:ascii="Arial" w:hAnsi="Arial" w:cs="Arial" w:hint="eastAsia"/>
          <w:b/>
          <w:bCs/>
          <w:sz w:val="20"/>
        </w:rPr>
        <w:t>товарных</w:t>
      </w:r>
      <w:r>
        <w:rPr>
          <w:rFonts w:ascii="Arial" w:hAnsi="Arial" w:cs="Arial" w:hint="eastAsia"/>
          <w:b/>
          <w:bCs/>
          <w:sz w:val="20"/>
        </w:rPr>
        <w:t xml:space="preserve"> </w:t>
      </w:r>
      <w:r>
        <w:rPr>
          <w:rFonts w:ascii="Arial" w:hAnsi="Arial" w:cs="Arial" w:hint="eastAsia"/>
          <w:b/>
          <w:bCs/>
          <w:sz w:val="20"/>
        </w:rPr>
        <w:t>знаков</w:t>
      </w:r>
      <w:r>
        <w:rPr>
          <w:rFonts w:ascii="Arial" w:hAnsi="Arial" w:cs="Arial" w:hint="eastAsia"/>
          <w:b/>
          <w:bCs/>
          <w:sz w:val="20"/>
        </w:rPr>
        <w:t xml:space="preserve"> 1891 </w:t>
      </w:r>
      <w:r>
        <w:rPr>
          <w:rFonts w:ascii="Arial" w:hAnsi="Arial" w:cs="Arial" w:hint="eastAsia"/>
          <w:b/>
          <w:bCs/>
          <w:sz w:val="20"/>
        </w:rPr>
        <w:t>года</w:t>
      </w:r>
      <w:r>
        <w:rPr>
          <w:rFonts w:ascii="Arial" w:hAnsi="Arial" w:cs="Arial" w:hint="eastAsia"/>
          <w:sz w:val="20"/>
        </w:rPr>
        <w:t xml:space="preserve">. </w:t>
      </w:r>
      <w:r>
        <w:rPr>
          <w:rFonts w:ascii="Arial" w:hAnsi="Arial" w:cs="Arial" w:hint="eastAsia"/>
          <w:sz w:val="20"/>
        </w:rPr>
        <w:t>СССР</w:t>
      </w:r>
      <w:r>
        <w:rPr>
          <w:rFonts w:ascii="Arial" w:hAnsi="Arial" w:cs="Arial" w:hint="eastAsia"/>
          <w:sz w:val="20"/>
        </w:rPr>
        <w:t xml:space="preserve"> </w:t>
      </w:r>
      <w:r>
        <w:rPr>
          <w:rFonts w:ascii="Arial" w:hAnsi="Arial" w:cs="Arial" w:hint="eastAsia"/>
          <w:sz w:val="20"/>
        </w:rPr>
        <w:t>ратифицировал</w:t>
      </w:r>
      <w:r>
        <w:rPr>
          <w:rFonts w:ascii="Arial" w:hAnsi="Arial" w:cs="Arial" w:hint="eastAsia"/>
          <w:sz w:val="20"/>
        </w:rPr>
        <w:t xml:space="preserve"> </w:t>
      </w:r>
      <w:r>
        <w:rPr>
          <w:rFonts w:ascii="Arial" w:hAnsi="Arial" w:cs="Arial" w:hint="eastAsia"/>
          <w:sz w:val="20"/>
        </w:rPr>
        <w:t>ее</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1976 </w:t>
      </w:r>
      <w:r>
        <w:rPr>
          <w:rFonts w:ascii="Arial" w:hAnsi="Arial" w:cs="Arial" w:hint="eastAsia"/>
          <w:sz w:val="20"/>
        </w:rPr>
        <w:t>году</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Конвенции</w:t>
      </w:r>
      <w:r>
        <w:rPr>
          <w:rFonts w:ascii="Arial" w:hAnsi="Arial" w:cs="Arial" w:hint="eastAsia"/>
          <w:sz w:val="20"/>
        </w:rPr>
        <w:t xml:space="preserve"> </w:t>
      </w:r>
      <w:r>
        <w:rPr>
          <w:rFonts w:ascii="Arial" w:hAnsi="Arial" w:cs="Arial" w:hint="eastAsia"/>
          <w:sz w:val="20"/>
        </w:rPr>
        <w:t>предусмотрена</w:t>
      </w:r>
      <w:r>
        <w:rPr>
          <w:rFonts w:ascii="Arial" w:hAnsi="Arial" w:cs="Arial" w:hint="eastAsia"/>
          <w:sz w:val="20"/>
        </w:rPr>
        <w:t xml:space="preserve"> </w:t>
      </w:r>
      <w:r>
        <w:rPr>
          <w:rFonts w:ascii="Arial" w:hAnsi="Arial" w:cs="Arial" w:hint="eastAsia"/>
          <w:b/>
          <w:bCs/>
          <w:sz w:val="20"/>
        </w:rPr>
        <w:t>охрана</w:t>
      </w:r>
      <w:r>
        <w:rPr>
          <w:rFonts w:ascii="Arial" w:hAnsi="Arial" w:cs="Arial" w:hint="eastAsia"/>
          <w:b/>
          <w:bCs/>
          <w:sz w:val="20"/>
        </w:rPr>
        <w:t xml:space="preserve"> </w:t>
      </w:r>
      <w:r>
        <w:rPr>
          <w:rFonts w:ascii="Arial" w:hAnsi="Arial" w:cs="Arial" w:hint="eastAsia"/>
          <w:b/>
          <w:bCs/>
          <w:sz w:val="20"/>
        </w:rPr>
        <w:t>товарных</w:t>
      </w:r>
      <w:r>
        <w:rPr>
          <w:rFonts w:ascii="Arial" w:hAnsi="Arial" w:cs="Arial" w:hint="eastAsia"/>
          <w:b/>
          <w:bCs/>
          <w:sz w:val="20"/>
        </w:rPr>
        <w:t xml:space="preserve"> </w:t>
      </w:r>
      <w:r>
        <w:rPr>
          <w:rFonts w:ascii="Arial" w:hAnsi="Arial" w:cs="Arial" w:hint="eastAsia"/>
          <w:b/>
          <w:bCs/>
          <w:sz w:val="20"/>
        </w:rPr>
        <w:t>знаков</w:t>
      </w:r>
      <w:r>
        <w:rPr>
          <w:rFonts w:ascii="Arial" w:hAnsi="Arial" w:cs="Arial" w:hint="eastAsia"/>
          <w:b/>
          <w:bCs/>
          <w:sz w:val="20"/>
        </w:rPr>
        <w:t xml:space="preserve"> </w:t>
      </w:r>
      <w:r>
        <w:rPr>
          <w:rFonts w:ascii="Arial" w:hAnsi="Arial" w:cs="Arial" w:hint="eastAsia"/>
          <w:b/>
          <w:bCs/>
          <w:sz w:val="20"/>
        </w:rPr>
        <w:t>во</w:t>
      </w:r>
      <w:r>
        <w:rPr>
          <w:rFonts w:ascii="Arial" w:hAnsi="Arial" w:cs="Arial" w:hint="eastAsia"/>
          <w:b/>
          <w:bCs/>
          <w:sz w:val="20"/>
        </w:rPr>
        <w:t xml:space="preserve"> </w:t>
      </w:r>
      <w:r>
        <w:rPr>
          <w:rFonts w:ascii="Arial" w:hAnsi="Arial" w:cs="Arial" w:hint="eastAsia"/>
          <w:b/>
          <w:bCs/>
          <w:sz w:val="20"/>
        </w:rPr>
        <w:t>всех</w:t>
      </w:r>
      <w:r>
        <w:rPr>
          <w:rFonts w:ascii="Arial" w:hAnsi="Arial" w:cs="Arial" w:hint="eastAsia"/>
          <w:b/>
          <w:bCs/>
          <w:sz w:val="20"/>
        </w:rPr>
        <w:t xml:space="preserve"> </w:t>
      </w:r>
      <w:r>
        <w:rPr>
          <w:rFonts w:ascii="Arial" w:hAnsi="Arial" w:cs="Arial" w:hint="eastAsia"/>
          <w:b/>
          <w:bCs/>
          <w:sz w:val="20"/>
        </w:rPr>
        <w:t>странах</w:t>
      </w:r>
      <w:r>
        <w:rPr>
          <w:rFonts w:ascii="Arial" w:hAnsi="Arial" w:cs="Arial" w:hint="eastAsia"/>
          <w:b/>
          <w:bCs/>
          <w:sz w:val="20"/>
        </w:rPr>
        <w:t>-</w:t>
      </w:r>
      <w:r>
        <w:rPr>
          <w:rFonts w:ascii="Arial" w:hAnsi="Arial" w:cs="Arial" w:hint="eastAsia"/>
          <w:b/>
          <w:bCs/>
          <w:sz w:val="20"/>
        </w:rPr>
        <w:t>участницах</w:t>
      </w:r>
      <w:r>
        <w:rPr>
          <w:rFonts w:ascii="Arial" w:hAnsi="Arial" w:cs="Arial" w:hint="eastAsia"/>
          <w:b/>
          <w:bCs/>
          <w:sz w:val="20"/>
        </w:rPr>
        <w:t xml:space="preserve"> </w:t>
      </w:r>
      <w:r>
        <w:rPr>
          <w:rFonts w:ascii="Arial" w:hAnsi="Arial" w:cs="Arial" w:hint="eastAsia"/>
          <w:b/>
          <w:bCs/>
          <w:sz w:val="20"/>
        </w:rPr>
        <w:t>без</w:t>
      </w:r>
      <w:r>
        <w:rPr>
          <w:rFonts w:ascii="Arial" w:hAnsi="Arial" w:cs="Arial" w:hint="eastAsia"/>
          <w:b/>
          <w:bCs/>
          <w:sz w:val="20"/>
        </w:rPr>
        <w:t xml:space="preserve"> </w:t>
      </w:r>
      <w:r>
        <w:rPr>
          <w:rFonts w:ascii="Arial" w:hAnsi="Arial" w:cs="Arial" w:hint="eastAsia"/>
          <w:b/>
          <w:bCs/>
          <w:sz w:val="20"/>
        </w:rPr>
        <w:t>регистрации</w:t>
      </w:r>
      <w:r>
        <w:rPr>
          <w:rFonts w:ascii="Arial" w:hAnsi="Arial" w:cs="Arial" w:hint="eastAsia"/>
          <w:b/>
          <w:bCs/>
          <w:sz w:val="20"/>
        </w:rPr>
        <w:t xml:space="preserve"> </w:t>
      </w:r>
      <w:r>
        <w:rPr>
          <w:rFonts w:ascii="Arial" w:hAnsi="Arial" w:cs="Arial" w:hint="eastAsia"/>
          <w:b/>
          <w:bCs/>
          <w:sz w:val="20"/>
        </w:rPr>
        <w:t>этого</w:t>
      </w:r>
      <w:r>
        <w:rPr>
          <w:rFonts w:ascii="Arial" w:hAnsi="Arial" w:cs="Arial" w:hint="eastAsia"/>
          <w:b/>
          <w:bCs/>
          <w:sz w:val="20"/>
        </w:rPr>
        <w:t xml:space="preserve"> </w:t>
      </w:r>
      <w:r>
        <w:rPr>
          <w:rFonts w:ascii="Arial" w:hAnsi="Arial" w:cs="Arial" w:hint="eastAsia"/>
          <w:b/>
          <w:bCs/>
          <w:sz w:val="20"/>
        </w:rPr>
        <w:t>знака</w:t>
      </w:r>
      <w:r>
        <w:rPr>
          <w:rFonts w:ascii="Arial" w:hAnsi="Arial" w:cs="Arial" w:hint="eastAsia"/>
          <w:b/>
          <w:bCs/>
          <w:sz w:val="20"/>
        </w:rPr>
        <w:t xml:space="preserve"> </w:t>
      </w:r>
      <w:r>
        <w:rPr>
          <w:rFonts w:ascii="Arial" w:hAnsi="Arial" w:cs="Arial" w:hint="eastAsia"/>
          <w:b/>
          <w:bCs/>
          <w:sz w:val="20"/>
        </w:rPr>
        <w:t>в</w:t>
      </w:r>
      <w:r>
        <w:rPr>
          <w:rFonts w:ascii="Arial" w:hAnsi="Arial" w:cs="Arial" w:hint="eastAsia"/>
          <w:b/>
          <w:bCs/>
          <w:sz w:val="20"/>
        </w:rPr>
        <w:t xml:space="preserve"> </w:t>
      </w:r>
      <w:r>
        <w:rPr>
          <w:rFonts w:ascii="Arial" w:hAnsi="Arial" w:cs="Arial" w:hint="eastAsia"/>
          <w:b/>
          <w:bCs/>
          <w:sz w:val="20"/>
        </w:rPr>
        <w:t>каждой</w:t>
      </w:r>
      <w:r>
        <w:rPr>
          <w:rFonts w:ascii="Arial" w:hAnsi="Arial" w:cs="Arial" w:hint="eastAsia"/>
          <w:b/>
          <w:bCs/>
          <w:sz w:val="20"/>
        </w:rPr>
        <w:t xml:space="preserve"> </w:t>
      </w:r>
      <w:r>
        <w:rPr>
          <w:rFonts w:ascii="Arial" w:hAnsi="Arial" w:cs="Arial" w:hint="eastAsia"/>
          <w:b/>
          <w:bCs/>
          <w:sz w:val="20"/>
        </w:rPr>
        <w:t>из</w:t>
      </w:r>
      <w:r>
        <w:rPr>
          <w:rFonts w:ascii="Arial" w:hAnsi="Arial" w:cs="Arial" w:hint="eastAsia"/>
          <w:b/>
          <w:bCs/>
          <w:sz w:val="20"/>
        </w:rPr>
        <w:t xml:space="preserve"> </w:t>
      </w:r>
      <w:r>
        <w:rPr>
          <w:rFonts w:ascii="Arial" w:hAnsi="Arial" w:cs="Arial" w:hint="eastAsia"/>
          <w:b/>
          <w:bCs/>
          <w:sz w:val="20"/>
        </w:rPr>
        <w:t>них</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Женеве</w:t>
      </w:r>
      <w:r>
        <w:rPr>
          <w:rFonts w:ascii="Arial" w:hAnsi="Arial" w:cs="Arial" w:hint="eastAsia"/>
          <w:sz w:val="20"/>
        </w:rPr>
        <w:t xml:space="preserve"> </w:t>
      </w:r>
      <w:r>
        <w:rPr>
          <w:rFonts w:ascii="Arial" w:hAnsi="Arial" w:cs="Arial" w:hint="eastAsia"/>
          <w:sz w:val="20"/>
        </w:rPr>
        <w:t>создано</w:t>
      </w:r>
      <w:r>
        <w:rPr>
          <w:rFonts w:ascii="Arial" w:hAnsi="Arial" w:cs="Arial" w:hint="eastAsia"/>
          <w:sz w:val="20"/>
        </w:rPr>
        <w:t xml:space="preserve"> </w:t>
      </w:r>
      <w:r>
        <w:rPr>
          <w:rFonts w:ascii="Arial" w:hAnsi="Arial" w:cs="Arial" w:hint="eastAsia"/>
          <w:sz w:val="20"/>
        </w:rPr>
        <w:t>специальное</w:t>
      </w:r>
      <w:r>
        <w:rPr>
          <w:rFonts w:ascii="Arial" w:hAnsi="Arial" w:cs="Arial" w:hint="eastAsia"/>
          <w:sz w:val="20"/>
        </w:rPr>
        <w:t xml:space="preserve"> </w:t>
      </w:r>
      <w:r>
        <w:rPr>
          <w:rFonts w:ascii="Arial" w:hAnsi="Arial" w:cs="Arial" w:hint="eastAsia"/>
          <w:i/>
          <w:iCs/>
          <w:sz w:val="20"/>
        </w:rPr>
        <w:t>Международное</w:t>
      </w:r>
      <w:r>
        <w:rPr>
          <w:rFonts w:ascii="Arial" w:hAnsi="Arial" w:cs="Arial" w:hint="eastAsia"/>
          <w:i/>
          <w:iCs/>
          <w:sz w:val="20"/>
        </w:rPr>
        <w:t xml:space="preserve"> </w:t>
      </w:r>
      <w:r>
        <w:rPr>
          <w:rFonts w:ascii="Arial" w:hAnsi="Arial" w:cs="Arial" w:hint="eastAsia"/>
          <w:i/>
          <w:iCs/>
          <w:sz w:val="20"/>
        </w:rPr>
        <w:t>бюро</w:t>
      </w:r>
      <w:r>
        <w:rPr>
          <w:rFonts w:ascii="Arial" w:hAnsi="Arial" w:cs="Arial" w:hint="eastAsia"/>
          <w:i/>
          <w:iCs/>
          <w:sz w:val="20"/>
        </w:rPr>
        <w:t xml:space="preserve"> </w:t>
      </w:r>
      <w:r>
        <w:rPr>
          <w:rFonts w:ascii="Arial" w:hAnsi="Arial" w:cs="Arial" w:hint="eastAsia"/>
          <w:i/>
          <w:iCs/>
          <w:sz w:val="20"/>
        </w:rPr>
        <w:t>по</w:t>
      </w:r>
      <w:r>
        <w:rPr>
          <w:rFonts w:ascii="Arial" w:hAnsi="Arial" w:cs="Arial" w:hint="eastAsia"/>
          <w:i/>
          <w:iCs/>
          <w:sz w:val="20"/>
        </w:rPr>
        <w:t xml:space="preserve"> </w:t>
      </w:r>
      <w:r>
        <w:rPr>
          <w:rFonts w:ascii="Arial" w:hAnsi="Arial" w:cs="Arial" w:hint="eastAsia"/>
          <w:i/>
          <w:iCs/>
          <w:sz w:val="20"/>
        </w:rPr>
        <w:t>регистрации</w:t>
      </w:r>
      <w:r>
        <w:rPr>
          <w:rFonts w:ascii="Arial" w:hAnsi="Arial" w:cs="Arial" w:hint="eastAsia"/>
          <w:i/>
          <w:iCs/>
          <w:sz w:val="20"/>
        </w:rPr>
        <w:t xml:space="preserve"> </w:t>
      </w:r>
      <w:r>
        <w:rPr>
          <w:rFonts w:ascii="Arial" w:hAnsi="Arial" w:cs="Arial" w:hint="eastAsia"/>
          <w:i/>
          <w:iCs/>
          <w:sz w:val="20"/>
        </w:rPr>
        <w:t>товарных</w:t>
      </w:r>
      <w:r>
        <w:rPr>
          <w:rFonts w:ascii="Arial" w:hAnsi="Arial" w:cs="Arial" w:hint="eastAsia"/>
          <w:i/>
          <w:iCs/>
          <w:sz w:val="20"/>
        </w:rPr>
        <w:t xml:space="preserve"> </w:t>
      </w:r>
      <w:r>
        <w:rPr>
          <w:rFonts w:ascii="Arial" w:hAnsi="Arial" w:cs="Arial" w:hint="eastAsia"/>
          <w:i/>
          <w:iCs/>
          <w:sz w:val="20"/>
        </w:rPr>
        <w:t>знаков</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которое</w:t>
      </w:r>
      <w:r>
        <w:rPr>
          <w:rFonts w:ascii="Arial" w:hAnsi="Arial" w:cs="Arial" w:hint="eastAsia"/>
          <w:sz w:val="20"/>
        </w:rPr>
        <w:t xml:space="preserve"> </w:t>
      </w:r>
      <w:r>
        <w:rPr>
          <w:rFonts w:ascii="Arial" w:hAnsi="Arial" w:cs="Arial" w:hint="eastAsia"/>
          <w:sz w:val="20"/>
        </w:rPr>
        <w:t>подается</w:t>
      </w:r>
      <w:r>
        <w:rPr>
          <w:rFonts w:ascii="Arial" w:hAnsi="Arial" w:cs="Arial" w:hint="eastAsia"/>
          <w:sz w:val="20"/>
        </w:rPr>
        <w:t xml:space="preserve"> </w:t>
      </w:r>
      <w:r>
        <w:rPr>
          <w:rFonts w:ascii="Arial" w:hAnsi="Arial" w:cs="Arial" w:hint="eastAsia"/>
          <w:sz w:val="20"/>
        </w:rPr>
        <w:t>заявка</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регистрацию</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Унификация</w:t>
      </w:r>
      <w:r>
        <w:rPr>
          <w:rFonts w:ascii="Arial" w:hAnsi="Arial" w:cs="Arial" w:hint="eastAsia"/>
          <w:sz w:val="20"/>
        </w:rPr>
        <w:t xml:space="preserve"> </w:t>
      </w:r>
      <w:r>
        <w:rPr>
          <w:rFonts w:ascii="Arial" w:hAnsi="Arial" w:cs="Arial" w:hint="eastAsia"/>
          <w:sz w:val="20"/>
        </w:rPr>
        <w:t>правовых</w:t>
      </w:r>
      <w:r>
        <w:rPr>
          <w:rFonts w:ascii="Arial" w:hAnsi="Arial" w:cs="Arial" w:hint="eastAsia"/>
          <w:sz w:val="20"/>
        </w:rPr>
        <w:t xml:space="preserve"> </w:t>
      </w:r>
      <w:r>
        <w:rPr>
          <w:rFonts w:ascii="Arial" w:hAnsi="Arial" w:cs="Arial" w:hint="eastAsia"/>
          <w:sz w:val="20"/>
        </w:rPr>
        <w:t>норм</w:t>
      </w:r>
      <w:r>
        <w:rPr>
          <w:rFonts w:ascii="Arial" w:hAnsi="Arial" w:cs="Arial" w:hint="eastAsia"/>
          <w:sz w:val="20"/>
        </w:rPr>
        <w:t xml:space="preserve"> </w:t>
      </w:r>
      <w:r>
        <w:rPr>
          <w:rFonts w:ascii="Arial" w:hAnsi="Arial" w:cs="Arial" w:hint="eastAsia"/>
          <w:sz w:val="20"/>
        </w:rPr>
        <w:t>может</w:t>
      </w:r>
      <w:r>
        <w:rPr>
          <w:rFonts w:ascii="Arial" w:hAnsi="Arial" w:cs="Arial" w:hint="eastAsia"/>
          <w:sz w:val="20"/>
        </w:rPr>
        <w:t xml:space="preserve"> </w:t>
      </w:r>
      <w:r>
        <w:rPr>
          <w:rFonts w:ascii="Arial" w:hAnsi="Arial" w:cs="Arial" w:hint="eastAsia"/>
          <w:sz w:val="20"/>
        </w:rPr>
        <w:t>осуществляться</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без</w:t>
      </w:r>
      <w:r>
        <w:rPr>
          <w:rFonts w:ascii="Arial" w:hAnsi="Arial" w:cs="Arial" w:hint="eastAsia"/>
          <w:sz w:val="20"/>
        </w:rPr>
        <w:t xml:space="preserve"> </w:t>
      </w:r>
      <w:r>
        <w:rPr>
          <w:rFonts w:ascii="Arial" w:hAnsi="Arial" w:cs="Arial" w:hint="eastAsia"/>
          <w:sz w:val="20"/>
        </w:rPr>
        <w:t>заключения</w:t>
      </w:r>
      <w:r>
        <w:rPr>
          <w:rFonts w:ascii="Arial" w:hAnsi="Arial" w:cs="Arial" w:hint="eastAsia"/>
          <w:sz w:val="20"/>
        </w:rPr>
        <w:t xml:space="preserve"> </w:t>
      </w:r>
      <w:r>
        <w:rPr>
          <w:rFonts w:ascii="Arial" w:hAnsi="Arial" w:cs="Arial" w:hint="eastAsia"/>
          <w:sz w:val="20"/>
        </w:rPr>
        <w:t>международного</w:t>
      </w:r>
      <w:r>
        <w:rPr>
          <w:rFonts w:ascii="Arial" w:hAnsi="Arial" w:cs="Arial" w:hint="eastAsia"/>
          <w:sz w:val="20"/>
        </w:rPr>
        <w:t xml:space="preserve"> </w:t>
      </w:r>
      <w:r>
        <w:rPr>
          <w:rFonts w:ascii="Arial" w:hAnsi="Arial" w:cs="Arial" w:hint="eastAsia"/>
          <w:sz w:val="20"/>
        </w:rPr>
        <w:t>договора</w:t>
      </w:r>
      <w:r>
        <w:rPr>
          <w:rFonts w:ascii="Arial" w:hAnsi="Arial" w:cs="Arial" w:hint="eastAsia"/>
          <w:sz w:val="20"/>
        </w:rPr>
        <w:t xml:space="preserve">. </w:t>
      </w:r>
      <w:r>
        <w:rPr>
          <w:rFonts w:ascii="Arial" w:hAnsi="Arial" w:cs="Arial" w:hint="eastAsia"/>
          <w:sz w:val="20"/>
        </w:rPr>
        <w:t>Возможен</w:t>
      </w:r>
      <w:r>
        <w:rPr>
          <w:rFonts w:ascii="Arial" w:hAnsi="Arial" w:cs="Arial" w:hint="eastAsia"/>
          <w:sz w:val="20"/>
        </w:rPr>
        <w:t xml:space="preserve"> </w:t>
      </w:r>
      <w:r>
        <w:rPr>
          <w:rFonts w:ascii="Arial" w:hAnsi="Arial" w:cs="Arial" w:hint="eastAsia"/>
          <w:sz w:val="20"/>
        </w:rPr>
        <w:t>путь</w:t>
      </w:r>
      <w:r>
        <w:rPr>
          <w:rFonts w:ascii="Arial" w:hAnsi="Arial" w:cs="Arial" w:hint="eastAsia"/>
          <w:sz w:val="20"/>
        </w:rPr>
        <w:t xml:space="preserve">, </w:t>
      </w:r>
      <w:r>
        <w:rPr>
          <w:rFonts w:ascii="Arial" w:hAnsi="Arial" w:cs="Arial" w:hint="eastAsia"/>
          <w:sz w:val="20"/>
        </w:rPr>
        <w:t>при</w:t>
      </w:r>
      <w:r>
        <w:rPr>
          <w:rFonts w:ascii="Arial" w:hAnsi="Arial" w:cs="Arial" w:hint="eastAsia"/>
          <w:sz w:val="20"/>
        </w:rPr>
        <w:t xml:space="preserve"> </w:t>
      </w:r>
      <w:r>
        <w:rPr>
          <w:rFonts w:ascii="Arial" w:hAnsi="Arial" w:cs="Arial" w:hint="eastAsia"/>
          <w:sz w:val="20"/>
        </w:rPr>
        <w:t>котором</w:t>
      </w:r>
      <w:r>
        <w:rPr>
          <w:rFonts w:ascii="Arial" w:hAnsi="Arial" w:cs="Arial" w:hint="eastAsia"/>
          <w:sz w:val="20"/>
        </w:rPr>
        <w:t xml:space="preserve"> </w:t>
      </w:r>
      <w:r>
        <w:rPr>
          <w:rFonts w:ascii="Arial" w:hAnsi="Arial" w:cs="Arial" w:hint="eastAsia"/>
          <w:sz w:val="20"/>
        </w:rPr>
        <w:t>совместными</w:t>
      </w:r>
      <w:r>
        <w:rPr>
          <w:rFonts w:ascii="Arial" w:hAnsi="Arial" w:cs="Arial" w:hint="eastAsia"/>
          <w:sz w:val="20"/>
        </w:rPr>
        <w:t xml:space="preserve"> </w:t>
      </w:r>
      <w:r>
        <w:rPr>
          <w:rFonts w:ascii="Arial" w:hAnsi="Arial" w:cs="Arial" w:hint="eastAsia"/>
          <w:sz w:val="20"/>
        </w:rPr>
        <w:t>усилиями</w:t>
      </w:r>
      <w:r>
        <w:rPr>
          <w:rFonts w:ascii="Arial" w:hAnsi="Arial" w:cs="Arial" w:hint="eastAsia"/>
          <w:sz w:val="20"/>
        </w:rPr>
        <w:t xml:space="preserve"> </w:t>
      </w:r>
      <w:r>
        <w:rPr>
          <w:rFonts w:ascii="Arial" w:hAnsi="Arial" w:cs="Arial" w:hint="eastAsia"/>
          <w:sz w:val="20"/>
        </w:rPr>
        <w:t>нескольких</w:t>
      </w:r>
      <w:r>
        <w:rPr>
          <w:rFonts w:ascii="Arial" w:hAnsi="Arial" w:cs="Arial" w:hint="eastAsia"/>
          <w:sz w:val="20"/>
        </w:rPr>
        <w:t xml:space="preserve"> </w:t>
      </w:r>
      <w:r>
        <w:rPr>
          <w:rFonts w:ascii="Arial" w:hAnsi="Arial" w:cs="Arial" w:hint="eastAsia"/>
          <w:sz w:val="20"/>
        </w:rPr>
        <w:t>государств</w:t>
      </w:r>
      <w:r>
        <w:rPr>
          <w:rFonts w:ascii="Arial" w:hAnsi="Arial" w:cs="Arial" w:hint="eastAsia"/>
          <w:sz w:val="20"/>
        </w:rPr>
        <w:t xml:space="preserve"> </w:t>
      </w:r>
      <w:r>
        <w:rPr>
          <w:rFonts w:ascii="Arial" w:hAnsi="Arial" w:cs="Arial" w:hint="eastAsia"/>
          <w:sz w:val="20"/>
        </w:rPr>
        <w:t>либо</w:t>
      </w:r>
      <w:r>
        <w:rPr>
          <w:rFonts w:ascii="Arial" w:hAnsi="Arial" w:cs="Arial" w:hint="eastAsia"/>
          <w:sz w:val="20"/>
        </w:rPr>
        <w:t xml:space="preserve"> </w:t>
      </w:r>
      <w:r>
        <w:rPr>
          <w:rFonts w:ascii="Arial" w:hAnsi="Arial" w:cs="Arial" w:hint="eastAsia"/>
          <w:sz w:val="20"/>
        </w:rPr>
        <w:t>с</w:t>
      </w:r>
      <w:r>
        <w:rPr>
          <w:rFonts w:ascii="Arial" w:hAnsi="Arial" w:cs="Arial" w:hint="eastAsia"/>
          <w:sz w:val="20"/>
        </w:rPr>
        <w:t xml:space="preserve"> </w:t>
      </w:r>
      <w:r>
        <w:rPr>
          <w:rFonts w:ascii="Arial" w:hAnsi="Arial" w:cs="Arial" w:hint="eastAsia"/>
          <w:sz w:val="20"/>
        </w:rPr>
        <w:t>помощью</w:t>
      </w:r>
      <w:r>
        <w:rPr>
          <w:rFonts w:ascii="Arial" w:hAnsi="Arial" w:cs="Arial" w:hint="eastAsia"/>
          <w:sz w:val="20"/>
        </w:rPr>
        <w:t xml:space="preserve"> </w:t>
      </w:r>
      <w:r>
        <w:rPr>
          <w:rFonts w:ascii="Arial" w:hAnsi="Arial" w:cs="Arial" w:hint="eastAsia"/>
          <w:sz w:val="20"/>
        </w:rPr>
        <w:t>международной</w:t>
      </w:r>
      <w:r>
        <w:rPr>
          <w:rFonts w:ascii="Arial" w:hAnsi="Arial" w:cs="Arial" w:hint="eastAsia"/>
          <w:sz w:val="20"/>
        </w:rPr>
        <w:t xml:space="preserve"> </w:t>
      </w:r>
      <w:r>
        <w:rPr>
          <w:rFonts w:ascii="Arial" w:hAnsi="Arial" w:cs="Arial" w:hint="eastAsia"/>
          <w:sz w:val="20"/>
        </w:rPr>
        <w:t>организации</w:t>
      </w:r>
      <w:r>
        <w:rPr>
          <w:rFonts w:ascii="Arial" w:hAnsi="Arial" w:cs="Arial" w:hint="eastAsia"/>
          <w:sz w:val="20"/>
        </w:rPr>
        <w:t xml:space="preserve"> </w:t>
      </w:r>
      <w:r>
        <w:rPr>
          <w:rFonts w:ascii="Arial" w:hAnsi="Arial" w:cs="Arial" w:hint="eastAsia"/>
          <w:sz w:val="20"/>
        </w:rPr>
        <w:t>создается</w:t>
      </w:r>
      <w:r>
        <w:rPr>
          <w:rFonts w:ascii="Arial" w:hAnsi="Arial" w:cs="Arial" w:hint="eastAsia"/>
          <w:sz w:val="20"/>
        </w:rPr>
        <w:t xml:space="preserve"> </w:t>
      </w:r>
      <w:r>
        <w:rPr>
          <w:rFonts w:ascii="Arial" w:hAnsi="Arial" w:cs="Arial" w:hint="eastAsia"/>
          <w:sz w:val="20"/>
        </w:rPr>
        <w:t>проект</w:t>
      </w:r>
      <w:r>
        <w:rPr>
          <w:rFonts w:ascii="Arial" w:hAnsi="Arial" w:cs="Arial" w:hint="eastAsia"/>
          <w:sz w:val="20"/>
        </w:rPr>
        <w:t xml:space="preserve"> </w:t>
      </w:r>
      <w:r>
        <w:rPr>
          <w:rFonts w:ascii="Arial" w:hAnsi="Arial" w:cs="Arial" w:hint="eastAsia"/>
          <w:sz w:val="20"/>
        </w:rPr>
        <w:t>типового</w:t>
      </w:r>
      <w:r>
        <w:rPr>
          <w:rFonts w:ascii="Arial" w:hAnsi="Arial" w:cs="Arial" w:hint="eastAsia"/>
          <w:sz w:val="20"/>
        </w:rPr>
        <w:t xml:space="preserve"> </w:t>
      </w:r>
      <w:r>
        <w:rPr>
          <w:rFonts w:ascii="Arial" w:hAnsi="Arial" w:cs="Arial" w:hint="eastAsia"/>
          <w:sz w:val="20"/>
        </w:rPr>
        <w:t>закона</w:t>
      </w:r>
      <w:r>
        <w:rPr>
          <w:rFonts w:ascii="Arial" w:hAnsi="Arial" w:cs="Arial" w:hint="eastAsia"/>
          <w:sz w:val="20"/>
        </w:rPr>
        <w:t xml:space="preserve">, </w:t>
      </w:r>
      <w:r>
        <w:rPr>
          <w:rFonts w:ascii="Arial" w:hAnsi="Arial" w:cs="Arial" w:hint="eastAsia"/>
          <w:sz w:val="20"/>
        </w:rPr>
        <w:t>который</w:t>
      </w:r>
      <w:r>
        <w:rPr>
          <w:rFonts w:ascii="Arial" w:hAnsi="Arial" w:cs="Arial" w:hint="eastAsia"/>
          <w:sz w:val="20"/>
        </w:rPr>
        <w:t xml:space="preserve"> </w:t>
      </w:r>
      <w:r>
        <w:rPr>
          <w:rFonts w:ascii="Arial" w:hAnsi="Arial" w:cs="Arial" w:hint="eastAsia"/>
          <w:sz w:val="20"/>
        </w:rPr>
        <w:t>заинтересованные</w:t>
      </w:r>
      <w:r>
        <w:rPr>
          <w:rFonts w:ascii="Arial" w:hAnsi="Arial" w:cs="Arial" w:hint="eastAsia"/>
          <w:sz w:val="20"/>
        </w:rPr>
        <w:t xml:space="preserve"> </w:t>
      </w:r>
      <w:r>
        <w:rPr>
          <w:rFonts w:ascii="Arial" w:hAnsi="Arial" w:cs="Arial" w:hint="eastAsia"/>
          <w:sz w:val="20"/>
        </w:rPr>
        <w:t>государства</w:t>
      </w:r>
      <w:r>
        <w:rPr>
          <w:rFonts w:ascii="Arial" w:hAnsi="Arial" w:cs="Arial" w:hint="eastAsia"/>
          <w:sz w:val="20"/>
        </w:rPr>
        <w:t xml:space="preserve"> </w:t>
      </w:r>
      <w:r>
        <w:rPr>
          <w:rFonts w:ascii="Arial" w:hAnsi="Arial" w:cs="Arial" w:hint="eastAsia"/>
          <w:sz w:val="20"/>
        </w:rPr>
        <w:t>могут</w:t>
      </w:r>
      <w:r>
        <w:rPr>
          <w:rFonts w:ascii="Arial" w:hAnsi="Arial" w:cs="Arial" w:hint="eastAsia"/>
          <w:sz w:val="20"/>
        </w:rPr>
        <w:t xml:space="preserve"> </w:t>
      </w:r>
      <w:r>
        <w:rPr>
          <w:rFonts w:ascii="Arial" w:hAnsi="Arial" w:cs="Arial" w:hint="eastAsia"/>
          <w:sz w:val="20"/>
        </w:rPr>
        <w:t>принять</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качестве</w:t>
      </w:r>
      <w:r>
        <w:rPr>
          <w:rFonts w:ascii="Arial" w:hAnsi="Arial" w:cs="Arial" w:hint="eastAsia"/>
          <w:sz w:val="20"/>
        </w:rPr>
        <w:t xml:space="preserve"> </w:t>
      </w:r>
      <w:r>
        <w:rPr>
          <w:rFonts w:ascii="Arial" w:hAnsi="Arial" w:cs="Arial" w:hint="eastAsia"/>
          <w:sz w:val="20"/>
        </w:rPr>
        <w:t>внутреннего</w:t>
      </w:r>
      <w:r>
        <w:rPr>
          <w:rFonts w:ascii="Arial" w:hAnsi="Arial" w:cs="Arial" w:hint="eastAsia"/>
          <w:sz w:val="20"/>
        </w:rPr>
        <w:t xml:space="preserve"> </w:t>
      </w:r>
      <w:r>
        <w:rPr>
          <w:rFonts w:ascii="Arial" w:hAnsi="Arial" w:cs="Arial" w:hint="eastAsia"/>
          <w:sz w:val="20"/>
        </w:rPr>
        <w:t>законодательства</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 xml:space="preserve"> </w:t>
      </w:r>
      <w:r>
        <w:rPr>
          <w:rFonts w:ascii="Arial" w:hAnsi="Arial" w:cs="Arial" w:hint="eastAsia"/>
          <w:sz w:val="20"/>
        </w:rPr>
        <w:t>этому</w:t>
      </w:r>
      <w:r>
        <w:rPr>
          <w:rFonts w:ascii="Arial" w:hAnsi="Arial" w:cs="Arial" w:hint="eastAsia"/>
          <w:sz w:val="20"/>
        </w:rPr>
        <w:t xml:space="preserve"> </w:t>
      </w:r>
      <w:r>
        <w:rPr>
          <w:rFonts w:ascii="Arial" w:hAnsi="Arial" w:cs="Arial" w:hint="eastAsia"/>
          <w:sz w:val="20"/>
        </w:rPr>
        <w:t>пути</w:t>
      </w:r>
      <w:r>
        <w:rPr>
          <w:rFonts w:ascii="Arial" w:hAnsi="Arial" w:cs="Arial" w:hint="eastAsia"/>
          <w:sz w:val="20"/>
        </w:rPr>
        <w:t xml:space="preserve"> </w:t>
      </w:r>
      <w:r>
        <w:rPr>
          <w:rFonts w:ascii="Arial" w:hAnsi="Arial" w:cs="Arial" w:hint="eastAsia"/>
          <w:sz w:val="20"/>
        </w:rPr>
        <w:t>идет</w:t>
      </w:r>
      <w:r>
        <w:rPr>
          <w:rFonts w:ascii="Arial" w:hAnsi="Arial" w:cs="Arial" w:hint="eastAsia"/>
          <w:sz w:val="20"/>
        </w:rPr>
        <w:t xml:space="preserve">, </w:t>
      </w:r>
      <w:r>
        <w:rPr>
          <w:rFonts w:ascii="Arial" w:hAnsi="Arial" w:cs="Arial" w:hint="eastAsia"/>
          <w:sz w:val="20"/>
        </w:rPr>
        <w:t>например</w:t>
      </w:r>
      <w:r>
        <w:rPr>
          <w:rFonts w:ascii="Arial" w:hAnsi="Arial" w:cs="Arial" w:hint="eastAsia"/>
          <w:sz w:val="20"/>
        </w:rPr>
        <w:t xml:space="preserve">, </w:t>
      </w:r>
      <w:r>
        <w:rPr>
          <w:rFonts w:ascii="Arial" w:hAnsi="Arial" w:cs="Arial" w:hint="eastAsia"/>
          <w:sz w:val="20"/>
        </w:rPr>
        <w:t>Всемирная</w:t>
      </w:r>
      <w:r>
        <w:rPr>
          <w:rFonts w:ascii="Arial" w:hAnsi="Arial" w:cs="Arial" w:hint="eastAsia"/>
          <w:sz w:val="20"/>
        </w:rPr>
        <w:t xml:space="preserve"> </w:t>
      </w:r>
      <w:r>
        <w:rPr>
          <w:rFonts w:ascii="Arial" w:hAnsi="Arial" w:cs="Arial" w:hint="eastAsia"/>
          <w:sz w:val="20"/>
        </w:rPr>
        <w:t>организация</w:t>
      </w:r>
      <w:r>
        <w:rPr>
          <w:rFonts w:ascii="Arial" w:hAnsi="Arial" w:cs="Arial" w:hint="eastAsia"/>
          <w:sz w:val="20"/>
        </w:rPr>
        <w:t xml:space="preserve"> </w:t>
      </w:r>
      <w:r>
        <w:rPr>
          <w:rFonts w:ascii="Arial" w:hAnsi="Arial" w:cs="Arial" w:hint="eastAsia"/>
          <w:sz w:val="20"/>
        </w:rPr>
        <w:t>интеллектуальной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ВОИС</w:t>
      </w:r>
      <w:r>
        <w:rPr>
          <w:rFonts w:ascii="Arial" w:hAnsi="Arial" w:cs="Arial" w:hint="eastAsia"/>
          <w:sz w:val="20"/>
        </w:rPr>
        <w:t xml:space="preserve">), </w:t>
      </w:r>
      <w:r>
        <w:rPr>
          <w:rFonts w:ascii="Arial" w:hAnsi="Arial" w:cs="Arial" w:hint="eastAsia"/>
          <w:sz w:val="20"/>
        </w:rPr>
        <w:t>создавая</w:t>
      </w:r>
      <w:r>
        <w:rPr>
          <w:rFonts w:ascii="Arial" w:hAnsi="Arial" w:cs="Arial" w:hint="eastAsia"/>
          <w:sz w:val="20"/>
        </w:rPr>
        <w:t xml:space="preserve"> </w:t>
      </w:r>
      <w:r>
        <w:rPr>
          <w:rFonts w:ascii="Arial" w:hAnsi="Arial" w:cs="Arial" w:hint="eastAsia"/>
          <w:sz w:val="20"/>
        </w:rPr>
        <w:t>типовые</w:t>
      </w:r>
      <w:r>
        <w:rPr>
          <w:rFonts w:ascii="Arial" w:hAnsi="Arial" w:cs="Arial" w:hint="eastAsia"/>
          <w:sz w:val="20"/>
        </w:rPr>
        <w:t xml:space="preserve"> </w:t>
      </w:r>
      <w:r>
        <w:rPr>
          <w:rFonts w:ascii="Arial" w:hAnsi="Arial" w:cs="Arial" w:hint="eastAsia"/>
          <w:sz w:val="20"/>
        </w:rPr>
        <w:t>законы</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сфере</w:t>
      </w:r>
      <w:r>
        <w:rPr>
          <w:rFonts w:ascii="Arial" w:hAnsi="Arial" w:cs="Arial" w:hint="eastAsia"/>
          <w:sz w:val="20"/>
        </w:rPr>
        <w:t xml:space="preserve"> </w:t>
      </w:r>
      <w:r>
        <w:rPr>
          <w:rFonts w:ascii="Arial" w:hAnsi="Arial" w:cs="Arial" w:hint="eastAsia"/>
          <w:sz w:val="20"/>
        </w:rPr>
        <w:t>охраны</w:t>
      </w:r>
      <w:r>
        <w:rPr>
          <w:rFonts w:ascii="Arial" w:hAnsi="Arial" w:cs="Arial" w:hint="eastAsia"/>
          <w:sz w:val="20"/>
        </w:rPr>
        <w:t xml:space="preserve"> </w:t>
      </w:r>
      <w:r>
        <w:rPr>
          <w:rFonts w:ascii="Arial" w:hAnsi="Arial" w:cs="Arial" w:hint="eastAsia"/>
          <w:sz w:val="20"/>
        </w:rPr>
        <w:t>промышленной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для</w:t>
      </w:r>
      <w:r>
        <w:rPr>
          <w:rFonts w:ascii="Arial" w:hAnsi="Arial" w:cs="Arial" w:hint="eastAsia"/>
          <w:sz w:val="20"/>
        </w:rPr>
        <w:t xml:space="preserve"> </w:t>
      </w:r>
      <w:r>
        <w:rPr>
          <w:rFonts w:ascii="Arial" w:hAnsi="Arial" w:cs="Arial" w:hint="eastAsia"/>
          <w:sz w:val="20"/>
        </w:rPr>
        <w:t>развивающихся</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b/>
          <w:bCs/>
          <w:sz w:val="20"/>
        </w:rPr>
        <w:t>Пакет</w:t>
      </w:r>
      <w:r>
        <w:rPr>
          <w:rFonts w:ascii="Arial" w:hAnsi="Arial" w:cs="Arial" w:hint="eastAsia"/>
          <w:b/>
          <w:bCs/>
          <w:sz w:val="20"/>
        </w:rPr>
        <w:t xml:space="preserve"> </w:t>
      </w:r>
      <w:r>
        <w:rPr>
          <w:rFonts w:ascii="Arial" w:hAnsi="Arial" w:cs="Arial" w:hint="eastAsia"/>
          <w:b/>
          <w:bCs/>
          <w:sz w:val="20"/>
        </w:rPr>
        <w:t>документов</w:t>
      </w:r>
      <w:r>
        <w:rPr>
          <w:rFonts w:ascii="Arial" w:hAnsi="Arial" w:cs="Arial" w:hint="eastAsia"/>
          <w:b/>
          <w:bCs/>
          <w:sz w:val="20"/>
        </w:rPr>
        <w:t xml:space="preserve">, </w:t>
      </w:r>
      <w:r>
        <w:rPr>
          <w:rFonts w:ascii="Arial" w:hAnsi="Arial" w:cs="Arial" w:hint="eastAsia"/>
          <w:b/>
          <w:bCs/>
          <w:sz w:val="20"/>
        </w:rPr>
        <w:t>связанных</w:t>
      </w:r>
      <w:r>
        <w:rPr>
          <w:rFonts w:ascii="Arial" w:hAnsi="Arial" w:cs="Arial" w:hint="eastAsia"/>
          <w:b/>
          <w:bCs/>
          <w:sz w:val="20"/>
        </w:rPr>
        <w:t xml:space="preserve"> </w:t>
      </w:r>
      <w:r>
        <w:rPr>
          <w:rFonts w:ascii="Arial" w:hAnsi="Arial" w:cs="Arial" w:hint="eastAsia"/>
          <w:b/>
          <w:bCs/>
          <w:sz w:val="20"/>
        </w:rPr>
        <w:t>с</w:t>
      </w:r>
      <w:r>
        <w:rPr>
          <w:rFonts w:ascii="Arial" w:hAnsi="Arial" w:cs="Arial" w:hint="eastAsia"/>
          <w:b/>
          <w:bCs/>
          <w:sz w:val="20"/>
        </w:rPr>
        <w:t xml:space="preserve"> </w:t>
      </w:r>
      <w:r>
        <w:rPr>
          <w:rFonts w:ascii="Arial" w:hAnsi="Arial" w:cs="Arial" w:hint="eastAsia"/>
          <w:b/>
          <w:bCs/>
          <w:sz w:val="20"/>
        </w:rPr>
        <w:t>созданием</w:t>
      </w:r>
      <w:r>
        <w:rPr>
          <w:rFonts w:ascii="Arial" w:hAnsi="Arial" w:cs="Arial" w:hint="eastAsia"/>
          <w:b/>
          <w:bCs/>
          <w:sz w:val="20"/>
        </w:rPr>
        <w:t xml:space="preserve"> </w:t>
      </w:r>
      <w:r>
        <w:rPr>
          <w:rFonts w:ascii="Arial" w:hAnsi="Arial" w:cs="Arial" w:hint="eastAsia"/>
          <w:b/>
          <w:bCs/>
          <w:sz w:val="20"/>
        </w:rPr>
        <w:t>Всемирной</w:t>
      </w:r>
      <w:r>
        <w:rPr>
          <w:rFonts w:ascii="Arial" w:hAnsi="Arial" w:cs="Arial" w:hint="eastAsia"/>
          <w:b/>
          <w:bCs/>
          <w:sz w:val="20"/>
        </w:rPr>
        <w:t xml:space="preserve"> </w:t>
      </w:r>
      <w:r>
        <w:rPr>
          <w:rFonts w:ascii="Arial" w:hAnsi="Arial" w:cs="Arial" w:hint="eastAsia"/>
          <w:b/>
          <w:bCs/>
          <w:sz w:val="20"/>
        </w:rPr>
        <w:t>торговой</w:t>
      </w:r>
      <w:r>
        <w:rPr>
          <w:rFonts w:ascii="Arial" w:hAnsi="Arial" w:cs="Arial" w:hint="eastAsia"/>
          <w:b/>
          <w:bCs/>
          <w:sz w:val="20"/>
        </w:rPr>
        <w:t xml:space="preserve"> </w:t>
      </w:r>
      <w:r>
        <w:rPr>
          <w:rFonts w:ascii="Arial" w:hAnsi="Arial" w:cs="Arial" w:hint="eastAsia"/>
          <w:b/>
          <w:bCs/>
          <w:sz w:val="20"/>
        </w:rPr>
        <w:t>организации</w:t>
      </w:r>
      <w:r>
        <w:rPr>
          <w:rFonts w:ascii="Arial" w:hAnsi="Arial" w:cs="Arial" w:hint="eastAsia"/>
          <w:b/>
          <w:bCs/>
          <w:sz w:val="20"/>
        </w:rPr>
        <w:t xml:space="preserve"> (</w:t>
      </w:r>
      <w:r>
        <w:rPr>
          <w:rFonts w:ascii="Arial" w:hAnsi="Arial" w:cs="Arial" w:hint="eastAsia"/>
          <w:b/>
          <w:bCs/>
          <w:sz w:val="20"/>
        </w:rPr>
        <w:t>ВТО</w:t>
      </w:r>
      <w:r>
        <w:rPr>
          <w:rFonts w:ascii="Arial" w:hAnsi="Arial" w:cs="Arial" w:hint="eastAsia"/>
          <w:b/>
          <w:bCs/>
          <w:sz w:val="20"/>
        </w:rPr>
        <w:t>)</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базе</w:t>
      </w:r>
      <w:r>
        <w:rPr>
          <w:rFonts w:ascii="Arial" w:hAnsi="Arial" w:cs="Arial" w:hint="eastAsia"/>
          <w:sz w:val="20"/>
        </w:rPr>
        <w:t xml:space="preserve"> </w:t>
      </w:r>
      <w:r>
        <w:rPr>
          <w:rFonts w:ascii="Arial" w:hAnsi="Arial" w:cs="Arial" w:hint="eastAsia"/>
          <w:sz w:val="20"/>
        </w:rPr>
        <w:t>ГАТТ</w:t>
      </w:r>
      <w:r>
        <w:rPr>
          <w:rFonts w:ascii="Arial" w:hAnsi="Arial" w:cs="Arial" w:hint="eastAsia"/>
          <w:sz w:val="20"/>
        </w:rPr>
        <w:t xml:space="preserve">, </w:t>
      </w:r>
      <w:r>
        <w:rPr>
          <w:rFonts w:ascii="Arial" w:hAnsi="Arial" w:cs="Arial" w:hint="eastAsia"/>
          <w:sz w:val="20"/>
        </w:rPr>
        <w:t>включает</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себя</w:t>
      </w:r>
      <w:r>
        <w:rPr>
          <w:rFonts w:ascii="Arial" w:hAnsi="Arial" w:cs="Arial" w:hint="eastAsia"/>
          <w:sz w:val="20"/>
        </w:rPr>
        <w:t xml:space="preserve"> </w:t>
      </w:r>
      <w:r>
        <w:rPr>
          <w:rFonts w:ascii="Arial" w:hAnsi="Arial" w:cs="Arial" w:hint="eastAsia"/>
          <w:sz w:val="20"/>
        </w:rPr>
        <w:t>соглашение</w:t>
      </w:r>
      <w:r>
        <w:rPr>
          <w:rFonts w:ascii="Arial" w:hAnsi="Arial" w:cs="Arial" w:hint="eastAsia"/>
          <w:sz w:val="20"/>
        </w:rPr>
        <w:t xml:space="preserve">, </w:t>
      </w:r>
      <w:r>
        <w:rPr>
          <w:rFonts w:ascii="Arial" w:hAnsi="Arial" w:cs="Arial" w:hint="eastAsia"/>
          <w:sz w:val="20"/>
        </w:rPr>
        <w:t>специально</w:t>
      </w:r>
      <w:r>
        <w:rPr>
          <w:rFonts w:ascii="Arial" w:hAnsi="Arial" w:cs="Arial" w:hint="eastAsia"/>
          <w:sz w:val="20"/>
        </w:rPr>
        <w:t xml:space="preserve"> </w:t>
      </w:r>
      <w:r>
        <w:rPr>
          <w:rFonts w:ascii="Arial" w:hAnsi="Arial" w:cs="Arial" w:hint="eastAsia"/>
          <w:sz w:val="20"/>
        </w:rPr>
        <w:t>посвященное</w:t>
      </w:r>
      <w:r>
        <w:rPr>
          <w:rFonts w:ascii="Arial" w:hAnsi="Arial" w:cs="Arial" w:hint="eastAsia"/>
          <w:sz w:val="20"/>
        </w:rPr>
        <w:t xml:space="preserve"> </w:t>
      </w:r>
      <w:r>
        <w:rPr>
          <w:rFonts w:ascii="Arial" w:hAnsi="Arial" w:cs="Arial" w:hint="eastAsia"/>
          <w:sz w:val="20"/>
        </w:rPr>
        <w:t>интеллектуальной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обозначаемое</w:t>
      </w:r>
      <w:r>
        <w:rPr>
          <w:rFonts w:ascii="Arial" w:hAnsi="Arial" w:cs="Arial" w:hint="eastAsia"/>
          <w:sz w:val="20"/>
        </w:rPr>
        <w:t xml:space="preserve"> </w:t>
      </w:r>
      <w:r>
        <w:rPr>
          <w:rFonts w:ascii="Arial" w:hAnsi="Arial" w:cs="Arial" w:hint="eastAsia"/>
          <w:sz w:val="20"/>
        </w:rPr>
        <w:t>иногда</w:t>
      </w:r>
      <w:r>
        <w:rPr>
          <w:rFonts w:ascii="Arial" w:hAnsi="Arial" w:cs="Arial" w:hint="eastAsia"/>
          <w:sz w:val="20"/>
        </w:rPr>
        <w:t xml:space="preserve"> </w:t>
      </w:r>
      <w:r>
        <w:rPr>
          <w:rFonts w:ascii="Arial" w:hAnsi="Arial" w:cs="Arial" w:hint="eastAsia"/>
          <w:sz w:val="20"/>
        </w:rPr>
        <w:t>аббревиатурой</w:t>
      </w:r>
      <w:r>
        <w:rPr>
          <w:rFonts w:ascii="Arial" w:hAnsi="Arial" w:cs="Arial" w:hint="eastAsia"/>
          <w:sz w:val="20"/>
        </w:rPr>
        <w:t xml:space="preserve"> </w:t>
      </w:r>
      <w:r>
        <w:rPr>
          <w:rFonts w:ascii="Arial" w:hAnsi="Arial" w:cs="Arial" w:hint="eastAsia"/>
          <w:b/>
          <w:bCs/>
          <w:sz w:val="20"/>
        </w:rPr>
        <w:t>ТРИПС</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 xml:space="preserve"> </w:t>
      </w:r>
      <w:r>
        <w:rPr>
          <w:rFonts w:ascii="Arial" w:hAnsi="Arial" w:cs="Arial" w:hint="eastAsia"/>
          <w:sz w:val="20"/>
        </w:rPr>
        <w:t>первым</w:t>
      </w:r>
      <w:r>
        <w:rPr>
          <w:rFonts w:ascii="Arial" w:hAnsi="Arial" w:cs="Arial" w:hint="eastAsia"/>
          <w:sz w:val="20"/>
        </w:rPr>
        <w:t xml:space="preserve"> </w:t>
      </w:r>
      <w:r>
        <w:rPr>
          <w:rFonts w:ascii="Arial" w:hAnsi="Arial" w:cs="Arial" w:hint="eastAsia"/>
          <w:sz w:val="20"/>
        </w:rPr>
        <w:t>буквам</w:t>
      </w:r>
      <w:r>
        <w:rPr>
          <w:rFonts w:ascii="Arial" w:hAnsi="Arial" w:cs="Arial" w:hint="eastAsia"/>
          <w:sz w:val="20"/>
        </w:rPr>
        <w:t xml:space="preserve"> </w:t>
      </w:r>
      <w:r>
        <w:rPr>
          <w:rFonts w:ascii="Arial" w:hAnsi="Arial" w:cs="Arial" w:hint="eastAsia"/>
          <w:sz w:val="20"/>
        </w:rPr>
        <w:t>названия</w:t>
      </w:r>
      <w:r>
        <w:rPr>
          <w:rFonts w:ascii="Arial" w:hAnsi="Arial" w:cs="Arial" w:hint="eastAsia"/>
          <w:sz w:val="20"/>
        </w:rPr>
        <w:t xml:space="preserve"> </w:t>
      </w:r>
      <w:r>
        <w:rPr>
          <w:rFonts w:ascii="Arial" w:hAnsi="Arial" w:cs="Arial" w:hint="eastAsia"/>
          <w:sz w:val="20"/>
        </w:rPr>
        <w:t>по</w:t>
      </w:r>
      <w:r>
        <w:rPr>
          <w:rFonts w:ascii="Arial" w:hAnsi="Arial" w:cs="Arial" w:hint="eastAsia"/>
          <w:sz w:val="20"/>
        </w:rPr>
        <w:t>-</w:t>
      </w:r>
      <w:r>
        <w:rPr>
          <w:rFonts w:ascii="Arial" w:hAnsi="Arial" w:cs="Arial" w:hint="eastAsia"/>
          <w:sz w:val="20"/>
        </w:rPr>
        <w:t>английски</w:t>
      </w:r>
      <w:r>
        <w:rPr>
          <w:rFonts w:ascii="Arial" w:hAnsi="Arial" w:cs="Arial" w:hint="eastAsia"/>
          <w:sz w:val="20"/>
        </w:rPr>
        <w:t xml:space="preserve">), </w:t>
      </w:r>
      <w:r>
        <w:rPr>
          <w:rFonts w:ascii="Arial" w:hAnsi="Arial" w:cs="Arial" w:hint="eastAsia"/>
          <w:sz w:val="20"/>
        </w:rPr>
        <w:t>а</w:t>
      </w:r>
      <w:r>
        <w:rPr>
          <w:rFonts w:ascii="Arial" w:hAnsi="Arial" w:cs="Arial" w:hint="eastAsia"/>
          <w:sz w:val="20"/>
        </w:rPr>
        <w:t xml:space="preserve"> </w:t>
      </w:r>
      <w:r>
        <w:rPr>
          <w:rFonts w:ascii="Arial" w:hAnsi="Arial" w:cs="Arial" w:hint="eastAsia"/>
          <w:sz w:val="20"/>
        </w:rPr>
        <w:t>иногда</w:t>
      </w:r>
      <w:r>
        <w:rPr>
          <w:rFonts w:ascii="Arial" w:hAnsi="Arial" w:cs="Arial" w:hint="eastAsia"/>
          <w:sz w:val="20"/>
        </w:rPr>
        <w:t xml:space="preserve"> - </w:t>
      </w:r>
      <w:r>
        <w:rPr>
          <w:rFonts w:ascii="Arial" w:hAnsi="Arial" w:cs="Arial" w:hint="eastAsia"/>
          <w:sz w:val="20"/>
        </w:rPr>
        <w:t>АПИСТ</w:t>
      </w:r>
      <w:r>
        <w:rPr>
          <w:rFonts w:ascii="Arial" w:hAnsi="Arial" w:cs="Arial" w:hint="eastAsia"/>
          <w:sz w:val="20"/>
        </w:rPr>
        <w:t xml:space="preserve"> (</w:t>
      </w:r>
      <w:r>
        <w:rPr>
          <w:rFonts w:ascii="Arial" w:hAnsi="Arial" w:cs="Arial" w:hint="eastAsia"/>
          <w:sz w:val="20"/>
        </w:rPr>
        <w:t>Аспекты</w:t>
      </w:r>
      <w:r>
        <w:rPr>
          <w:rFonts w:ascii="Arial" w:hAnsi="Arial" w:cs="Arial" w:hint="eastAsia"/>
          <w:sz w:val="20"/>
        </w:rPr>
        <w:t xml:space="preserve"> </w:t>
      </w:r>
      <w:r>
        <w:rPr>
          <w:rFonts w:ascii="Arial" w:hAnsi="Arial" w:cs="Arial" w:hint="eastAsia"/>
          <w:sz w:val="20"/>
        </w:rPr>
        <w:t>прав</w:t>
      </w:r>
      <w:r>
        <w:rPr>
          <w:rFonts w:ascii="Arial" w:hAnsi="Arial" w:cs="Arial" w:hint="eastAsia"/>
          <w:sz w:val="20"/>
        </w:rPr>
        <w:t xml:space="preserve"> </w:t>
      </w:r>
      <w:r>
        <w:rPr>
          <w:rFonts w:ascii="Arial" w:hAnsi="Arial" w:cs="Arial" w:hint="eastAsia"/>
          <w:sz w:val="20"/>
        </w:rPr>
        <w:t>интеллектуальной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связанные</w:t>
      </w:r>
      <w:r>
        <w:rPr>
          <w:rFonts w:ascii="Arial" w:hAnsi="Arial" w:cs="Arial" w:hint="eastAsia"/>
          <w:sz w:val="20"/>
        </w:rPr>
        <w:t xml:space="preserve"> </w:t>
      </w:r>
      <w:r>
        <w:rPr>
          <w:rFonts w:ascii="Arial" w:hAnsi="Arial" w:cs="Arial" w:hint="eastAsia"/>
          <w:sz w:val="20"/>
        </w:rPr>
        <w:t>с</w:t>
      </w:r>
      <w:r>
        <w:rPr>
          <w:rFonts w:ascii="Arial" w:hAnsi="Arial" w:cs="Arial" w:hint="eastAsia"/>
          <w:sz w:val="20"/>
        </w:rPr>
        <w:t xml:space="preserve"> </w:t>
      </w:r>
      <w:r>
        <w:rPr>
          <w:rFonts w:ascii="Arial" w:hAnsi="Arial" w:cs="Arial" w:hint="eastAsia"/>
          <w:sz w:val="20"/>
        </w:rPr>
        <w:t>торговлей</w:t>
      </w:r>
      <w:r>
        <w:rPr>
          <w:rFonts w:ascii="Arial" w:hAnsi="Arial" w:cs="Arial" w:hint="eastAsia"/>
          <w:sz w:val="20"/>
        </w:rPr>
        <w:t xml:space="preserve">). </w:t>
      </w:r>
      <w:r>
        <w:rPr>
          <w:rFonts w:ascii="Arial" w:hAnsi="Arial" w:cs="Arial" w:hint="eastAsia"/>
          <w:sz w:val="20"/>
        </w:rPr>
        <w:t>Текст</w:t>
      </w:r>
      <w:r>
        <w:rPr>
          <w:rFonts w:ascii="Arial" w:hAnsi="Arial" w:cs="Arial" w:hint="eastAsia"/>
          <w:sz w:val="20"/>
        </w:rPr>
        <w:t xml:space="preserve"> </w:t>
      </w:r>
      <w:r>
        <w:rPr>
          <w:rFonts w:ascii="Arial" w:hAnsi="Arial" w:cs="Arial" w:hint="eastAsia"/>
          <w:sz w:val="20"/>
        </w:rPr>
        <w:t>Соглашения</w:t>
      </w:r>
      <w:r>
        <w:rPr>
          <w:rFonts w:ascii="Arial" w:hAnsi="Arial" w:cs="Arial" w:hint="eastAsia"/>
          <w:sz w:val="20"/>
        </w:rPr>
        <w:t xml:space="preserve"> </w:t>
      </w:r>
      <w:r>
        <w:rPr>
          <w:rFonts w:ascii="Arial" w:hAnsi="Arial" w:cs="Arial" w:hint="eastAsia"/>
          <w:sz w:val="20"/>
        </w:rPr>
        <w:t>охватывает</w:t>
      </w:r>
      <w:r>
        <w:rPr>
          <w:rFonts w:ascii="Arial" w:hAnsi="Arial" w:cs="Arial" w:hint="eastAsia"/>
          <w:sz w:val="20"/>
        </w:rPr>
        <w:t xml:space="preserve"> </w:t>
      </w:r>
      <w:r>
        <w:rPr>
          <w:rFonts w:ascii="Arial" w:hAnsi="Arial" w:cs="Arial" w:hint="eastAsia"/>
          <w:sz w:val="20"/>
        </w:rPr>
        <w:t>вопросы</w:t>
      </w:r>
      <w:r>
        <w:rPr>
          <w:rFonts w:ascii="Arial" w:hAnsi="Arial" w:cs="Arial" w:hint="eastAsia"/>
          <w:sz w:val="20"/>
        </w:rPr>
        <w:t xml:space="preserve">, </w:t>
      </w:r>
      <w:r>
        <w:rPr>
          <w:rFonts w:ascii="Arial" w:hAnsi="Arial" w:cs="Arial" w:hint="eastAsia"/>
          <w:sz w:val="20"/>
        </w:rPr>
        <w:t>связанные</w:t>
      </w:r>
      <w:r>
        <w:rPr>
          <w:rFonts w:ascii="Arial" w:hAnsi="Arial" w:cs="Arial" w:hint="eastAsia"/>
          <w:sz w:val="20"/>
        </w:rPr>
        <w:t xml:space="preserve"> </w:t>
      </w:r>
      <w:r>
        <w:rPr>
          <w:rFonts w:ascii="Arial" w:hAnsi="Arial" w:cs="Arial" w:hint="eastAsia"/>
          <w:sz w:val="20"/>
        </w:rPr>
        <w:t>с</w:t>
      </w:r>
      <w:r>
        <w:rPr>
          <w:rFonts w:ascii="Arial" w:hAnsi="Arial" w:cs="Arial" w:hint="eastAsia"/>
          <w:sz w:val="20"/>
        </w:rPr>
        <w:t xml:space="preserve"> </w:t>
      </w:r>
      <w:r>
        <w:rPr>
          <w:rFonts w:ascii="Arial" w:hAnsi="Arial" w:cs="Arial" w:hint="eastAsia"/>
          <w:sz w:val="20"/>
        </w:rPr>
        <w:t>семью</w:t>
      </w:r>
      <w:r>
        <w:rPr>
          <w:rFonts w:ascii="Arial" w:hAnsi="Arial" w:cs="Arial" w:hint="eastAsia"/>
          <w:sz w:val="20"/>
        </w:rPr>
        <w:t xml:space="preserve"> </w:t>
      </w:r>
      <w:r>
        <w:rPr>
          <w:rFonts w:ascii="Arial" w:hAnsi="Arial" w:cs="Arial" w:hint="eastAsia"/>
          <w:sz w:val="20"/>
        </w:rPr>
        <w:t>видами</w:t>
      </w:r>
      <w:r>
        <w:rPr>
          <w:rFonts w:ascii="Arial" w:hAnsi="Arial" w:cs="Arial" w:hint="eastAsia"/>
          <w:sz w:val="20"/>
        </w:rPr>
        <w:t xml:space="preserve"> </w:t>
      </w:r>
      <w:r>
        <w:rPr>
          <w:rFonts w:ascii="Arial" w:hAnsi="Arial" w:cs="Arial" w:hint="eastAsia"/>
          <w:sz w:val="20"/>
        </w:rPr>
        <w:t>интеллектуальной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авторским</w:t>
      </w:r>
      <w:r>
        <w:rPr>
          <w:rFonts w:ascii="Arial" w:hAnsi="Arial" w:cs="Arial" w:hint="eastAsia"/>
          <w:sz w:val="20"/>
        </w:rPr>
        <w:t xml:space="preserve"> </w:t>
      </w:r>
      <w:r>
        <w:rPr>
          <w:rFonts w:ascii="Arial" w:hAnsi="Arial" w:cs="Arial" w:hint="eastAsia"/>
          <w:sz w:val="20"/>
        </w:rPr>
        <w:t>правом</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смежными</w:t>
      </w:r>
      <w:r>
        <w:rPr>
          <w:rFonts w:ascii="Arial" w:hAnsi="Arial" w:cs="Arial" w:hint="eastAsia"/>
          <w:sz w:val="20"/>
        </w:rPr>
        <w:t xml:space="preserve"> </w:t>
      </w:r>
      <w:r>
        <w:rPr>
          <w:rFonts w:ascii="Arial" w:hAnsi="Arial" w:cs="Arial" w:hint="eastAsia"/>
          <w:sz w:val="20"/>
        </w:rPr>
        <w:t>правами</w:t>
      </w:r>
      <w:r>
        <w:rPr>
          <w:rFonts w:ascii="Arial" w:hAnsi="Arial" w:cs="Arial" w:hint="eastAsia"/>
          <w:sz w:val="20"/>
        </w:rPr>
        <w:t xml:space="preserve">, </w:t>
      </w:r>
      <w:r>
        <w:rPr>
          <w:rFonts w:ascii="Arial" w:hAnsi="Arial" w:cs="Arial" w:hint="eastAsia"/>
          <w:sz w:val="20"/>
        </w:rPr>
        <w:t>товарными</w:t>
      </w:r>
      <w:r>
        <w:rPr>
          <w:rFonts w:ascii="Arial" w:hAnsi="Arial" w:cs="Arial" w:hint="eastAsia"/>
          <w:sz w:val="20"/>
        </w:rPr>
        <w:t xml:space="preserve"> </w:t>
      </w:r>
      <w:r>
        <w:rPr>
          <w:rFonts w:ascii="Arial" w:hAnsi="Arial" w:cs="Arial" w:hint="eastAsia"/>
          <w:sz w:val="20"/>
        </w:rPr>
        <w:t>знаками</w:t>
      </w:r>
      <w:r>
        <w:rPr>
          <w:rFonts w:ascii="Arial" w:hAnsi="Arial" w:cs="Arial" w:hint="eastAsia"/>
          <w:sz w:val="20"/>
        </w:rPr>
        <w:t xml:space="preserve">, </w:t>
      </w:r>
      <w:r>
        <w:rPr>
          <w:rFonts w:ascii="Arial" w:hAnsi="Arial" w:cs="Arial" w:hint="eastAsia"/>
          <w:sz w:val="20"/>
        </w:rPr>
        <w:t>географическими</w:t>
      </w:r>
      <w:r>
        <w:rPr>
          <w:rFonts w:ascii="Arial" w:hAnsi="Arial" w:cs="Arial" w:hint="eastAsia"/>
          <w:sz w:val="20"/>
        </w:rPr>
        <w:t xml:space="preserve"> </w:t>
      </w:r>
      <w:r>
        <w:rPr>
          <w:rFonts w:ascii="Arial" w:hAnsi="Arial" w:cs="Arial" w:hint="eastAsia"/>
          <w:sz w:val="20"/>
        </w:rPr>
        <w:t>указаниями</w:t>
      </w:r>
      <w:r>
        <w:rPr>
          <w:rFonts w:ascii="Arial" w:hAnsi="Arial" w:cs="Arial" w:hint="eastAsia"/>
          <w:sz w:val="20"/>
        </w:rPr>
        <w:t xml:space="preserve">, </w:t>
      </w:r>
      <w:r>
        <w:rPr>
          <w:rFonts w:ascii="Arial" w:hAnsi="Arial" w:cs="Arial" w:hint="eastAsia"/>
          <w:sz w:val="20"/>
        </w:rPr>
        <w:t>промышленными</w:t>
      </w:r>
      <w:r>
        <w:rPr>
          <w:rFonts w:ascii="Arial" w:hAnsi="Arial" w:cs="Arial" w:hint="eastAsia"/>
          <w:sz w:val="20"/>
        </w:rPr>
        <w:t xml:space="preserve"> </w:t>
      </w:r>
      <w:r>
        <w:rPr>
          <w:rFonts w:ascii="Arial" w:hAnsi="Arial" w:cs="Arial" w:hint="eastAsia"/>
          <w:sz w:val="20"/>
        </w:rPr>
        <w:t>образцами</w:t>
      </w:r>
      <w:r>
        <w:rPr>
          <w:rFonts w:ascii="Arial" w:hAnsi="Arial" w:cs="Arial" w:hint="eastAsia"/>
          <w:sz w:val="20"/>
        </w:rPr>
        <w:t xml:space="preserve">, </w:t>
      </w:r>
      <w:r>
        <w:rPr>
          <w:rFonts w:ascii="Arial" w:hAnsi="Arial" w:cs="Arial" w:hint="eastAsia"/>
          <w:sz w:val="20"/>
        </w:rPr>
        <w:t>патентами</w:t>
      </w:r>
      <w:r>
        <w:rPr>
          <w:rFonts w:ascii="Arial" w:hAnsi="Arial" w:cs="Arial" w:hint="eastAsia"/>
          <w:sz w:val="20"/>
        </w:rPr>
        <w:t xml:space="preserve">, </w:t>
      </w:r>
      <w:r>
        <w:rPr>
          <w:rFonts w:ascii="Arial" w:hAnsi="Arial" w:cs="Arial" w:hint="eastAsia"/>
          <w:sz w:val="20"/>
        </w:rPr>
        <w:t>коммерческой</w:t>
      </w:r>
      <w:r>
        <w:rPr>
          <w:rFonts w:ascii="Arial" w:hAnsi="Arial" w:cs="Arial" w:hint="eastAsia"/>
          <w:sz w:val="20"/>
        </w:rPr>
        <w:t xml:space="preserve"> </w:t>
      </w:r>
      <w:r>
        <w:rPr>
          <w:rFonts w:ascii="Arial" w:hAnsi="Arial" w:cs="Arial" w:hint="eastAsia"/>
          <w:sz w:val="20"/>
        </w:rPr>
        <w:t>тайной</w:t>
      </w:r>
      <w:r>
        <w:rPr>
          <w:rFonts w:ascii="Arial" w:hAnsi="Arial" w:cs="Arial" w:hint="eastAsia"/>
          <w:sz w:val="20"/>
        </w:rPr>
        <w:t xml:space="preserve">, </w:t>
      </w:r>
      <w:r>
        <w:rPr>
          <w:rFonts w:ascii="Arial" w:hAnsi="Arial" w:cs="Arial" w:hint="eastAsia"/>
          <w:sz w:val="20"/>
        </w:rPr>
        <w:t>а</w:t>
      </w:r>
      <w:r>
        <w:rPr>
          <w:rFonts w:ascii="Arial" w:hAnsi="Arial" w:cs="Arial" w:hint="eastAsia"/>
          <w:sz w:val="20"/>
        </w:rPr>
        <w:t xml:space="preserve"> </w:t>
      </w:r>
      <w:r>
        <w:rPr>
          <w:rFonts w:ascii="Arial" w:hAnsi="Arial" w:cs="Arial" w:hint="eastAsia"/>
          <w:sz w:val="20"/>
        </w:rPr>
        <w:t>также</w:t>
      </w:r>
      <w:r>
        <w:rPr>
          <w:rFonts w:ascii="Arial" w:hAnsi="Arial" w:cs="Arial" w:hint="eastAsia"/>
          <w:sz w:val="20"/>
        </w:rPr>
        <w:t xml:space="preserve"> </w:t>
      </w:r>
      <w:r>
        <w:rPr>
          <w:rFonts w:ascii="Arial" w:hAnsi="Arial" w:cs="Arial" w:hint="eastAsia"/>
          <w:sz w:val="20"/>
        </w:rPr>
        <w:t>контролем</w:t>
      </w:r>
      <w:r>
        <w:rPr>
          <w:rFonts w:ascii="Arial" w:hAnsi="Arial" w:cs="Arial" w:hint="eastAsia"/>
          <w:sz w:val="20"/>
        </w:rPr>
        <w:t xml:space="preserve"> </w:t>
      </w:r>
      <w:r>
        <w:rPr>
          <w:rFonts w:ascii="Arial" w:hAnsi="Arial" w:cs="Arial" w:hint="eastAsia"/>
          <w:sz w:val="20"/>
        </w:rPr>
        <w:t>за</w:t>
      </w:r>
      <w:r>
        <w:rPr>
          <w:rFonts w:ascii="Arial" w:hAnsi="Arial" w:cs="Arial" w:hint="eastAsia"/>
          <w:sz w:val="20"/>
        </w:rPr>
        <w:t xml:space="preserve"> </w:t>
      </w:r>
      <w:r>
        <w:rPr>
          <w:rFonts w:ascii="Arial" w:hAnsi="Arial" w:cs="Arial" w:hint="eastAsia"/>
          <w:sz w:val="20"/>
        </w:rPr>
        <w:t>антиконкурентной</w:t>
      </w:r>
      <w:r>
        <w:rPr>
          <w:rFonts w:ascii="Arial" w:hAnsi="Arial" w:cs="Arial" w:hint="eastAsia"/>
          <w:sz w:val="20"/>
        </w:rPr>
        <w:t xml:space="preserve"> </w:t>
      </w:r>
      <w:r>
        <w:rPr>
          <w:rFonts w:ascii="Arial" w:hAnsi="Arial" w:cs="Arial" w:hint="eastAsia"/>
          <w:sz w:val="20"/>
        </w:rPr>
        <w:t>деятельностью</w:t>
      </w:r>
      <w:r>
        <w:rPr>
          <w:rFonts w:ascii="Arial" w:hAnsi="Arial" w:cs="Arial" w:hint="eastAsia"/>
          <w:sz w:val="20"/>
        </w:rPr>
        <w:t>. "</w:t>
      </w:r>
      <w:r>
        <w:rPr>
          <w:rFonts w:ascii="Arial" w:hAnsi="Arial" w:cs="Arial" w:hint="eastAsia"/>
          <w:sz w:val="20"/>
        </w:rPr>
        <w:t>Такая</w:t>
      </w:r>
      <w:r>
        <w:rPr>
          <w:rFonts w:ascii="Arial" w:hAnsi="Arial" w:cs="Arial" w:hint="eastAsia"/>
          <w:sz w:val="20"/>
        </w:rPr>
        <w:t xml:space="preserve"> </w:t>
      </w:r>
      <w:r>
        <w:rPr>
          <w:rFonts w:ascii="Arial" w:hAnsi="Arial" w:cs="Arial" w:hint="eastAsia"/>
          <w:sz w:val="20"/>
        </w:rPr>
        <w:t>структура</w:t>
      </w:r>
      <w:r>
        <w:rPr>
          <w:rFonts w:ascii="Arial" w:hAnsi="Arial" w:cs="Arial" w:hint="eastAsia"/>
          <w:sz w:val="20"/>
        </w:rPr>
        <w:t xml:space="preserve"> </w:t>
      </w:r>
      <w:r>
        <w:rPr>
          <w:rFonts w:ascii="Arial" w:hAnsi="Arial" w:cs="Arial" w:hint="eastAsia"/>
          <w:sz w:val="20"/>
        </w:rPr>
        <w:t>явно</w:t>
      </w:r>
      <w:r>
        <w:rPr>
          <w:rFonts w:ascii="Arial" w:hAnsi="Arial" w:cs="Arial" w:hint="eastAsia"/>
          <w:sz w:val="20"/>
        </w:rPr>
        <w:t xml:space="preserve"> </w:t>
      </w:r>
      <w:r>
        <w:rPr>
          <w:rFonts w:ascii="Arial" w:hAnsi="Arial" w:cs="Arial" w:hint="eastAsia"/>
          <w:sz w:val="20"/>
        </w:rPr>
        <w:t>нивелирует</w:t>
      </w:r>
      <w:r>
        <w:rPr>
          <w:rFonts w:ascii="Arial" w:hAnsi="Arial" w:cs="Arial" w:hint="eastAsia"/>
          <w:sz w:val="20"/>
        </w:rPr>
        <w:t xml:space="preserve"> </w:t>
      </w:r>
      <w:r>
        <w:rPr>
          <w:rFonts w:ascii="Arial" w:hAnsi="Arial" w:cs="Arial" w:hint="eastAsia"/>
          <w:sz w:val="20"/>
        </w:rPr>
        <w:t>отличительный</w:t>
      </w:r>
      <w:r>
        <w:rPr>
          <w:rFonts w:ascii="Arial" w:hAnsi="Arial" w:cs="Arial" w:hint="eastAsia"/>
          <w:sz w:val="20"/>
        </w:rPr>
        <w:t xml:space="preserve"> </w:t>
      </w:r>
      <w:r>
        <w:rPr>
          <w:rFonts w:ascii="Arial" w:hAnsi="Arial" w:cs="Arial" w:hint="eastAsia"/>
          <w:sz w:val="20"/>
        </w:rPr>
        <w:t>характер</w:t>
      </w:r>
      <w:r>
        <w:rPr>
          <w:rFonts w:ascii="Arial" w:hAnsi="Arial" w:cs="Arial" w:hint="eastAsia"/>
          <w:sz w:val="20"/>
        </w:rPr>
        <w:t xml:space="preserve"> </w:t>
      </w:r>
      <w:r>
        <w:rPr>
          <w:rFonts w:ascii="Arial" w:hAnsi="Arial" w:cs="Arial" w:hint="eastAsia"/>
          <w:sz w:val="20"/>
        </w:rPr>
        <w:t>литературной</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художественной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p>
    <w:p w:rsidR="00FD64D5" w:rsidRDefault="00FD64D5">
      <w:pPr>
        <w:pStyle w:val="a3"/>
        <w:jc w:val="both"/>
        <w:rPr>
          <w:rFonts w:ascii="Arial" w:hAnsi="Arial" w:cs="Arial"/>
          <w:sz w:val="20"/>
        </w:rPr>
      </w:pPr>
      <w:r>
        <w:rPr>
          <w:rFonts w:ascii="Arial" w:hAnsi="Arial" w:cs="Arial" w:hint="eastAsia"/>
          <w:sz w:val="20"/>
        </w:rPr>
        <w:t>Цель</w:t>
      </w:r>
      <w:r>
        <w:rPr>
          <w:rFonts w:ascii="Arial" w:hAnsi="Arial" w:cs="Arial" w:hint="eastAsia"/>
          <w:sz w:val="20"/>
        </w:rPr>
        <w:t xml:space="preserve"> </w:t>
      </w:r>
      <w:r>
        <w:rPr>
          <w:rFonts w:ascii="Arial" w:hAnsi="Arial" w:cs="Arial" w:hint="eastAsia"/>
          <w:sz w:val="20"/>
        </w:rPr>
        <w:t>соглашения</w:t>
      </w:r>
      <w:r>
        <w:rPr>
          <w:rFonts w:ascii="Arial" w:hAnsi="Arial" w:cs="Arial" w:hint="eastAsia"/>
          <w:sz w:val="20"/>
        </w:rPr>
        <w:t xml:space="preserve"> </w:t>
      </w:r>
      <w:r>
        <w:rPr>
          <w:rFonts w:ascii="Arial" w:hAnsi="Arial" w:cs="Arial" w:hint="eastAsia"/>
          <w:sz w:val="20"/>
        </w:rPr>
        <w:t>АПИСТ</w:t>
      </w:r>
      <w:r>
        <w:rPr>
          <w:rFonts w:ascii="Arial" w:hAnsi="Arial" w:cs="Arial" w:hint="eastAsia"/>
          <w:sz w:val="20"/>
        </w:rPr>
        <w:t xml:space="preserve"> (</w:t>
      </w:r>
      <w:r>
        <w:rPr>
          <w:rFonts w:ascii="Arial" w:hAnsi="Arial" w:cs="Arial" w:hint="eastAsia"/>
          <w:sz w:val="20"/>
        </w:rPr>
        <w:t>ТРИПС</w:t>
      </w:r>
      <w:r>
        <w:rPr>
          <w:rFonts w:ascii="Arial" w:hAnsi="Arial" w:cs="Arial" w:hint="eastAsia"/>
          <w:sz w:val="20"/>
        </w:rPr>
        <w:t xml:space="preserve">) </w:t>
      </w:r>
      <w:r>
        <w:rPr>
          <w:rFonts w:ascii="Arial" w:hAnsi="Arial" w:cs="Arial" w:hint="eastAsia"/>
          <w:sz w:val="20"/>
        </w:rPr>
        <w:t>заключается</w:t>
      </w:r>
      <w:r>
        <w:rPr>
          <w:rFonts w:ascii="Arial" w:hAnsi="Arial" w:cs="Arial" w:hint="eastAsia"/>
          <w:sz w:val="20"/>
        </w:rPr>
        <w:t xml:space="preserve"> </w:t>
      </w:r>
      <w:r>
        <w:rPr>
          <w:rFonts w:ascii="Arial" w:hAnsi="Arial" w:cs="Arial" w:hint="eastAsia"/>
          <w:b/>
          <w:bCs/>
          <w:sz w:val="20"/>
        </w:rPr>
        <w:t>в</w:t>
      </w:r>
      <w:r>
        <w:rPr>
          <w:rFonts w:ascii="Arial" w:hAnsi="Arial" w:cs="Arial" w:hint="eastAsia"/>
          <w:b/>
          <w:bCs/>
          <w:sz w:val="20"/>
        </w:rPr>
        <w:t xml:space="preserve"> </w:t>
      </w:r>
      <w:r>
        <w:rPr>
          <w:rFonts w:ascii="Arial" w:hAnsi="Arial" w:cs="Arial" w:hint="eastAsia"/>
          <w:b/>
          <w:bCs/>
          <w:sz w:val="20"/>
        </w:rPr>
        <w:t>содействии</w:t>
      </w:r>
      <w:r>
        <w:rPr>
          <w:rFonts w:ascii="Arial" w:hAnsi="Arial" w:cs="Arial" w:hint="eastAsia"/>
          <w:b/>
          <w:bCs/>
          <w:sz w:val="20"/>
        </w:rPr>
        <w:t xml:space="preserve"> </w:t>
      </w:r>
      <w:r>
        <w:rPr>
          <w:rFonts w:ascii="Arial" w:hAnsi="Arial" w:cs="Arial" w:hint="eastAsia"/>
          <w:b/>
          <w:bCs/>
          <w:sz w:val="20"/>
        </w:rPr>
        <w:t>развитию</w:t>
      </w:r>
      <w:r>
        <w:rPr>
          <w:rFonts w:ascii="Arial" w:hAnsi="Arial" w:cs="Arial" w:hint="eastAsia"/>
          <w:b/>
          <w:bCs/>
          <w:sz w:val="20"/>
        </w:rPr>
        <w:t xml:space="preserve"> </w:t>
      </w:r>
      <w:r>
        <w:rPr>
          <w:rFonts w:ascii="Arial" w:hAnsi="Arial" w:cs="Arial" w:hint="eastAsia"/>
          <w:b/>
          <w:bCs/>
          <w:sz w:val="20"/>
        </w:rPr>
        <w:t>международной</w:t>
      </w:r>
      <w:r>
        <w:rPr>
          <w:rFonts w:ascii="Arial" w:hAnsi="Arial" w:cs="Arial" w:hint="eastAsia"/>
          <w:b/>
          <w:bCs/>
          <w:sz w:val="20"/>
        </w:rPr>
        <w:t xml:space="preserve"> </w:t>
      </w:r>
      <w:r>
        <w:rPr>
          <w:rFonts w:ascii="Arial" w:hAnsi="Arial" w:cs="Arial" w:hint="eastAsia"/>
          <w:b/>
          <w:bCs/>
          <w:sz w:val="20"/>
        </w:rPr>
        <w:t>торговли</w:t>
      </w:r>
      <w:r>
        <w:rPr>
          <w:rFonts w:ascii="Arial" w:hAnsi="Arial" w:cs="Arial" w:hint="eastAsia"/>
          <w:b/>
          <w:bCs/>
          <w:sz w:val="20"/>
        </w:rPr>
        <w:t xml:space="preserve"> </w:t>
      </w:r>
      <w:r>
        <w:rPr>
          <w:rFonts w:ascii="Arial" w:hAnsi="Arial" w:cs="Arial" w:hint="eastAsia"/>
          <w:b/>
          <w:bCs/>
          <w:sz w:val="20"/>
        </w:rPr>
        <w:t>и</w:t>
      </w:r>
      <w:r>
        <w:rPr>
          <w:rFonts w:ascii="Arial" w:hAnsi="Arial" w:cs="Arial" w:hint="eastAsia"/>
          <w:b/>
          <w:bCs/>
          <w:sz w:val="20"/>
        </w:rPr>
        <w:t xml:space="preserve"> </w:t>
      </w:r>
      <w:r>
        <w:rPr>
          <w:rFonts w:ascii="Arial" w:hAnsi="Arial" w:cs="Arial" w:hint="eastAsia"/>
          <w:b/>
          <w:bCs/>
          <w:sz w:val="20"/>
        </w:rPr>
        <w:t>создании</w:t>
      </w:r>
      <w:r>
        <w:rPr>
          <w:rFonts w:ascii="Arial" w:hAnsi="Arial" w:cs="Arial" w:hint="eastAsia"/>
          <w:b/>
          <w:bCs/>
          <w:sz w:val="20"/>
        </w:rPr>
        <w:t xml:space="preserve"> </w:t>
      </w:r>
      <w:r>
        <w:rPr>
          <w:rFonts w:ascii="Arial" w:hAnsi="Arial" w:cs="Arial" w:hint="eastAsia"/>
          <w:b/>
          <w:bCs/>
          <w:sz w:val="20"/>
        </w:rPr>
        <w:t>для</w:t>
      </w:r>
      <w:r>
        <w:rPr>
          <w:rFonts w:ascii="Arial" w:hAnsi="Arial" w:cs="Arial" w:hint="eastAsia"/>
          <w:b/>
          <w:bCs/>
          <w:sz w:val="20"/>
        </w:rPr>
        <w:t xml:space="preserve"> </w:t>
      </w:r>
      <w:r>
        <w:rPr>
          <w:rFonts w:ascii="Arial" w:hAnsi="Arial" w:cs="Arial" w:hint="eastAsia"/>
          <w:b/>
          <w:bCs/>
          <w:sz w:val="20"/>
        </w:rPr>
        <w:t>нее</w:t>
      </w:r>
      <w:r>
        <w:rPr>
          <w:rFonts w:ascii="Arial" w:hAnsi="Arial" w:cs="Arial" w:hint="eastAsia"/>
          <w:b/>
          <w:bCs/>
          <w:sz w:val="20"/>
        </w:rPr>
        <w:t xml:space="preserve"> </w:t>
      </w:r>
      <w:r>
        <w:rPr>
          <w:rFonts w:ascii="Arial" w:hAnsi="Arial" w:cs="Arial" w:hint="eastAsia"/>
          <w:b/>
          <w:bCs/>
          <w:sz w:val="20"/>
        </w:rPr>
        <w:t>более</w:t>
      </w:r>
      <w:r>
        <w:rPr>
          <w:rFonts w:ascii="Arial" w:hAnsi="Arial" w:cs="Arial" w:hint="eastAsia"/>
          <w:b/>
          <w:bCs/>
          <w:sz w:val="20"/>
        </w:rPr>
        <w:t xml:space="preserve"> </w:t>
      </w:r>
      <w:r>
        <w:rPr>
          <w:rFonts w:ascii="Arial" w:hAnsi="Arial" w:cs="Arial" w:hint="eastAsia"/>
          <w:b/>
          <w:bCs/>
          <w:sz w:val="20"/>
        </w:rPr>
        <w:t>надежной</w:t>
      </w:r>
      <w:r>
        <w:rPr>
          <w:rFonts w:ascii="Arial" w:hAnsi="Arial" w:cs="Arial" w:hint="eastAsia"/>
          <w:b/>
          <w:bCs/>
          <w:sz w:val="20"/>
        </w:rPr>
        <w:t xml:space="preserve"> </w:t>
      </w:r>
      <w:r>
        <w:rPr>
          <w:rFonts w:ascii="Arial" w:hAnsi="Arial" w:cs="Arial" w:hint="eastAsia"/>
          <w:b/>
          <w:bCs/>
          <w:sz w:val="20"/>
        </w:rPr>
        <w:t>правовой</w:t>
      </w:r>
      <w:r>
        <w:rPr>
          <w:rFonts w:ascii="Arial" w:hAnsi="Arial" w:cs="Arial" w:hint="eastAsia"/>
          <w:b/>
          <w:bCs/>
          <w:sz w:val="20"/>
        </w:rPr>
        <w:t xml:space="preserve"> </w:t>
      </w:r>
      <w:r>
        <w:rPr>
          <w:rFonts w:ascii="Arial" w:hAnsi="Arial" w:cs="Arial" w:hint="eastAsia"/>
          <w:b/>
          <w:bCs/>
          <w:sz w:val="20"/>
        </w:rPr>
        <w:t>базы</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соответствии</w:t>
      </w:r>
      <w:r>
        <w:rPr>
          <w:rFonts w:ascii="Arial" w:hAnsi="Arial" w:cs="Arial" w:hint="eastAsia"/>
          <w:sz w:val="20"/>
        </w:rPr>
        <w:t xml:space="preserve"> </w:t>
      </w:r>
      <w:r>
        <w:rPr>
          <w:rFonts w:ascii="Arial" w:hAnsi="Arial" w:cs="Arial" w:hint="eastAsia"/>
          <w:sz w:val="20"/>
        </w:rPr>
        <w:t>со</w:t>
      </w:r>
      <w:r>
        <w:rPr>
          <w:rFonts w:ascii="Arial" w:hAnsi="Arial" w:cs="Arial" w:hint="eastAsia"/>
          <w:sz w:val="20"/>
        </w:rPr>
        <w:t xml:space="preserve"> </w:t>
      </w:r>
      <w:r>
        <w:rPr>
          <w:rFonts w:ascii="Arial" w:hAnsi="Arial" w:cs="Arial" w:hint="eastAsia"/>
          <w:sz w:val="20"/>
        </w:rPr>
        <w:t>статьей</w:t>
      </w:r>
      <w:r>
        <w:rPr>
          <w:rFonts w:ascii="Arial" w:hAnsi="Arial" w:cs="Arial" w:hint="eastAsia"/>
          <w:sz w:val="20"/>
        </w:rPr>
        <w:t xml:space="preserve"> 3 </w:t>
      </w:r>
      <w:r>
        <w:rPr>
          <w:rFonts w:ascii="Arial" w:hAnsi="Arial" w:cs="Arial" w:hint="eastAsia"/>
          <w:sz w:val="20"/>
        </w:rPr>
        <w:t>Соглашения</w:t>
      </w:r>
      <w:r>
        <w:rPr>
          <w:rFonts w:ascii="Arial" w:hAnsi="Arial" w:cs="Arial" w:hint="eastAsia"/>
          <w:sz w:val="20"/>
        </w:rPr>
        <w:t xml:space="preserve"> </w:t>
      </w:r>
      <w:r>
        <w:rPr>
          <w:rFonts w:ascii="Arial" w:hAnsi="Arial" w:cs="Arial" w:hint="eastAsia"/>
          <w:sz w:val="20"/>
        </w:rPr>
        <w:t>страны</w:t>
      </w:r>
      <w:r>
        <w:rPr>
          <w:rFonts w:ascii="Arial" w:hAnsi="Arial" w:cs="Arial" w:hint="eastAsia"/>
          <w:sz w:val="20"/>
        </w:rPr>
        <w:t>-</w:t>
      </w:r>
      <w:r>
        <w:rPr>
          <w:rFonts w:ascii="Arial" w:hAnsi="Arial" w:cs="Arial" w:hint="eastAsia"/>
          <w:sz w:val="20"/>
        </w:rPr>
        <w:t>участницы</w:t>
      </w:r>
      <w:r>
        <w:rPr>
          <w:rFonts w:ascii="Arial" w:hAnsi="Arial" w:cs="Arial" w:hint="eastAsia"/>
          <w:sz w:val="20"/>
        </w:rPr>
        <w:t xml:space="preserve"> </w:t>
      </w:r>
      <w:r>
        <w:rPr>
          <w:rFonts w:ascii="Arial" w:hAnsi="Arial" w:cs="Arial" w:hint="eastAsia"/>
          <w:sz w:val="20"/>
        </w:rPr>
        <w:t>должны</w:t>
      </w:r>
      <w:r>
        <w:rPr>
          <w:rFonts w:ascii="Arial" w:hAnsi="Arial" w:cs="Arial" w:hint="eastAsia"/>
          <w:sz w:val="20"/>
        </w:rPr>
        <w:t xml:space="preserve"> </w:t>
      </w:r>
      <w:r>
        <w:rPr>
          <w:rFonts w:ascii="Arial" w:hAnsi="Arial" w:cs="Arial" w:hint="eastAsia"/>
          <w:sz w:val="20"/>
        </w:rPr>
        <w:t>предоставить</w:t>
      </w:r>
      <w:r>
        <w:rPr>
          <w:rFonts w:ascii="Arial" w:hAnsi="Arial" w:cs="Arial" w:hint="eastAsia"/>
          <w:sz w:val="20"/>
        </w:rPr>
        <w:t xml:space="preserve"> </w:t>
      </w:r>
      <w:r>
        <w:rPr>
          <w:rFonts w:ascii="Arial" w:hAnsi="Arial" w:cs="Arial" w:hint="eastAsia"/>
          <w:sz w:val="20"/>
        </w:rPr>
        <w:t>гражданам</w:t>
      </w:r>
      <w:r>
        <w:rPr>
          <w:rFonts w:ascii="Arial" w:hAnsi="Arial" w:cs="Arial" w:hint="eastAsia"/>
          <w:sz w:val="20"/>
        </w:rPr>
        <w:t xml:space="preserve"> </w:t>
      </w:r>
      <w:r>
        <w:rPr>
          <w:rFonts w:ascii="Arial" w:hAnsi="Arial" w:cs="Arial" w:hint="eastAsia"/>
          <w:sz w:val="20"/>
        </w:rPr>
        <w:t>из</w:t>
      </w:r>
      <w:r>
        <w:rPr>
          <w:rFonts w:ascii="Arial" w:hAnsi="Arial" w:cs="Arial" w:hint="eastAsia"/>
          <w:sz w:val="20"/>
        </w:rPr>
        <w:t xml:space="preserve"> </w:t>
      </w:r>
      <w:r>
        <w:rPr>
          <w:rFonts w:ascii="Arial" w:hAnsi="Arial" w:cs="Arial" w:hint="eastAsia"/>
          <w:sz w:val="20"/>
        </w:rPr>
        <w:t>других</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w:t>
      </w:r>
      <w:r>
        <w:rPr>
          <w:rFonts w:ascii="Arial" w:hAnsi="Arial" w:cs="Arial" w:hint="eastAsia"/>
          <w:sz w:val="20"/>
        </w:rPr>
        <w:t>участниц</w:t>
      </w:r>
      <w:r>
        <w:rPr>
          <w:rFonts w:ascii="Arial" w:hAnsi="Arial" w:cs="Arial" w:hint="eastAsia"/>
          <w:sz w:val="20"/>
        </w:rPr>
        <w:t xml:space="preserve"> </w:t>
      </w:r>
      <w:r>
        <w:rPr>
          <w:rFonts w:ascii="Arial" w:hAnsi="Arial" w:cs="Arial" w:hint="eastAsia"/>
          <w:sz w:val="20"/>
        </w:rPr>
        <w:t>не</w:t>
      </w:r>
      <w:r>
        <w:rPr>
          <w:rFonts w:ascii="Arial" w:hAnsi="Arial" w:cs="Arial" w:hint="eastAsia"/>
          <w:sz w:val="20"/>
        </w:rPr>
        <w:t xml:space="preserve"> </w:t>
      </w:r>
      <w:r>
        <w:rPr>
          <w:rFonts w:ascii="Arial" w:hAnsi="Arial" w:cs="Arial" w:hint="eastAsia"/>
          <w:sz w:val="20"/>
        </w:rPr>
        <w:t>меньший</w:t>
      </w:r>
      <w:r>
        <w:rPr>
          <w:rFonts w:ascii="Arial" w:hAnsi="Arial" w:cs="Arial" w:hint="eastAsia"/>
          <w:sz w:val="20"/>
        </w:rPr>
        <w:t xml:space="preserve"> </w:t>
      </w:r>
      <w:r>
        <w:rPr>
          <w:rFonts w:ascii="Arial" w:hAnsi="Arial" w:cs="Arial" w:hint="eastAsia"/>
          <w:sz w:val="20"/>
        </w:rPr>
        <w:t>объем</w:t>
      </w:r>
      <w:r>
        <w:rPr>
          <w:rFonts w:ascii="Arial" w:hAnsi="Arial" w:cs="Arial" w:hint="eastAsia"/>
          <w:sz w:val="20"/>
        </w:rPr>
        <w:t xml:space="preserve"> </w:t>
      </w:r>
      <w:r>
        <w:rPr>
          <w:rFonts w:ascii="Arial" w:hAnsi="Arial" w:cs="Arial" w:hint="eastAsia"/>
          <w:sz w:val="20"/>
        </w:rPr>
        <w:t>прав</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объекты</w:t>
      </w:r>
      <w:r>
        <w:rPr>
          <w:rFonts w:ascii="Arial" w:hAnsi="Arial" w:cs="Arial" w:hint="eastAsia"/>
          <w:sz w:val="20"/>
        </w:rPr>
        <w:t xml:space="preserve"> </w:t>
      </w:r>
      <w:r>
        <w:rPr>
          <w:rFonts w:ascii="Arial" w:hAnsi="Arial" w:cs="Arial" w:hint="eastAsia"/>
          <w:sz w:val="20"/>
        </w:rPr>
        <w:t>интеллектуальной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sz w:val="20"/>
        </w:rPr>
        <w:t>чем</w:t>
      </w:r>
      <w:r>
        <w:rPr>
          <w:rFonts w:ascii="Arial" w:hAnsi="Arial" w:cs="Arial" w:hint="eastAsia"/>
          <w:sz w:val="20"/>
        </w:rPr>
        <w:t xml:space="preserve"> </w:t>
      </w:r>
      <w:r>
        <w:rPr>
          <w:rFonts w:ascii="Arial" w:hAnsi="Arial" w:cs="Arial" w:hint="eastAsia"/>
          <w:sz w:val="20"/>
        </w:rPr>
        <w:t>тот</w:t>
      </w:r>
      <w:r>
        <w:rPr>
          <w:rFonts w:ascii="Arial" w:hAnsi="Arial" w:cs="Arial" w:hint="eastAsia"/>
          <w:sz w:val="20"/>
        </w:rPr>
        <w:t xml:space="preserve">, </w:t>
      </w:r>
      <w:r>
        <w:rPr>
          <w:rFonts w:ascii="Arial" w:hAnsi="Arial" w:cs="Arial" w:hint="eastAsia"/>
          <w:sz w:val="20"/>
        </w:rPr>
        <w:t>которым</w:t>
      </w:r>
      <w:r>
        <w:rPr>
          <w:rFonts w:ascii="Arial" w:hAnsi="Arial" w:cs="Arial" w:hint="eastAsia"/>
          <w:sz w:val="20"/>
        </w:rPr>
        <w:t xml:space="preserve"> </w:t>
      </w:r>
      <w:r>
        <w:rPr>
          <w:rFonts w:ascii="Arial" w:hAnsi="Arial" w:cs="Arial" w:hint="eastAsia"/>
          <w:sz w:val="20"/>
        </w:rPr>
        <w:t>пользуются</w:t>
      </w:r>
      <w:r>
        <w:rPr>
          <w:rFonts w:ascii="Arial" w:hAnsi="Arial" w:cs="Arial" w:hint="eastAsia"/>
          <w:sz w:val="20"/>
        </w:rPr>
        <w:t xml:space="preserve"> </w:t>
      </w:r>
      <w:r>
        <w:rPr>
          <w:rFonts w:ascii="Arial" w:hAnsi="Arial" w:cs="Arial" w:hint="eastAsia"/>
          <w:sz w:val="20"/>
        </w:rPr>
        <w:t>собственные</w:t>
      </w:r>
      <w:r>
        <w:rPr>
          <w:rFonts w:ascii="Arial" w:hAnsi="Arial" w:cs="Arial" w:hint="eastAsia"/>
          <w:sz w:val="20"/>
        </w:rPr>
        <w:t xml:space="preserve"> </w:t>
      </w:r>
      <w:r>
        <w:rPr>
          <w:rFonts w:ascii="Arial" w:hAnsi="Arial" w:cs="Arial" w:hint="eastAsia"/>
          <w:sz w:val="20"/>
        </w:rPr>
        <w:t>граждане</w:t>
      </w:r>
      <w:r>
        <w:rPr>
          <w:rFonts w:ascii="Arial" w:hAnsi="Arial" w:cs="Arial" w:hint="eastAsia"/>
          <w:sz w:val="20"/>
        </w:rPr>
        <w:t xml:space="preserve"> </w:t>
      </w:r>
      <w:r>
        <w:rPr>
          <w:rFonts w:ascii="Arial" w:hAnsi="Arial" w:cs="Arial" w:hint="eastAsia"/>
          <w:sz w:val="20"/>
        </w:rPr>
        <w:t>этого</w:t>
      </w:r>
      <w:r>
        <w:rPr>
          <w:rFonts w:ascii="Arial" w:hAnsi="Arial" w:cs="Arial" w:hint="eastAsia"/>
          <w:sz w:val="20"/>
        </w:rPr>
        <w:t xml:space="preserve"> </w:t>
      </w:r>
      <w:r>
        <w:rPr>
          <w:rFonts w:ascii="Arial" w:hAnsi="Arial" w:cs="Arial" w:hint="eastAsia"/>
          <w:sz w:val="20"/>
        </w:rPr>
        <w:t>государства</w:t>
      </w:r>
      <w:r>
        <w:rPr>
          <w:rFonts w:ascii="Arial" w:hAnsi="Arial" w:cs="Arial" w:hint="eastAsia"/>
          <w:sz w:val="20"/>
        </w:rPr>
        <w:t xml:space="preserve"> ("</w:t>
      </w:r>
      <w:r>
        <w:rPr>
          <w:rFonts w:ascii="Arial" w:hAnsi="Arial" w:cs="Arial" w:hint="eastAsia"/>
          <w:sz w:val="20"/>
        </w:rPr>
        <w:t>национальный</w:t>
      </w:r>
      <w:r>
        <w:rPr>
          <w:rFonts w:ascii="Arial" w:hAnsi="Arial" w:cs="Arial" w:hint="eastAsia"/>
          <w:sz w:val="20"/>
        </w:rPr>
        <w:t xml:space="preserve"> </w:t>
      </w:r>
      <w:r>
        <w:rPr>
          <w:rFonts w:ascii="Arial" w:hAnsi="Arial" w:cs="Arial" w:hint="eastAsia"/>
          <w:sz w:val="20"/>
        </w:rPr>
        <w:t>режим</w:t>
      </w:r>
      <w:r>
        <w:rPr>
          <w:rFonts w:ascii="Arial" w:hAnsi="Arial" w:cs="Arial" w:hint="eastAsia"/>
          <w:sz w:val="20"/>
        </w:rPr>
        <w:t xml:space="preserve">"). </w:t>
      </w:r>
      <w:r>
        <w:rPr>
          <w:rFonts w:ascii="Arial" w:hAnsi="Arial" w:cs="Arial" w:hint="eastAsia"/>
          <w:sz w:val="20"/>
        </w:rPr>
        <w:t>Статья</w:t>
      </w:r>
      <w:r>
        <w:rPr>
          <w:rFonts w:ascii="Arial" w:hAnsi="Arial" w:cs="Arial" w:hint="eastAsia"/>
          <w:sz w:val="20"/>
        </w:rPr>
        <w:t xml:space="preserve"> 4 </w:t>
      </w:r>
      <w:r>
        <w:rPr>
          <w:rFonts w:ascii="Arial" w:hAnsi="Arial" w:cs="Arial" w:hint="eastAsia"/>
          <w:sz w:val="20"/>
        </w:rPr>
        <w:t>предписывает</w:t>
      </w:r>
      <w:r>
        <w:rPr>
          <w:rFonts w:ascii="Arial" w:hAnsi="Arial" w:cs="Arial" w:hint="eastAsia"/>
          <w:sz w:val="20"/>
        </w:rPr>
        <w:t xml:space="preserve"> </w:t>
      </w:r>
      <w:r>
        <w:rPr>
          <w:rFonts w:ascii="Arial" w:hAnsi="Arial" w:cs="Arial" w:hint="eastAsia"/>
          <w:sz w:val="20"/>
        </w:rPr>
        <w:t>предоставлять</w:t>
      </w:r>
      <w:r>
        <w:rPr>
          <w:rFonts w:ascii="Arial" w:hAnsi="Arial" w:cs="Arial" w:hint="eastAsia"/>
          <w:sz w:val="20"/>
        </w:rPr>
        <w:t xml:space="preserve"> </w:t>
      </w:r>
      <w:r>
        <w:rPr>
          <w:rFonts w:ascii="Arial" w:hAnsi="Arial" w:cs="Arial" w:hint="eastAsia"/>
          <w:sz w:val="20"/>
        </w:rPr>
        <w:t>гражданам</w:t>
      </w:r>
      <w:r>
        <w:rPr>
          <w:rFonts w:ascii="Arial" w:hAnsi="Arial" w:cs="Arial" w:hint="eastAsia"/>
          <w:sz w:val="20"/>
        </w:rPr>
        <w:t xml:space="preserve"> </w:t>
      </w:r>
      <w:r>
        <w:rPr>
          <w:rFonts w:ascii="Arial" w:hAnsi="Arial" w:cs="Arial" w:hint="eastAsia"/>
          <w:sz w:val="20"/>
        </w:rPr>
        <w:t>любой</w:t>
      </w:r>
      <w:r>
        <w:rPr>
          <w:rFonts w:ascii="Arial" w:hAnsi="Arial" w:cs="Arial" w:hint="eastAsia"/>
          <w:sz w:val="20"/>
        </w:rPr>
        <w:t xml:space="preserve"> </w:t>
      </w:r>
      <w:r>
        <w:rPr>
          <w:rFonts w:ascii="Arial" w:hAnsi="Arial" w:cs="Arial" w:hint="eastAsia"/>
          <w:sz w:val="20"/>
        </w:rPr>
        <w:t>из</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w:t>
      </w:r>
      <w:r>
        <w:rPr>
          <w:rFonts w:ascii="Arial" w:hAnsi="Arial" w:cs="Arial" w:hint="eastAsia"/>
          <w:sz w:val="20"/>
        </w:rPr>
        <w:t>участниц</w:t>
      </w:r>
      <w:r>
        <w:rPr>
          <w:rFonts w:ascii="Arial" w:hAnsi="Arial" w:cs="Arial" w:hint="eastAsia"/>
          <w:sz w:val="20"/>
        </w:rPr>
        <w:t xml:space="preserve"> </w:t>
      </w:r>
      <w:r>
        <w:rPr>
          <w:rFonts w:ascii="Arial" w:hAnsi="Arial" w:cs="Arial" w:hint="eastAsia"/>
          <w:sz w:val="20"/>
        </w:rPr>
        <w:t>равные</w:t>
      </w:r>
      <w:r>
        <w:rPr>
          <w:rFonts w:ascii="Arial" w:hAnsi="Arial" w:cs="Arial" w:hint="eastAsia"/>
          <w:sz w:val="20"/>
        </w:rPr>
        <w:t xml:space="preserve"> </w:t>
      </w:r>
      <w:r>
        <w:rPr>
          <w:rFonts w:ascii="Arial" w:hAnsi="Arial" w:cs="Arial" w:hint="eastAsia"/>
          <w:sz w:val="20"/>
        </w:rPr>
        <w:t>права</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вопросах</w:t>
      </w:r>
      <w:r>
        <w:rPr>
          <w:rFonts w:ascii="Arial" w:hAnsi="Arial" w:cs="Arial" w:hint="eastAsia"/>
          <w:sz w:val="20"/>
        </w:rPr>
        <w:t xml:space="preserve"> </w:t>
      </w:r>
      <w:r>
        <w:rPr>
          <w:rFonts w:ascii="Arial" w:hAnsi="Arial" w:cs="Arial" w:hint="eastAsia"/>
          <w:sz w:val="20"/>
        </w:rPr>
        <w:t>охраны</w:t>
      </w:r>
      <w:r>
        <w:rPr>
          <w:rFonts w:ascii="Arial" w:hAnsi="Arial" w:cs="Arial" w:hint="eastAsia"/>
          <w:sz w:val="20"/>
        </w:rPr>
        <w:t xml:space="preserve"> </w:t>
      </w:r>
      <w:r>
        <w:rPr>
          <w:rFonts w:ascii="Arial" w:hAnsi="Arial" w:cs="Arial" w:hint="eastAsia"/>
          <w:sz w:val="20"/>
        </w:rPr>
        <w:t>интеллектуальной</w:t>
      </w:r>
      <w:r>
        <w:rPr>
          <w:rFonts w:ascii="Arial" w:hAnsi="Arial" w:cs="Arial" w:hint="eastAsia"/>
          <w:sz w:val="20"/>
        </w:rPr>
        <w:t xml:space="preserve"> </w:t>
      </w:r>
      <w:r>
        <w:rPr>
          <w:rFonts w:ascii="Arial" w:hAnsi="Arial" w:cs="Arial" w:hint="eastAsia"/>
          <w:sz w:val="20"/>
        </w:rPr>
        <w:t>собственности</w:t>
      </w:r>
      <w:r>
        <w:rPr>
          <w:rFonts w:ascii="Arial" w:hAnsi="Arial" w:cs="Arial" w:hint="eastAsia"/>
          <w:sz w:val="20"/>
        </w:rPr>
        <w:t xml:space="preserve"> ("</w:t>
      </w:r>
      <w:r>
        <w:rPr>
          <w:rFonts w:ascii="Arial" w:hAnsi="Arial" w:cs="Arial" w:hint="eastAsia"/>
          <w:b/>
          <w:bCs/>
          <w:sz w:val="20"/>
        </w:rPr>
        <w:t>режим</w:t>
      </w:r>
      <w:r>
        <w:rPr>
          <w:rFonts w:ascii="Arial" w:hAnsi="Arial" w:cs="Arial" w:hint="eastAsia"/>
          <w:b/>
          <w:bCs/>
          <w:sz w:val="20"/>
        </w:rPr>
        <w:t xml:space="preserve"> </w:t>
      </w:r>
      <w:r>
        <w:rPr>
          <w:rFonts w:ascii="Arial" w:hAnsi="Arial" w:cs="Arial" w:hint="eastAsia"/>
          <w:b/>
          <w:bCs/>
          <w:sz w:val="20"/>
        </w:rPr>
        <w:t>наибольшего</w:t>
      </w:r>
      <w:r>
        <w:rPr>
          <w:rFonts w:ascii="Arial" w:hAnsi="Arial" w:cs="Arial" w:hint="eastAsia"/>
          <w:b/>
          <w:bCs/>
          <w:sz w:val="20"/>
        </w:rPr>
        <w:t xml:space="preserve"> </w:t>
      </w:r>
      <w:r>
        <w:rPr>
          <w:rFonts w:ascii="Arial" w:hAnsi="Arial" w:cs="Arial" w:hint="eastAsia"/>
          <w:b/>
          <w:bCs/>
          <w:sz w:val="20"/>
        </w:rPr>
        <w:t>благоприятствования</w:t>
      </w:r>
      <w:r>
        <w:rPr>
          <w:rFonts w:ascii="Arial" w:hAnsi="Arial" w:cs="Arial" w:hint="eastAsia"/>
          <w:sz w:val="20"/>
        </w:rPr>
        <w:t xml:space="preserve">" </w:t>
      </w:r>
      <w:r>
        <w:rPr>
          <w:rFonts w:ascii="Arial" w:hAnsi="Arial" w:cs="Arial" w:hint="eastAsia"/>
          <w:sz w:val="20"/>
        </w:rPr>
        <w:t>для</w:t>
      </w:r>
      <w:r>
        <w:rPr>
          <w:rFonts w:ascii="Arial" w:hAnsi="Arial" w:cs="Arial" w:hint="eastAsia"/>
          <w:sz w:val="20"/>
        </w:rPr>
        <w:t xml:space="preserve"> </w:t>
      </w:r>
      <w:r>
        <w:rPr>
          <w:rFonts w:ascii="Arial" w:hAnsi="Arial" w:cs="Arial" w:hint="eastAsia"/>
          <w:sz w:val="20"/>
        </w:rPr>
        <w:t>иностранцев</w:t>
      </w:r>
      <w:r>
        <w:rPr>
          <w:rFonts w:ascii="Arial" w:hAnsi="Arial" w:cs="Arial" w:hint="eastAsia"/>
          <w:sz w:val="20"/>
        </w:rPr>
        <w:t xml:space="preserve"> </w:t>
      </w:r>
      <w:r>
        <w:rPr>
          <w:rFonts w:ascii="Arial" w:hAnsi="Arial" w:cs="Arial" w:hint="eastAsia"/>
          <w:sz w:val="20"/>
        </w:rPr>
        <w:t>из</w:t>
      </w:r>
      <w:r>
        <w:rPr>
          <w:rFonts w:ascii="Arial" w:hAnsi="Arial" w:cs="Arial" w:hint="eastAsia"/>
          <w:sz w:val="20"/>
        </w:rPr>
        <w:t xml:space="preserve"> </w:t>
      </w:r>
      <w:r>
        <w:rPr>
          <w:rFonts w:ascii="Arial" w:hAnsi="Arial" w:cs="Arial" w:hint="eastAsia"/>
          <w:sz w:val="20"/>
        </w:rPr>
        <w:t>других</w:t>
      </w:r>
      <w:r>
        <w:rPr>
          <w:rFonts w:ascii="Arial" w:hAnsi="Arial" w:cs="Arial" w:hint="eastAsia"/>
          <w:sz w:val="20"/>
        </w:rPr>
        <w:t xml:space="preserve"> </w:t>
      </w:r>
      <w:r>
        <w:rPr>
          <w:rFonts w:ascii="Arial" w:hAnsi="Arial" w:cs="Arial" w:hint="eastAsia"/>
          <w:sz w:val="20"/>
        </w:rPr>
        <w:t>стран</w:t>
      </w:r>
      <w:r>
        <w:rPr>
          <w:rFonts w:ascii="Arial" w:hAnsi="Arial" w:cs="Arial" w:hint="eastAsia"/>
          <w:sz w:val="20"/>
        </w:rPr>
        <w:t xml:space="preserve">, </w:t>
      </w:r>
      <w:r>
        <w:rPr>
          <w:rFonts w:ascii="Arial" w:hAnsi="Arial" w:cs="Arial" w:hint="eastAsia"/>
          <w:sz w:val="20"/>
        </w:rPr>
        <w:t>участвующих</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Соглашении</w:t>
      </w:r>
      <w:r>
        <w:rPr>
          <w:rFonts w:ascii="Arial" w:hAnsi="Arial" w:cs="Arial" w:hint="eastAsia"/>
          <w:sz w:val="20"/>
        </w:rPr>
        <w:t xml:space="preserve">). </w:t>
      </w:r>
      <w:r>
        <w:rPr>
          <w:rFonts w:ascii="Arial" w:hAnsi="Arial" w:cs="Arial" w:hint="eastAsia"/>
          <w:sz w:val="20"/>
        </w:rPr>
        <w:t>Уже</w:t>
      </w:r>
      <w:r>
        <w:rPr>
          <w:rFonts w:ascii="Arial" w:hAnsi="Arial" w:cs="Arial" w:hint="eastAsia"/>
          <w:sz w:val="20"/>
        </w:rPr>
        <w:t xml:space="preserve"> </w:t>
      </w:r>
      <w:r>
        <w:rPr>
          <w:rFonts w:ascii="Arial" w:hAnsi="Arial" w:cs="Arial" w:hint="eastAsia"/>
          <w:sz w:val="20"/>
        </w:rPr>
        <w:t>к</w:t>
      </w:r>
      <w:r>
        <w:rPr>
          <w:rFonts w:ascii="Arial" w:hAnsi="Arial" w:cs="Arial" w:hint="eastAsia"/>
          <w:sz w:val="20"/>
        </w:rPr>
        <w:t xml:space="preserve"> </w:t>
      </w:r>
      <w:r>
        <w:rPr>
          <w:rFonts w:ascii="Arial" w:hAnsi="Arial" w:cs="Arial" w:hint="eastAsia"/>
          <w:sz w:val="20"/>
        </w:rPr>
        <w:t>началу</w:t>
      </w:r>
      <w:r>
        <w:rPr>
          <w:rFonts w:ascii="Arial" w:hAnsi="Arial" w:cs="Arial" w:hint="eastAsia"/>
          <w:sz w:val="20"/>
        </w:rPr>
        <w:t xml:space="preserve"> 1997 </w:t>
      </w:r>
      <w:r>
        <w:rPr>
          <w:rFonts w:ascii="Arial" w:hAnsi="Arial" w:cs="Arial" w:hint="eastAsia"/>
          <w:sz w:val="20"/>
        </w:rPr>
        <w:t>года</w:t>
      </w:r>
      <w:r>
        <w:rPr>
          <w:rFonts w:ascii="Arial" w:hAnsi="Arial" w:cs="Arial" w:hint="eastAsia"/>
          <w:sz w:val="20"/>
        </w:rPr>
        <w:t xml:space="preserve"> </w:t>
      </w:r>
      <w:r>
        <w:rPr>
          <w:rFonts w:ascii="Arial" w:hAnsi="Arial" w:cs="Arial" w:hint="eastAsia"/>
          <w:sz w:val="20"/>
        </w:rPr>
        <w:t>Соглашения</w:t>
      </w:r>
      <w:r>
        <w:rPr>
          <w:rFonts w:ascii="Arial" w:hAnsi="Arial" w:cs="Arial" w:hint="eastAsia"/>
          <w:sz w:val="20"/>
        </w:rPr>
        <w:t xml:space="preserve"> </w:t>
      </w:r>
      <w:r>
        <w:rPr>
          <w:rFonts w:ascii="Arial" w:hAnsi="Arial" w:cs="Arial" w:hint="eastAsia"/>
          <w:sz w:val="20"/>
        </w:rPr>
        <w:t>о</w:t>
      </w:r>
      <w:r>
        <w:rPr>
          <w:rFonts w:ascii="Arial" w:hAnsi="Arial" w:cs="Arial" w:hint="eastAsia"/>
          <w:sz w:val="20"/>
        </w:rPr>
        <w:t xml:space="preserve"> </w:t>
      </w:r>
      <w:r>
        <w:rPr>
          <w:rFonts w:ascii="Arial" w:hAnsi="Arial" w:cs="Arial" w:hint="eastAsia"/>
          <w:sz w:val="20"/>
        </w:rPr>
        <w:t>ВТО</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ТРИПС</w:t>
      </w:r>
      <w:r>
        <w:rPr>
          <w:rFonts w:ascii="Arial" w:hAnsi="Arial" w:cs="Arial" w:hint="eastAsia"/>
          <w:sz w:val="20"/>
        </w:rPr>
        <w:t xml:space="preserve"> </w:t>
      </w:r>
      <w:r>
        <w:rPr>
          <w:rFonts w:ascii="Arial" w:hAnsi="Arial" w:cs="Arial" w:hint="eastAsia"/>
          <w:sz w:val="20"/>
        </w:rPr>
        <w:t>подписали</w:t>
      </w:r>
      <w:r>
        <w:rPr>
          <w:rFonts w:ascii="Arial" w:hAnsi="Arial" w:cs="Arial" w:hint="eastAsia"/>
          <w:sz w:val="20"/>
        </w:rPr>
        <w:t xml:space="preserve"> </w:t>
      </w:r>
      <w:r>
        <w:rPr>
          <w:rFonts w:ascii="Arial" w:hAnsi="Arial" w:cs="Arial" w:hint="eastAsia"/>
          <w:sz w:val="20"/>
        </w:rPr>
        <w:t>около</w:t>
      </w:r>
      <w:r>
        <w:rPr>
          <w:rFonts w:ascii="Arial" w:hAnsi="Arial" w:cs="Arial" w:hint="eastAsia"/>
          <w:sz w:val="20"/>
        </w:rPr>
        <w:t xml:space="preserve"> 100 </w:t>
      </w:r>
      <w:r>
        <w:rPr>
          <w:rFonts w:ascii="Arial" w:hAnsi="Arial" w:cs="Arial" w:hint="eastAsia"/>
          <w:sz w:val="20"/>
        </w:rPr>
        <w:t>стран</w:t>
      </w:r>
      <w:r>
        <w:rPr>
          <w:rFonts w:ascii="Arial" w:hAnsi="Arial" w:cs="Arial" w:hint="eastAsia"/>
          <w:sz w:val="20"/>
        </w:rPr>
        <w:t xml:space="preserve">. </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r>
        <w:rPr>
          <w:rFonts w:ascii="Arial" w:hAnsi="Arial" w:cs="Arial"/>
          <w:b/>
          <w:bCs/>
          <w:sz w:val="20"/>
          <w:u w:val="single"/>
          <w:lang w:val="en-US"/>
        </w:rPr>
        <w:t>28</w:t>
      </w:r>
      <w:r>
        <w:rPr>
          <w:rFonts w:ascii="Arial" w:hAnsi="Arial" w:cs="Arial"/>
          <w:b/>
          <w:bCs/>
          <w:sz w:val="20"/>
          <w:u w:val="single"/>
        </w:rPr>
        <w:t>. Договор консигнации.</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sz w:val="20"/>
          <w:szCs w:val="18"/>
        </w:rPr>
      </w:pPr>
      <w:r>
        <w:rPr>
          <w:rFonts w:ascii="Arial" w:hAnsi="Arial" w:cs="Arial"/>
          <w:b/>
          <w:bCs/>
          <w:sz w:val="20"/>
          <w:szCs w:val="20"/>
        </w:rPr>
        <w:t>Чем отличается договор комиссии от договора консигнации?</w:t>
      </w:r>
      <w:r>
        <w:rPr>
          <w:rFonts w:ascii="Arial" w:hAnsi="Arial" w:cs="Arial"/>
          <w:sz w:val="20"/>
          <w:szCs w:val="18"/>
        </w:rPr>
        <w:br/>
      </w:r>
      <w:r>
        <w:rPr>
          <w:rFonts w:ascii="Arial" w:hAnsi="Arial" w:cs="Arial"/>
          <w:sz w:val="20"/>
          <w:szCs w:val="18"/>
        </w:rPr>
        <w:br/>
        <w:t>Согласно ст. 880 Гражданского кодекса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 Договор комиссии может иметь место не только в сфере торговли. Гражданский кодекс не содержит понятие «консигнация». Понятие «договор консигнации» значительно уже понятия «договор комиссии». Согласно Руководящему документу «Торговля. Термины и определения», утвержденному приказом Министерства торговли РБ от 14.12.1995 № 80, договор консигнации — это договор комиссии по продаже в течение определенного периода времени (срока консигнации) поставленных на склады комиссионера товаров. Таким образом, договор консигнации применяется лишь в сфере торговли и ограничен во времени.</w:t>
      </w:r>
    </w:p>
    <w:p w:rsidR="00FD64D5" w:rsidRDefault="00FD64D5">
      <w:pPr>
        <w:jc w:val="both"/>
        <w:rPr>
          <w:rFonts w:ascii="Arial" w:hAnsi="Arial" w:cs="Arial"/>
          <w:sz w:val="20"/>
          <w:szCs w:val="18"/>
        </w:rPr>
      </w:pPr>
    </w:p>
    <w:p w:rsidR="00FD64D5" w:rsidRDefault="00FD64D5">
      <w:pPr>
        <w:pStyle w:val="a3"/>
        <w:jc w:val="both"/>
        <w:rPr>
          <w:rFonts w:ascii="Arial" w:hAnsi="Arial" w:cs="Arial"/>
          <w:sz w:val="20"/>
        </w:rPr>
      </w:pPr>
      <w:r>
        <w:rPr>
          <w:rFonts w:ascii="Arial" w:hAnsi="Arial" w:cs="Arial"/>
          <w:b/>
          <w:bCs/>
          <w:sz w:val="20"/>
          <w:szCs w:val="27"/>
        </w:rPr>
        <w:t>ДОГОВОР КОНСИГНАЦИИ № ____</w:t>
      </w:r>
      <w:r>
        <w:rPr>
          <w:rFonts w:ascii="Arial" w:hAnsi="Arial" w:cs="Arial"/>
          <w:b/>
          <w:bCs/>
          <w:sz w:val="20"/>
        </w:rPr>
        <w:t xml:space="preserve"> </w:t>
      </w:r>
    </w:p>
    <w:tbl>
      <w:tblPr>
        <w:tblW w:w="4595" w:type="pct"/>
        <w:jc w:val="center"/>
        <w:tblCellSpacing w:w="15" w:type="dxa"/>
        <w:tblCellMar>
          <w:top w:w="15" w:type="dxa"/>
          <w:left w:w="15" w:type="dxa"/>
          <w:bottom w:w="15" w:type="dxa"/>
          <w:right w:w="15" w:type="dxa"/>
        </w:tblCellMar>
        <w:tblLook w:val="0000" w:firstRow="0" w:lastRow="0" w:firstColumn="0" w:lastColumn="0" w:noHBand="0" w:noVBand="0"/>
      </w:tblPr>
      <w:tblGrid>
        <w:gridCol w:w="10530"/>
      </w:tblGrid>
      <w:tr w:rsidR="00FD64D5">
        <w:trPr>
          <w:tblCellSpacing w:w="15" w:type="dxa"/>
          <w:jc w:val="center"/>
        </w:trPr>
        <w:tc>
          <w:tcPr>
            <w:tcW w:w="0" w:type="auto"/>
            <w:vAlign w:val="center"/>
          </w:tcPr>
          <w:p w:rsidR="00FD64D5" w:rsidRDefault="00FD64D5">
            <w:pPr>
              <w:jc w:val="both"/>
              <w:rPr>
                <w:rFonts w:ascii="Arial" w:hAnsi="Arial" w:cs="Arial"/>
                <w:sz w:val="20"/>
              </w:rPr>
            </w:pPr>
            <w:r>
              <w:rPr>
                <w:rFonts w:ascii="Arial" w:hAnsi="Arial" w:cs="Arial"/>
                <w:sz w:val="20"/>
              </w:rPr>
              <w:t xml:space="preserve">г. </w:t>
            </w:r>
            <w:r>
              <w:rPr>
                <w:rFonts w:ascii="Arial" w:hAnsi="Arial" w:cs="Arial"/>
                <w:i/>
                <w:iCs/>
                <w:sz w:val="20"/>
              </w:rPr>
              <w:t>Москва</w:t>
            </w:r>
            <w:r>
              <w:rPr>
                <w:rFonts w:ascii="Arial" w:hAnsi="Arial" w:cs="Arial"/>
                <w:sz w:val="20"/>
              </w:rPr>
              <w:t xml:space="preserve"> "___"________2002 г. </w:t>
            </w:r>
          </w:p>
          <w:p w:rsidR="00FD64D5" w:rsidRDefault="00FD64D5">
            <w:pPr>
              <w:pStyle w:val="a3"/>
              <w:jc w:val="both"/>
              <w:rPr>
                <w:rFonts w:ascii="Arial" w:hAnsi="Arial" w:cs="Arial"/>
                <w:sz w:val="20"/>
              </w:rPr>
            </w:pPr>
            <w:r>
              <w:rPr>
                <w:rFonts w:ascii="Arial" w:hAnsi="Arial" w:cs="Arial"/>
                <w:sz w:val="20"/>
              </w:rPr>
              <w:t>___________________________-, действующий на основании ______________________, именуемый в дальнейшем Консигнант, с одной стороны, и _______________________________________________________________________, в лице _______________________________________________________ действующий на основании ____________, именуемый в дальнейшем Фирма, с другой стороны, заключили настоящий консигнационный договор о нижеследующем.</w:t>
            </w:r>
          </w:p>
          <w:p w:rsidR="00FD64D5" w:rsidRDefault="00FD64D5">
            <w:pPr>
              <w:pStyle w:val="a3"/>
              <w:jc w:val="both"/>
              <w:rPr>
                <w:rFonts w:ascii="Arial" w:hAnsi="Arial" w:cs="Arial"/>
                <w:sz w:val="20"/>
              </w:rPr>
            </w:pPr>
            <w:r>
              <w:rPr>
                <w:rFonts w:ascii="Arial" w:hAnsi="Arial" w:cs="Arial"/>
                <w:b/>
                <w:bCs/>
                <w:sz w:val="20"/>
                <w:szCs w:val="27"/>
              </w:rPr>
              <w:t>1. Предмет и сумма договора</w:t>
            </w:r>
          </w:p>
          <w:p w:rsidR="00FD64D5" w:rsidRDefault="00FD64D5">
            <w:pPr>
              <w:pStyle w:val="a3"/>
              <w:jc w:val="both"/>
              <w:rPr>
                <w:rFonts w:ascii="Arial" w:hAnsi="Arial" w:cs="Arial"/>
                <w:sz w:val="20"/>
              </w:rPr>
            </w:pPr>
            <w:r>
              <w:rPr>
                <w:rFonts w:ascii="Arial" w:hAnsi="Arial" w:cs="Arial"/>
                <w:sz w:val="20"/>
              </w:rPr>
              <w:t>Консигнант поставляет на консигнацию Фирме товары на основании товарных накладных, являющимися приложениями к настоящему договору, в течение срока действия настоящего договора.</w:t>
            </w:r>
            <w:r>
              <w:rPr>
                <w:rFonts w:ascii="Arial" w:hAnsi="Arial" w:cs="Arial"/>
                <w:sz w:val="20"/>
              </w:rPr>
              <w:br/>
              <w:t>Общая стоимость товаров Консигнанта, находящихся на консигнации одновременно на складах Фирмы, не будет превышать суммы _________________________________________ ( ____________________________________ )руб. в ценах, приведенных в прайс-листе Консигнанта.</w:t>
            </w:r>
            <w:r>
              <w:rPr>
                <w:rFonts w:ascii="Arial" w:hAnsi="Arial" w:cs="Arial"/>
                <w:sz w:val="20"/>
              </w:rPr>
              <w:br/>
              <w:t>Срок консигнации товаров определяется ________________ дней со дня поставки. По истечении указанного срока консигнации Фирма обязуется приобрести поставленные Консигнантом товары и оплатить их полную стоимость, если по соглашению сторон срок консигнации данного товара не был продлен, или если Консигнант не потребует возврата товаров.</w:t>
            </w:r>
            <w:r>
              <w:rPr>
                <w:rFonts w:ascii="Arial" w:hAnsi="Arial" w:cs="Arial"/>
                <w:sz w:val="20"/>
              </w:rPr>
              <w:br/>
              <w:t>Консигнант вправе отозвать свои товары раньше установленного срока.</w:t>
            </w:r>
          </w:p>
          <w:p w:rsidR="00FD64D5" w:rsidRDefault="00FD64D5">
            <w:pPr>
              <w:pStyle w:val="a3"/>
              <w:jc w:val="both"/>
              <w:rPr>
                <w:rFonts w:ascii="Arial" w:hAnsi="Arial" w:cs="Arial"/>
                <w:sz w:val="20"/>
              </w:rPr>
            </w:pPr>
            <w:r>
              <w:rPr>
                <w:rFonts w:ascii="Arial" w:hAnsi="Arial" w:cs="Arial"/>
                <w:b/>
                <w:bCs/>
                <w:sz w:val="20"/>
                <w:szCs w:val="27"/>
              </w:rPr>
              <w:t>2. Цена</w:t>
            </w:r>
          </w:p>
          <w:p w:rsidR="00FD64D5" w:rsidRDefault="00FD64D5">
            <w:pPr>
              <w:pStyle w:val="a3"/>
              <w:jc w:val="both"/>
              <w:rPr>
                <w:rFonts w:ascii="Arial" w:hAnsi="Arial" w:cs="Arial"/>
                <w:sz w:val="20"/>
              </w:rPr>
            </w:pPr>
            <w:r>
              <w:rPr>
                <w:rFonts w:ascii="Arial" w:hAnsi="Arial" w:cs="Arial"/>
                <w:sz w:val="20"/>
              </w:rPr>
              <w:t>Поставка товара будет производиться по согласованным между сторонами ценам.</w:t>
            </w:r>
            <w:r>
              <w:rPr>
                <w:rFonts w:ascii="Arial" w:hAnsi="Arial" w:cs="Arial"/>
                <w:sz w:val="20"/>
              </w:rPr>
              <w:br/>
              <w:t>Консигнант сохраняет за собой право изменять цены, причем обязан предупредить Фирму о каждом таком изменении за 10 дней до установления новых цен.</w:t>
            </w:r>
          </w:p>
          <w:p w:rsidR="00FD64D5" w:rsidRDefault="00FD64D5">
            <w:pPr>
              <w:pStyle w:val="a3"/>
              <w:jc w:val="both"/>
              <w:rPr>
                <w:rFonts w:ascii="Arial" w:hAnsi="Arial" w:cs="Arial"/>
                <w:sz w:val="20"/>
              </w:rPr>
            </w:pPr>
            <w:r>
              <w:rPr>
                <w:rFonts w:ascii="Arial" w:hAnsi="Arial" w:cs="Arial"/>
                <w:b/>
                <w:bCs/>
                <w:sz w:val="20"/>
                <w:szCs w:val="27"/>
              </w:rPr>
              <w:t>3. Качество товара</w:t>
            </w:r>
          </w:p>
          <w:p w:rsidR="00FD64D5" w:rsidRDefault="00FD64D5">
            <w:pPr>
              <w:pStyle w:val="a3"/>
              <w:jc w:val="both"/>
              <w:rPr>
                <w:rFonts w:ascii="Arial" w:hAnsi="Arial" w:cs="Arial"/>
                <w:sz w:val="20"/>
              </w:rPr>
            </w:pPr>
            <w:r>
              <w:rPr>
                <w:rFonts w:ascii="Arial" w:hAnsi="Arial" w:cs="Arial"/>
                <w:sz w:val="20"/>
              </w:rPr>
              <w:t>Поставляемые по настоящему договору товары должны соответствовать сертификатам производителя.</w:t>
            </w:r>
          </w:p>
          <w:p w:rsidR="00FD64D5" w:rsidRDefault="00FD64D5">
            <w:pPr>
              <w:pStyle w:val="a3"/>
              <w:jc w:val="both"/>
              <w:rPr>
                <w:rFonts w:ascii="Arial" w:hAnsi="Arial" w:cs="Arial"/>
                <w:sz w:val="20"/>
              </w:rPr>
            </w:pPr>
            <w:r>
              <w:rPr>
                <w:rFonts w:ascii="Arial" w:hAnsi="Arial" w:cs="Arial"/>
                <w:b/>
                <w:bCs/>
                <w:sz w:val="20"/>
                <w:szCs w:val="27"/>
              </w:rPr>
              <w:t>4. Упаковка и маркировка</w:t>
            </w:r>
          </w:p>
          <w:p w:rsidR="00FD64D5" w:rsidRDefault="00FD64D5">
            <w:pPr>
              <w:pStyle w:val="a3"/>
              <w:jc w:val="both"/>
              <w:rPr>
                <w:rFonts w:ascii="Arial" w:hAnsi="Arial" w:cs="Arial"/>
                <w:sz w:val="20"/>
              </w:rPr>
            </w:pPr>
            <w:r>
              <w:rPr>
                <w:rFonts w:ascii="Arial" w:hAnsi="Arial" w:cs="Arial"/>
                <w:sz w:val="20"/>
              </w:rPr>
              <w:t>а) Упаковка товаров, поставляемых в упакованном виде, должна обеспечить сохранность их в пути до места назначения.</w:t>
            </w:r>
            <w:r>
              <w:rPr>
                <w:rFonts w:ascii="Arial" w:hAnsi="Arial" w:cs="Arial"/>
                <w:sz w:val="20"/>
              </w:rPr>
              <w:br/>
              <w:t>б) Маркировка поставляемых товаров должна включать в себя: наименование (артикул) модели, размер, данные производителя.</w:t>
            </w:r>
          </w:p>
          <w:p w:rsidR="00FD64D5" w:rsidRDefault="00FD64D5">
            <w:pPr>
              <w:pStyle w:val="a3"/>
              <w:jc w:val="both"/>
              <w:rPr>
                <w:rFonts w:ascii="Arial" w:hAnsi="Arial" w:cs="Arial"/>
                <w:sz w:val="20"/>
              </w:rPr>
            </w:pPr>
            <w:r>
              <w:rPr>
                <w:rFonts w:ascii="Arial" w:hAnsi="Arial" w:cs="Arial"/>
                <w:b/>
                <w:bCs/>
                <w:sz w:val="20"/>
                <w:szCs w:val="27"/>
              </w:rPr>
              <w:t>5. Сроки поставки</w:t>
            </w:r>
          </w:p>
          <w:p w:rsidR="00FD64D5" w:rsidRDefault="00FD64D5">
            <w:pPr>
              <w:pStyle w:val="a3"/>
              <w:jc w:val="both"/>
              <w:rPr>
                <w:rFonts w:ascii="Arial" w:hAnsi="Arial" w:cs="Arial"/>
                <w:sz w:val="20"/>
              </w:rPr>
            </w:pPr>
            <w:r>
              <w:rPr>
                <w:rFonts w:ascii="Arial" w:hAnsi="Arial" w:cs="Arial"/>
                <w:sz w:val="20"/>
              </w:rPr>
              <w:t>Поставка товаров производится в сроки, согласованные сторонами.</w:t>
            </w:r>
          </w:p>
          <w:p w:rsidR="00FD64D5" w:rsidRDefault="00FD64D5">
            <w:pPr>
              <w:pStyle w:val="a3"/>
              <w:jc w:val="both"/>
              <w:rPr>
                <w:rFonts w:ascii="Arial" w:hAnsi="Arial" w:cs="Arial"/>
                <w:sz w:val="20"/>
              </w:rPr>
            </w:pPr>
            <w:r>
              <w:rPr>
                <w:rFonts w:ascii="Arial" w:hAnsi="Arial" w:cs="Arial"/>
                <w:b/>
                <w:bCs/>
                <w:sz w:val="20"/>
                <w:szCs w:val="27"/>
              </w:rPr>
              <w:t>6. Сдача и приемка товаров</w:t>
            </w:r>
          </w:p>
          <w:p w:rsidR="00FD64D5" w:rsidRDefault="00FD64D5">
            <w:pPr>
              <w:pStyle w:val="a3"/>
              <w:jc w:val="both"/>
              <w:rPr>
                <w:rFonts w:ascii="Arial" w:hAnsi="Arial" w:cs="Arial"/>
                <w:sz w:val="20"/>
              </w:rPr>
            </w:pPr>
            <w:r>
              <w:rPr>
                <w:rFonts w:ascii="Arial" w:hAnsi="Arial" w:cs="Arial"/>
                <w:sz w:val="20"/>
              </w:rPr>
              <w:t>Товар считается сданным Консигнантом и принятым Фирмой на консигнацию:</w:t>
            </w:r>
            <w:r>
              <w:rPr>
                <w:rFonts w:ascii="Arial" w:hAnsi="Arial" w:cs="Arial"/>
                <w:sz w:val="20"/>
              </w:rPr>
              <w:br/>
              <w:t>а) по качеству - согласно сертификатам производителя</w:t>
            </w:r>
            <w:r>
              <w:rPr>
                <w:rFonts w:ascii="Arial" w:hAnsi="Arial" w:cs="Arial"/>
                <w:sz w:val="20"/>
              </w:rPr>
              <w:br/>
              <w:t>б) по количеству - по числу мест, указанным в товарной накладной, подписанной обеими сторонами.</w:t>
            </w:r>
            <w:r>
              <w:rPr>
                <w:rFonts w:ascii="Arial" w:hAnsi="Arial" w:cs="Arial"/>
                <w:sz w:val="20"/>
              </w:rPr>
              <w:br/>
              <w:t>в) Место продажи товаров должно быть надлежащим образом оборудовано и должно обеспечивать полную сохранность товаров.</w:t>
            </w:r>
            <w:r>
              <w:rPr>
                <w:rFonts w:ascii="Arial" w:hAnsi="Arial" w:cs="Arial"/>
                <w:sz w:val="20"/>
              </w:rPr>
              <w:br/>
              <w:t>г) Представители Консигнанта вправе посещать торговый зал и склад Фирмы для контроля за поставленным товаром.</w:t>
            </w:r>
          </w:p>
        </w:tc>
      </w:tr>
    </w:tbl>
    <w:p w:rsidR="00FD64D5" w:rsidRDefault="00FD64D5">
      <w:pPr>
        <w:jc w:val="both"/>
        <w:rPr>
          <w:rFonts w:ascii="Arial" w:hAnsi="Arial" w:cs="Arial"/>
          <w:sz w:val="20"/>
        </w:rPr>
      </w:pPr>
      <w:r>
        <w:rPr>
          <w:rFonts w:ascii="Arial" w:hAnsi="Arial" w:cs="Arial"/>
          <w:b/>
          <w:bCs/>
          <w:sz w:val="20"/>
          <w:szCs w:val="27"/>
        </w:rPr>
        <w:t xml:space="preserve">7. Платежи </w:t>
      </w:r>
    </w:p>
    <w:p w:rsidR="00FD64D5" w:rsidRDefault="00FD64D5">
      <w:pPr>
        <w:pStyle w:val="a3"/>
        <w:jc w:val="both"/>
        <w:rPr>
          <w:rFonts w:ascii="Arial" w:hAnsi="Arial" w:cs="Arial"/>
          <w:sz w:val="20"/>
        </w:rPr>
      </w:pPr>
      <w:r>
        <w:rPr>
          <w:rFonts w:ascii="Arial" w:hAnsi="Arial" w:cs="Arial"/>
          <w:sz w:val="20"/>
        </w:rPr>
        <w:t>В течение ________ дней после поставки товара Фирма должна оплатить полностью стоимость товара.</w:t>
      </w:r>
      <w:r>
        <w:rPr>
          <w:rFonts w:ascii="Arial" w:hAnsi="Arial" w:cs="Arial"/>
          <w:sz w:val="20"/>
        </w:rPr>
        <w:br/>
        <w:t>Все платежи производятся Фирмой в пользу Консигнанта путем перевода причитающихся Консигнанту сумм на его счет в банке, или наличными в кассу Консигнанта. Платеж считается произведенным после того, как Консигнант подтвердит его получение и правильность.</w:t>
      </w:r>
      <w:r>
        <w:rPr>
          <w:rFonts w:ascii="Arial" w:hAnsi="Arial" w:cs="Arial"/>
          <w:sz w:val="20"/>
        </w:rPr>
        <w:br/>
        <w:t xml:space="preserve">В случае просрочки срока платежа Фирма уплачивает Консигнанту пеню в размере 0,5% от суммы задолженности за каждый день просрочки. </w:t>
      </w:r>
    </w:p>
    <w:p w:rsidR="00FD64D5" w:rsidRDefault="00FD64D5">
      <w:pPr>
        <w:pStyle w:val="a3"/>
        <w:jc w:val="both"/>
        <w:rPr>
          <w:rFonts w:ascii="Arial" w:hAnsi="Arial" w:cs="Arial"/>
          <w:sz w:val="20"/>
        </w:rPr>
      </w:pPr>
      <w:r>
        <w:rPr>
          <w:rFonts w:ascii="Arial" w:hAnsi="Arial" w:cs="Arial"/>
          <w:b/>
          <w:bCs/>
          <w:sz w:val="20"/>
          <w:szCs w:val="27"/>
        </w:rPr>
        <w:t>8. Ответственность сторон за поставленные товары</w:t>
      </w:r>
    </w:p>
    <w:p w:rsidR="00FD64D5" w:rsidRDefault="00FD64D5">
      <w:pPr>
        <w:pStyle w:val="a3"/>
        <w:jc w:val="both"/>
        <w:rPr>
          <w:rFonts w:ascii="Arial" w:hAnsi="Arial" w:cs="Arial"/>
          <w:sz w:val="20"/>
        </w:rPr>
      </w:pPr>
      <w:r>
        <w:rPr>
          <w:rFonts w:ascii="Arial" w:hAnsi="Arial" w:cs="Arial"/>
          <w:sz w:val="20"/>
        </w:rPr>
        <w:t>Фирма несет полную ответственность за целостность и сохранность поставленных на консигнацию товаров в размере их полной стоимости, согласно п.2 настоящего договора, начиная с даты их поставки Консигнантом и кончая датой их оплаты, или возврата Консигнанту по требованию последнего.</w:t>
      </w:r>
      <w:r>
        <w:rPr>
          <w:rFonts w:ascii="Arial" w:hAnsi="Arial" w:cs="Arial"/>
          <w:sz w:val="20"/>
        </w:rPr>
        <w:br/>
        <w:t>В течение всего срока консигнации поставленные товары остаются собственностью Консигнанта. В течение этого срока страхование товаров производится Фирмой за свой счет в пользу Консигнанта.</w:t>
      </w:r>
      <w:r>
        <w:rPr>
          <w:rFonts w:ascii="Arial" w:hAnsi="Arial" w:cs="Arial"/>
          <w:sz w:val="20"/>
        </w:rPr>
        <w:br/>
        <w:t>Поставка товаров в счет настоящего договора будет производится в каждом отдельном случае в согласованные сроки по получении Консигнантом Заявки от Фирмы. В заявке должен быть отражен требуемый ассортимент, размерный ряд и количество необходимого товара. Консигнант оставляет за собой право без согласия Фирмы вносить изменения в заявку.</w:t>
      </w:r>
    </w:p>
    <w:p w:rsidR="00FD64D5" w:rsidRDefault="00FD64D5">
      <w:pPr>
        <w:pStyle w:val="a3"/>
        <w:jc w:val="both"/>
        <w:rPr>
          <w:rFonts w:ascii="Arial" w:hAnsi="Arial" w:cs="Arial"/>
          <w:sz w:val="20"/>
        </w:rPr>
      </w:pPr>
      <w:r>
        <w:rPr>
          <w:rFonts w:ascii="Arial" w:hAnsi="Arial" w:cs="Arial"/>
          <w:b/>
          <w:bCs/>
          <w:sz w:val="20"/>
          <w:szCs w:val="27"/>
        </w:rPr>
        <w:t>9. Извещение об отгрузке</w:t>
      </w:r>
    </w:p>
    <w:p w:rsidR="00FD64D5" w:rsidRDefault="00FD64D5">
      <w:pPr>
        <w:pStyle w:val="a3"/>
        <w:jc w:val="both"/>
        <w:rPr>
          <w:rFonts w:ascii="Arial" w:hAnsi="Arial" w:cs="Arial"/>
          <w:sz w:val="20"/>
        </w:rPr>
      </w:pPr>
      <w:r>
        <w:rPr>
          <w:rFonts w:ascii="Arial" w:hAnsi="Arial" w:cs="Arial"/>
          <w:sz w:val="20"/>
        </w:rPr>
        <w:t>О производимой отгрузке Консигнант извещает Фирму по телефону.</w:t>
      </w:r>
      <w:r>
        <w:rPr>
          <w:rFonts w:ascii="Arial" w:hAnsi="Arial" w:cs="Arial"/>
          <w:sz w:val="20"/>
        </w:rPr>
        <w:br/>
        <w:t>Таким же порядком Фирма извещает Консигнанта о отгрузке возвращенных товаров.</w:t>
      </w:r>
      <w:r>
        <w:rPr>
          <w:rFonts w:ascii="Arial" w:hAnsi="Arial" w:cs="Arial"/>
          <w:sz w:val="20"/>
        </w:rPr>
        <w:br/>
        <w:t>Одновременно с отгрузкой товаров Консигнант высылает Фирме товарную накладную, в двух экземплярах с указанием стоимости отгруженных товаров в соответствии с п.2 настоящего договора, в размере которой Фирма несет полную ответственность согласно п.8 настоящего договора. Второй экземпляр товарной накладной должен быть возвращен Консигнанту с отметкой о факте приема товара в тот же день.</w:t>
      </w:r>
    </w:p>
    <w:p w:rsidR="00FD64D5" w:rsidRDefault="00FD64D5">
      <w:pPr>
        <w:pStyle w:val="a3"/>
        <w:jc w:val="both"/>
        <w:rPr>
          <w:rFonts w:ascii="Arial" w:hAnsi="Arial" w:cs="Arial"/>
          <w:sz w:val="20"/>
        </w:rPr>
      </w:pPr>
      <w:r>
        <w:rPr>
          <w:rFonts w:ascii="Arial" w:hAnsi="Arial" w:cs="Arial"/>
          <w:b/>
          <w:bCs/>
          <w:sz w:val="20"/>
          <w:szCs w:val="27"/>
        </w:rPr>
        <w:t>10. Возврат товара</w:t>
      </w:r>
    </w:p>
    <w:p w:rsidR="00FD64D5" w:rsidRDefault="00FD64D5">
      <w:pPr>
        <w:pStyle w:val="a3"/>
        <w:jc w:val="both"/>
        <w:rPr>
          <w:rFonts w:ascii="Arial" w:hAnsi="Arial" w:cs="Arial"/>
          <w:sz w:val="20"/>
        </w:rPr>
      </w:pPr>
      <w:r>
        <w:rPr>
          <w:rFonts w:ascii="Arial" w:hAnsi="Arial" w:cs="Arial"/>
          <w:sz w:val="20"/>
        </w:rPr>
        <w:t>Если по требованию Консигнанта товар подлежит возврату, Фирма обязана:</w:t>
      </w:r>
      <w:r>
        <w:rPr>
          <w:rFonts w:ascii="Arial" w:hAnsi="Arial" w:cs="Arial"/>
          <w:sz w:val="20"/>
        </w:rPr>
        <w:br/>
        <w:t>а) упаковать возвращаемый товар в соответствии с указаниями Консигнанта с соблюдением условий настоящего договора.</w:t>
      </w:r>
      <w:r>
        <w:rPr>
          <w:rFonts w:ascii="Arial" w:hAnsi="Arial" w:cs="Arial"/>
          <w:sz w:val="20"/>
        </w:rPr>
        <w:br/>
        <w:t>б) На возвращаемом товаре не должно присутствовать ярлыков, ценников, или другой информации, нанесенной фирмой в процессе продажи товара, неотделимых без вреда от упаковки производителя. Такой товар возврату не подлежит (за исключением возврата некачественного товара), и подлежит оплате Фирмой.</w:t>
      </w:r>
      <w:r>
        <w:rPr>
          <w:rFonts w:ascii="Arial" w:hAnsi="Arial" w:cs="Arial"/>
          <w:sz w:val="20"/>
        </w:rPr>
        <w:br/>
        <w:t>в) Отгрузить товар не позднее трех дней по получении требования Консигнанта.</w:t>
      </w:r>
    </w:p>
    <w:p w:rsidR="00FD64D5" w:rsidRDefault="00FD64D5">
      <w:pPr>
        <w:pStyle w:val="a3"/>
        <w:jc w:val="both"/>
        <w:rPr>
          <w:rFonts w:ascii="Arial" w:hAnsi="Arial" w:cs="Arial"/>
          <w:sz w:val="20"/>
        </w:rPr>
      </w:pPr>
      <w:r>
        <w:rPr>
          <w:rFonts w:ascii="Arial" w:hAnsi="Arial" w:cs="Arial"/>
          <w:b/>
          <w:bCs/>
          <w:sz w:val="20"/>
          <w:szCs w:val="27"/>
        </w:rPr>
        <w:t>11. Претензии сторон</w:t>
      </w:r>
    </w:p>
    <w:p w:rsidR="00FD64D5" w:rsidRDefault="00FD64D5">
      <w:pPr>
        <w:pStyle w:val="a3"/>
        <w:jc w:val="both"/>
        <w:rPr>
          <w:rFonts w:ascii="Arial" w:hAnsi="Arial" w:cs="Arial"/>
          <w:sz w:val="20"/>
        </w:rPr>
      </w:pPr>
      <w:r>
        <w:rPr>
          <w:rFonts w:ascii="Arial" w:hAnsi="Arial" w:cs="Arial"/>
          <w:b/>
          <w:bCs/>
          <w:sz w:val="20"/>
        </w:rPr>
        <w:t>1. Претензии Фирмы.</w:t>
      </w:r>
    </w:p>
    <w:p w:rsidR="00FD64D5" w:rsidRDefault="00FD64D5">
      <w:pPr>
        <w:pStyle w:val="a3"/>
        <w:jc w:val="both"/>
        <w:rPr>
          <w:rFonts w:ascii="Arial" w:hAnsi="Arial" w:cs="Arial"/>
          <w:sz w:val="20"/>
        </w:rPr>
      </w:pPr>
      <w:r>
        <w:rPr>
          <w:rFonts w:ascii="Arial" w:hAnsi="Arial" w:cs="Arial"/>
          <w:sz w:val="20"/>
        </w:rPr>
        <w:t>Фирма может заявить Консигнанту претензии только в отношении:</w:t>
      </w:r>
      <w:r>
        <w:rPr>
          <w:rFonts w:ascii="Arial" w:hAnsi="Arial" w:cs="Arial"/>
          <w:sz w:val="20"/>
        </w:rPr>
        <w:br/>
        <w:t>а) качества товара - в случае его несоответствия качеству, обусловленному в настоящем договоре;</w:t>
      </w:r>
      <w:r>
        <w:rPr>
          <w:rFonts w:ascii="Arial" w:hAnsi="Arial" w:cs="Arial"/>
          <w:sz w:val="20"/>
        </w:rPr>
        <w:br/>
        <w:t>б) количества товара - в случае несоответствия его количеству, указанному в товарной накладной;</w:t>
      </w:r>
    </w:p>
    <w:p w:rsidR="00FD64D5" w:rsidRDefault="00FD64D5">
      <w:pPr>
        <w:pStyle w:val="a3"/>
        <w:jc w:val="both"/>
        <w:rPr>
          <w:rFonts w:ascii="Arial" w:hAnsi="Arial" w:cs="Arial"/>
          <w:sz w:val="20"/>
        </w:rPr>
      </w:pPr>
      <w:r>
        <w:rPr>
          <w:rFonts w:ascii="Arial" w:hAnsi="Arial" w:cs="Arial"/>
          <w:b/>
          <w:bCs/>
          <w:sz w:val="20"/>
        </w:rPr>
        <w:t>2. Претензии Консигнанта.</w:t>
      </w:r>
    </w:p>
    <w:p w:rsidR="00FD64D5" w:rsidRDefault="00FD64D5">
      <w:pPr>
        <w:pStyle w:val="a3"/>
        <w:jc w:val="both"/>
        <w:rPr>
          <w:rFonts w:ascii="Arial" w:hAnsi="Arial" w:cs="Arial"/>
          <w:sz w:val="20"/>
        </w:rPr>
      </w:pPr>
      <w:r>
        <w:rPr>
          <w:rFonts w:ascii="Arial" w:hAnsi="Arial" w:cs="Arial"/>
          <w:sz w:val="20"/>
        </w:rPr>
        <w:t>Консигнант может заявить претензии Фирме в отношении:</w:t>
      </w:r>
      <w:r>
        <w:rPr>
          <w:rFonts w:ascii="Arial" w:hAnsi="Arial" w:cs="Arial"/>
          <w:sz w:val="20"/>
        </w:rPr>
        <w:br/>
        <w:t>а) несвоевременного неполного платежа за товар;</w:t>
      </w:r>
      <w:r>
        <w:rPr>
          <w:rFonts w:ascii="Arial" w:hAnsi="Arial" w:cs="Arial"/>
          <w:sz w:val="20"/>
        </w:rPr>
        <w:br/>
        <w:t xml:space="preserve">б) качество товара - если в возвращенном товаре будут обнаружены повреждения </w:t>
      </w:r>
    </w:p>
    <w:p w:rsidR="00FD64D5" w:rsidRDefault="00FD64D5">
      <w:pPr>
        <w:jc w:val="both"/>
        <w:rPr>
          <w:rFonts w:ascii="Arial" w:hAnsi="Arial" w:cs="Arial"/>
          <w:sz w:val="20"/>
        </w:rPr>
      </w:pPr>
      <w:r>
        <w:rPr>
          <w:rFonts w:ascii="Arial" w:hAnsi="Arial" w:cs="Arial"/>
          <w:sz w:val="20"/>
        </w:rPr>
        <w:t>упаковки или маркировки товара, или иного рода отклонения от обусловленного в настоящем договоре качества товара;</w:t>
      </w:r>
      <w:r>
        <w:rPr>
          <w:rFonts w:ascii="Arial" w:hAnsi="Arial" w:cs="Arial"/>
          <w:sz w:val="20"/>
        </w:rPr>
        <w:br/>
        <w:t>в) количества товара - в случае его несоответствия количеству в товарной накладной</w:t>
      </w:r>
      <w:r>
        <w:rPr>
          <w:rFonts w:ascii="Arial" w:hAnsi="Arial" w:cs="Arial"/>
          <w:sz w:val="20"/>
        </w:rPr>
        <w:br/>
        <w:t>г) гибели или утраты товара в соответствии с п.8 настоящего договора.</w:t>
      </w:r>
      <w:r>
        <w:rPr>
          <w:rFonts w:ascii="Arial" w:hAnsi="Arial" w:cs="Arial"/>
          <w:sz w:val="20"/>
        </w:rPr>
        <w:br/>
        <w:t>Фирма вправе предъявлять претензии по количеству товаров в течение одного дня с момента поставки, а по качеству - в соответствии с п.3 настоящего договора.</w:t>
      </w:r>
      <w:r>
        <w:rPr>
          <w:rFonts w:ascii="Arial" w:hAnsi="Arial" w:cs="Arial"/>
          <w:sz w:val="20"/>
        </w:rPr>
        <w:br/>
        <w:t>Консигнант вправе предъявлять претензии по количеству и качеству в течение 3-х дней с момента приема товара, а при утере товара - с момента установления факта утери.</w:t>
      </w:r>
    </w:p>
    <w:p w:rsidR="00FD64D5" w:rsidRDefault="00FD64D5">
      <w:pPr>
        <w:pStyle w:val="a3"/>
        <w:jc w:val="both"/>
        <w:rPr>
          <w:rFonts w:ascii="Arial" w:hAnsi="Arial" w:cs="Arial"/>
          <w:sz w:val="20"/>
        </w:rPr>
      </w:pPr>
      <w:r>
        <w:rPr>
          <w:rFonts w:ascii="Arial" w:hAnsi="Arial" w:cs="Arial"/>
          <w:b/>
          <w:bCs/>
          <w:sz w:val="20"/>
          <w:szCs w:val="27"/>
        </w:rPr>
        <w:t>12. Общие условия</w:t>
      </w:r>
    </w:p>
    <w:p w:rsidR="00FD64D5" w:rsidRDefault="00FD64D5">
      <w:pPr>
        <w:pStyle w:val="a3"/>
        <w:jc w:val="both"/>
        <w:rPr>
          <w:rFonts w:ascii="Arial" w:hAnsi="Arial" w:cs="Arial"/>
          <w:sz w:val="20"/>
        </w:rPr>
      </w:pPr>
      <w:r>
        <w:rPr>
          <w:rFonts w:ascii="Arial" w:hAnsi="Arial" w:cs="Arial"/>
          <w:sz w:val="20"/>
        </w:rPr>
        <w:t>Всякие изменения и дополнения к настоящему договору действительны только в том случае, если они сделаны в письменном виде за надлежащими подписями обеих сторон.</w:t>
      </w:r>
      <w:r>
        <w:rPr>
          <w:rFonts w:ascii="Arial" w:hAnsi="Arial" w:cs="Arial"/>
          <w:sz w:val="20"/>
        </w:rPr>
        <w:br/>
        <w:t>Ни одна из сторон не имеет право передавать свои права и обязанности по настоящему договору третьим лицам без письменного на то согласия другой стороны.</w:t>
      </w:r>
    </w:p>
    <w:p w:rsidR="00FD64D5" w:rsidRDefault="00FD64D5">
      <w:pPr>
        <w:pStyle w:val="a3"/>
        <w:jc w:val="both"/>
        <w:rPr>
          <w:rFonts w:ascii="Arial" w:hAnsi="Arial" w:cs="Arial"/>
          <w:sz w:val="20"/>
        </w:rPr>
      </w:pPr>
      <w:r>
        <w:rPr>
          <w:rFonts w:ascii="Arial" w:hAnsi="Arial" w:cs="Arial"/>
          <w:b/>
          <w:bCs/>
          <w:sz w:val="20"/>
          <w:szCs w:val="27"/>
        </w:rPr>
        <w:t>13. Срок действия договора</w:t>
      </w:r>
    </w:p>
    <w:p w:rsidR="00FD64D5" w:rsidRDefault="00FD64D5">
      <w:pPr>
        <w:pStyle w:val="a3"/>
        <w:jc w:val="both"/>
        <w:rPr>
          <w:rFonts w:ascii="Arial" w:hAnsi="Arial" w:cs="Arial"/>
          <w:sz w:val="20"/>
        </w:rPr>
      </w:pPr>
      <w:r>
        <w:rPr>
          <w:rFonts w:ascii="Arial" w:hAnsi="Arial" w:cs="Arial"/>
          <w:sz w:val="20"/>
        </w:rPr>
        <w:t>Срок действия настоящего договора устанавливается в один год с момента его подписания. По истечении срока действия настоящего договора условия его остаются действительными в отношении всех партий товара, которые к моменту прекращения действия настоящего договора будут находиться на консигнации и расчет по которым сторонами не закончен.</w:t>
      </w:r>
    </w:p>
    <w:p w:rsidR="00FD64D5" w:rsidRDefault="00FD64D5">
      <w:pPr>
        <w:pStyle w:val="a3"/>
        <w:jc w:val="both"/>
        <w:rPr>
          <w:rFonts w:ascii="Arial" w:hAnsi="Arial" w:cs="Arial"/>
          <w:sz w:val="20"/>
        </w:rPr>
      </w:pPr>
      <w:r>
        <w:rPr>
          <w:rFonts w:ascii="Arial" w:hAnsi="Arial" w:cs="Arial"/>
          <w:b/>
          <w:bCs/>
          <w:sz w:val="20"/>
          <w:szCs w:val="27"/>
        </w:rPr>
        <w:t>14. Споры</w:t>
      </w:r>
    </w:p>
    <w:p w:rsidR="00FD64D5" w:rsidRDefault="00FD64D5">
      <w:pPr>
        <w:pStyle w:val="a3"/>
        <w:jc w:val="both"/>
        <w:rPr>
          <w:rFonts w:ascii="Arial" w:hAnsi="Arial" w:cs="Arial"/>
          <w:sz w:val="20"/>
        </w:rPr>
      </w:pPr>
      <w:r>
        <w:rPr>
          <w:rFonts w:ascii="Arial" w:hAnsi="Arial" w:cs="Arial"/>
          <w:sz w:val="20"/>
        </w:rPr>
        <w:t>Все споры и разногласия, возникающие из настоящего договора или в связи с ним, подлежат разрешению мирным путем. В случае невозможности - в Арбитражном суде г. Москвы.</w:t>
      </w:r>
    </w:p>
    <w:p w:rsidR="00FD64D5" w:rsidRDefault="00FD64D5">
      <w:pPr>
        <w:pStyle w:val="5"/>
        <w:rPr>
          <w:rFonts w:ascii="Arial" w:hAnsi="Arial" w:cs="Arial"/>
        </w:rPr>
      </w:pPr>
      <w:r>
        <w:rPr>
          <w:rFonts w:ascii="Arial" w:hAnsi="Arial" w:cs="Arial"/>
        </w:rPr>
        <w:t xml:space="preserve">Консигнация - соглашение между собственником товара (консигнантом) и торговым посредником (консигнатором) о продаже товара за границу на определенных условиях со склада консигнатора (консигнационного склада). </w:t>
      </w:r>
    </w:p>
    <w:p w:rsidR="00FD64D5" w:rsidRDefault="00FD64D5">
      <w:pPr>
        <w:pStyle w:val="5"/>
        <w:rPr>
          <w:rFonts w:ascii="Arial" w:hAnsi="Arial" w:cs="Arial"/>
        </w:rPr>
      </w:pPr>
      <w:r>
        <w:rPr>
          <w:rFonts w:ascii="Arial" w:hAnsi="Arial" w:cs="Arial"/>
        </w:rPr>
        <w:t xml:space="preserve">Выпуск товара с консигнационного склада всегда осуществляется с разрешения и под контролем таможни. </w:t>
      </w:r>
    </w:p>
    <w:p w:rsidR="00FD64D5" w:rsidRDefault="00FD64D5">
      <w:pPr>
        <w:jc w:val="both"/>
        <w:rPr>
          <w:rFonts w:ascii="Arial" w:hAnsi="Arial" w:cs="Arial"/>
          <w:b/>
          <w:bCs/>
          <w:sz w:val="20"/>
          <w:u w:val="single"/>
        </w:rPr>
      </w:pPr>
    </w:p>
    <w:p w:rsidR="00FD64D5" w:rsidRDefault="00FD64D5">
      <w:pPr>
        <w:pStyle w:val="5"/>
        <w:rPr>
          <w:rFonts w:ascii="Arial" w:hAnsi="Arial" w:cs="Arial"/>
        </w:rPr>
      </w:pPr>
      <w:r>
        <w:rPr>
          <w:rFonts w:ascii="Arial" w:hAnsi="Arial" w:cs="Arial"/>
        </w:rPr>
        <w:t xml:space="preserve">Консигнант - владелец товара, продаваемого за границу через посредничество комиссионера (консигнатора). </w:t>
      </w:r>
    </w:p>
    <w:p w:rsidR="00FD64D5" w:rsidRDefault="00FD64D5">
      <w:pPr>
        <w:jc w:val="both"/>
        <w:rPr>
          <w:rFonts w:ascii="Arial" w:hAnsi="Arial" w:cs="Arial"/>
          <w:b/>
          <w:bCs/>
          <w:sz w:val="20"/>
          <w:u w:val="single"/>
        </w:rPr>
      </w:pPr>
    </w:p>
    <w:p w:rsidR="00FD64D5" w:rsidRDefault="00FD64D5">
      <w:pPr>
        <w:pStyle w:val="5"/>
        <w:rPr>
          <w:rFonts w:ascii="Arial" w:hAnsi="Arial" w:cs="Arial"/>
        </w:rPr>
      </w:pPr>
      <w:r>
        <w:rPr>
          <w:rFonts w:ascii="Arial" w:hAnsi="Arial" w:cs="Arial"/>
        </w:rPr>
        <w:t xml:space="preserve">Консигнатор - комиссионер, оказывающий услуги по продаже товара за границу. При этом консигнатор использует собственные склады. </w:t>
      </w:r>
    </w:p>
    <w:p w:rsidR="00FD64D5" w:rsidRDefault="00FD64D5">
      <w:pPr>
        <w:pStyle w:val="5"/>
        <w:rPr>
          <w:rFonts w:ascii="Arial" w:hAnsi="Arial" w:cs="Arial"/>
        </w:rPr>
      </w:pPr>
      <w:r>
        <w:rPr>
          <w:rFonts w:ascii="Arial" w:hAnsi="Arial" w:cs="Arial"/>
        </w:rPr>
        <w:t xml:space="preserve">Консигнационная торговля - продажа товаров со складов, находящихся за границей на территории зарубежных стран, на основе консигнационного договора. </w:t>
      </w:r>
    </w:p>
    <w:p w:rsidR="00FD64D5" w:rsidRDefault="00FD64D5">
      <w:pPr>
        <w:pStyle w:val="a3"/>
        <w:jc w:val="both"/>
        <w:rPr>
          <w:rFonts w:ascii="Arial" w:hAnsi="Arial" w:cs="Arial"/>
          <w:sz w:val="20"/>
          <w:szCs w:val="22"/>
        </w:rPr>
      </w:pPr>
      <w:r>
        <w:rPr>
          <w:rFonts w:ascii="Arial" w:hAnsi="Arial" w:cs="Arial"/>
          <w:sz w:val="20"/>
          <w:szCs w:val="22"/>
        </w:rPr>
        <w:t>Консигнатор - получает у поручителя товары, продает их со своего склада от своего имени за вознаграждение, которое поручитель выплачивает К. по договору консигнации (вид договора торговой комиссии).</w:t>
      </w:r>
    </w:p>
    <w:p w:rsidR="00FD64D5" w:rsidRDefault="00FD64D5">
      <w:pPr>
        <w:jc w:val="both"/>
        <w:rPr>
          <w:rFonts w:ascii="Arial" w:hAnsi="Arial" w:cs="Arial"/>
          <w:b/>
          <w:bCs/>
          <w:sz w:val="20"/>
          <w:u w:val="single"/>
        </w:rPr>
      </w:pPr>
    </w:p>
    <w:p w:rsidR="00FD64D5" w:rsidRDefault="00FD64D5">
      <w:pPr>
        <w:pStyle w:val="a3"/>
        <w:jc w:val="both"/>
        <w:rPr>
          <w:rFonts w:ascii="Arial" w:hAnsi="Arial" w:cs="Arial"/>
          <w:sz w:val="20"/>
          <w:szCs w:val="22"/>
        </w:rPr>
      </w:pPr>
      <w:r>
        <w:rPr>
          <w:rFonts w:ascii="Arial" w:hAnsi="Arial" w:cs="Arial"/>
          <w:i/>
          <w:iCs/>
          <w:sz w:val="20"/>
          <w:szCs w:val="22"/>
        </w:rPr>
        <w:t xml:space="preserve">2.3 Консигнационный товар </w:t>
      </w:r>
    </w:p>
    <w:p w:rsidR="00FD64D5" w:rsidRDefault="00FD64D5">
      <w:pPr>
        <w:pStyle w:val="a3"/>
        <w:jc w:val="both"/>
        <w:rPr>
          <w:rFonts w:ascii="Arial" w:hAnsi="Arial" w:cs="Arial"/>
          <w:sz w:val="20"/>
          <w:szCs w:val="22"/>
        </w:rPr>
      </w:pPr>
      <w:r>
        <w:rPr>
          <w:rFonts w:ascii="Arial" w:hAnsi="Arial" w:cs="Arial"/>
          <w:sz w:val="20"/>
          <w:szCs w:val="22"/>
        </w:rPr>
        <w:t xml:space="preserve">Сделка консигнации (комиссии) - это сделка, в соответствии с которой консигнатор (комиссионер) реализует товар, принятый на консигнацию (комиссию), по поручению консигнанта (комитента). В целом, ни IAS, ни российская система учета не рассматривают отгрузку товаров консигнатору как реализацию. В то же время, в IAS предусмотрена ситуация, когда посредник приобретает права на товар в тот момент, когда товар отгружается ему. </w:t>
      </w:r>
    </w:p>
    <w:p w:rsidR="00FD64D5" w:rsidRDefault="00FD64D5">
      <w:pPr>
        <w:pStyle w:val="a3"/>
        <w:jc w:val="both"/>
        <w:rPr>
          <w:rFonts w:ascii="Arial" w:hAnsi="Arial" w:cs="Arial"/>
          <w:i/>
          <w:iCs/>
          <w:sz w:val="20"/>
          <w:szCs w:val="22"/>
        </w:rPr>
      </w:pPr>
      <w:r>
        <w:rPr>
          <w:rFonts w:ascii="Arial" w:hAnsi="Arial" w:cs="Arial"/>
          <w:sz w:val="20"/>
          <w:szCs w:val="22"/>
        </w:rPr>
        <w:t xml:space="preserve">Например, если производитель не имеет права потребовать от посредника возврата или передачи товара, или если посредник не имеет права вернуть товар, или для посредника является экономически нецелесообразным использовать свое право возврата - в этих случаях посреднику, возможно, придется принять на себя риски, связанные с устаревшими и слабореализуемыми товарами. Согласно IAS такие сделки отражаются в учете как реализация. В российской системе учета отсутствуют четкие указания относительно таких сделок, и, соответственно, предприятия вправе учитывать их как реализацию. </w:t>
      </w:r>
    </w:p>
    <w:p w:rsidR="00FD64D5" w:rsidRDefault="00FD64D5">
      <w:pPr>
        <w:pStyle w:val="a3"/>
        <w:jc w:val="both"/>
        <w:rPr>
          <w:rFonts w:ascii="Arial" w:hAnsi="Arial" w:cs="Arial"/>
          <w:sz w:val="20"/>
        </w:rPr>
      </w:pPr>
      <w:r>
        <w:rPr>
          <w:rFonts w:ascii="Arial" w:hAnsi="Arial" w:cs="Arial"/>
          <w:b/>
          <w:bCs/>
          <w:sz w:val="20"/>
        </w:rPr>
        <w:t>Консигнация</w:t>
      </w:r>
      <w:r>
        <w:rPr>
          <w:rFonts w:ascii="Arial" w:hAnsi="Arial" w:cs="Arial"/>
          <w:sz w:val="20"/>
        </w:rPr>
        <w:t xml:space="preserve"> - форма комиссионной продажи товаров, при которой их владелец передает комиссионеру товар для продажи со склада комиссионера. По договору консигнации товары отгружаются производителем или дилером агенту для реализации по наилучшей цене, но при этом они остаются собственностью отправителя. Обычные условия консигнации - хранение товара на складе посредника от 1 до 1,5 лет; если за этот период товар не будет продан, то он возвращается собственнику за его счет. </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r>
        <w:rPr>
          <w:rFonts w:ascii="Arial" w:hAnsi="Arial" w:cs="Arial"/>
          <w:b/>
          <w:bCs/>
          <w:sz w:val="20"/>
          <w:u w:val="single"/>
        </w:rPr>
        <w:t>29. Договор комиссии.</w:t>
      </w:r>
    </w:p>
    <w:p w:rsidR="00FD64D5" w:rsidRDefault="00FD64D5">
      <w:pPr>
        <w:jc w:val="both"/>
        <w:rPr>
          <w:rFonts w:ascii="Arial" w:hAnsi="Arial" w:cs="Arial"/>
          <w:b/>
          <w:bCs/>
          <w:sz w:val="20"/>
          <w:u w:val="single"/>
        </w:rPr>
      </w:pPr>
    </w:p>
    <w:p w:rsidR="00FD64D5" w:rsidRDefault="00FD64D5">
      <w:pPr>
        <w:pStyle w:val="4"/>
        <w:jc w:val="both"/>
        <w:rPr>
          <w:rFonts w:ascii="Arial" w:hAnsi="Arial" w:cs="Arial"/>
          <w:sz w:val="20"/>
        </w:rPr>
      </w:pPr>
      <w:r>
        <w:rPr>
          <w:rFonts w:ascii="Arial" w:hAnsi="Arial" w:cs="Arial"/>
          <w:i/>
          <w:iCs/>
          <w:sz w:val="20"/>
        </w:rPr>
        <w:t>Статья 990. Договор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исполнению сделки.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Договор комиссии может быть заключен на определенный срок или без указания срока его действия, с указанием или без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относительно ассортимента товаров, являющихся предметом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Законом и иными правовыми актами могут быть предусмотрены особенности отдельных видов договора комиссии.</w:t>
      </w:r>
    </w:p>
    <w:p w:rsidR="00FD64D5" w:rsidRDefault="00FD64D5">
      <w:pPr>
        <w:pStyle w:val="4"/>
        <w:jc w:val="both"/>
        <w:rPr>
          <w:rFonts w:ascii="Arial" w:hAnsi="Arial" w:cs="Arial"/>
          <w:sz w:val="20"/>
        </w:rPr>
      </w:pPr>
      <w:r>
        <w:rPr>
          <w:rFonts w:ascii="Arial" w:hAnsi="Arial" w:cs="Arial"/>
          <w:i/>
          <w:iCs/>
          <w:sz w:val="20"/>
        </w:rPr>
        <w:t>Статья 991. Комиссионное вознаграждение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Комитент обязан уплатить комиссионеру вознаграждение,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договором размер вознаграждения или порядок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пунктом 3 статьи 424 настоящего Кодекса.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FD64D5" w:rsidRDefault="00FD64D5">
      <w:pPr>
        <w:pStyle w:val="4"/>
        <w:jc w:val="both"/>
        <w:rPr>
          <w:rFonts w:ascii="Arial" w:hAnsi="Arial" w:cs="Arial"/>
          <w:sz w:val="20"/>
        </w:rPr>
      </w:pPr>
      <w:r>
        <w:rPr>
          <w:rFonts w:ascii="Arial" w:hAnsi="Arial" w:cs="Arial"/>
          <w:i/>
          <w:iCs/>
          <w:sz w:val="20"/>
        </w:rPr>
        <w:t>Статья 992. Исполнение комиссионного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Принятое на себя поручение комиссионер обязан исполнить на наиболее выгодных для комитента условиях в соответствии с указаниями комитента, а при отсутствии в договоре комиссии таких указаний - в соответствии с обычаями делового оборота или иными обычно предъявляемыми требованиями.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комиссионером поровну, если иное не предусмотрено соглашением сторон.</w:t>
      </w:r>
    </w:p>
    <w:p w:rsidR="00FD64D5" w:rsidRDefault="00FD64D5">
      <w:pPr>
        <w:pStyle w:val="4"/>
        <w:jc w:val="both"/>
        <w:rPr>
          <w:rFonts w:ascii="Arial" w:hAnsi="Arial" w:cs="Arial"/>
          <w:sz w:val="20"/>
        </w:rPr>
      </w:pPr>
      <w:r>
        <w:rPr>
          <w:rFonts w:ascii="Arial" w:hAnsi="Arial" w:cs="Arial"/>
          <w:i/>
          <w:iCs/>
          <w:sz w:val="20"/>
        </w:rPr>
        <w:t>Статья 993. Ответственность за неисполнение сделки, заключенной для комитента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Комиссионер не отвечает перед комитентом за неисполнение третьим лицом сделки, заключенной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случае неисполнения третьим лицом сделки, заключенной с ним комиссионером, комиссионер обязан немедленно сообщить об этом комитенту, собрать необходимые доказательства, в также по требованию комитента передать ему права по такой сделке с соблюдением правил об уступке требования (статьи 382 - 386, 388, 389).</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Уступка прав комитенту по сделке на основании пункта 2 настоящей статьи допускается 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лицом в связи с уступкой права в нарушение соглашения о ее запрете или об ограничении.</w:t>
      </w:r>
    </w:p>
    <w:p w:rsidR="00FD64D5" w:rsidRDefault="00FD64D5">
      <w:pPr>
        <w:pStyle w:val="4"/>
        <w:jc w:val="both"/>
        <w:rPr>
          <w:rFonts w:ascii="Arial" w:hAnsi="Arial" w:cs="Arial"/>
          <w:sz w:val="20"/>
        </w:rPr>
      </w:pPr>
      <w:r>
        <w:rPr>
          <w:rFonts w:ascii="Arial" w:hAnsi="Arial" w:cs="Arial"/>
          <w:i/>
          <w:iCs/>
          <w:sz w:val="20"/>
        </w:rPr>
        <w:t>Статья 994. Субкомиссия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Если иное не предусмотрено договором комиссии, комиссионер вправе в целях исполнения этого договора заключить договор субкомиссии с другим лицом, оставаясь ответственным за действия субкомиссионера перед комитентом.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договору субкомиссии комиссионер приобретает в отношении субкомиссионера права и обязанности комитента.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До прекращения договора комиссии комитент не вправе без согласия комиссионера вступать в непосредственные отношения с субкомиссионером, если иное не предусмотрено договором комиссии.</w:t>
      </w:r>
    </w:p>
    <w:p w:rsidR="00FD64D5" w:rsidRDefault="00FD64D5">
      <w:pPr>
        <w:pStyle w:val="4"/>
        <w:jc w:val="both"/>
        <w:rPr>
          <w:rFonts w:ascii="Arial" w:hAnsi="Arial" w:cs="Arial"/>
          <w:sz w:val="20"/>
        </w:rPr>
      </w:pPr>
      <w:r>
        <w:rPr>
          <w:rFonts w:ascii="Arial" w:hAnsi="Arial" w:cs="Arial"/>
          <w:i/>
          <w:iCs/>
          <w:sz w:val="20"/>
        </w:rPr>
        <w:t>Статья 995. Отступление от указаний комитента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Комиссионер вправе отступить от указаний комитента, если по обстоятельствам дела это необходимо в интересах комитента и комиссионер не мог предварительно запросить комитента либо не получил в разумный срок ответ на свой запрос. Комиссионер обязан уведомить комитента о допущенных отступлениях, как только уведомление стало возможным.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Комиссионеру, действующему в качестве предпринимателя, может быть предоставлено комитентом право отступать от его указаний без предварительного запроса. В этом случае комиссионер обязан в разумный срок уведомить комитента о допущенных отступлениях, если иное не предусмотрено договором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В случае, когда комиссионер был обязан предварительно запросить комитента, комиссионер должен также доказать, что он не имел возможности получить предварительно согласие комитента на отступление от его указаний.</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комиссионер купил имущество по цене выше согласованной с комитентом, комитент, не желающий принять такую покупку, обязан заявить об этом комиссионеру в разумный срок по получении от него извещения о заключении сделки с третьим лицом. В противном случае покупка признается принятой комитентом.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Если комиссионер сообщил, что принимает разницу в цене на свой счет, комитент не вправе отказаться от заключенной для него сделки.</w:t>
      </w:r>
    </w:p>
    <w:p w:rsidR="00FD64D5" w:rsidRDefault="00FD64D5">
      <w:pPr>
        <w:pStyle w:val="4"/>
        <w:jc w:val="both"/>
        <w:rPr>
          <w:rFonts w:ascii="Arial" w:hAnsi="Arial" w:cs="Arial"/>
          <w:sz w:val="20"/>
        </w:rPr>
      </w:pPr>
      <w:r>
        <w:rPr>
          <w:rFonts w:ascii="Arial" w:hAnsi="Arial" w:cs="Arial"/>
          <w:i/>
          <w:iCs/>
          <w:sz w:val="20"/>
        </w:rPr>
        <w:t>Статья 996. Права на вещи, являющиеся предметом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Вещи, поступившие к комиссионеру от комитента либо приобретенные комиссионером за счет комитента, являются собственностью последнего.</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Комиссионер вправе в соответствии со статьей 359 настоящего Кодекса удерживать находящиеся у него вещи, которые подлежат передаче комитенту либо лицу, указанному комитентом, в обеспечение своих требований по договору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случае объявления комитента несостоятельным (банкротом) указанное право комиссионера прекращается, а его требования к комитенту в пределах стоимости вещей, которые он удерживал, удовлетворяются в соответствии со статьей 360 настоящего Кодекса наравне с требованиями, обеспеченными залогом.</w:t>
      </w:r>
    </w:p>
    <w:p w:rsidR="00FD64D5" w:rsidRDefault="00FD64D5">
      <w:pPr>
        <w:pStyle w:val="4"/>
        <w:jc w:val="both"/>
        <w:rPr>
          <w:rFonts w:ascii="Arial" w:hAnsi="Arial" w:cs="Arial"/>
          <w:sz w:val="20"/>
        </w:rPr>
      </w:pPr>
      <w:r>
        <w:rPr>
          <w:rFonts w:ascii="Arial" w:hAnsi="Arial" w:cs="Arial"/>
          <w:i/>
          <w:iCs/>
          <w:sz w:val="20"/>
        </w:rPr>
        <w:t>Статья 997. Удовлетворение требований комиссионера из причитающихся комитенту сумм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Комиссионер вправе в соответствии со статьей 410 настоящего Кодекса удержать причитающиеся ему по договору комиссии суммы из всех сумм, поступивших к нему за счет комитента. Однако кредиторы комитента, пользующиеся в отношении очередности удовлетворения их требований преимуществом перед залогодержателями, не лишаются права на удовлетворение этих требований из удержанных комиссионером сумм.</w:t>
      </w:r>
    </w:p>
    <w:p w:rsidR="00FD64D5" w:rsidRDefault="00FD64D5">
      <w:pPr>
        <w:pStyle w:val="4"/>
        <w:jc w:val="both"/>
        <w:rPr>
          <w:rFonts w:ascii="Arial" w:hAnsi="Arial" w:cs="Arial"/>
          <w:sz w:val="20"/>
        </w:rPr>
      </w:pPr>
      <w:r>
        <w:rPr>
          <w:rFonts w:ascii="Arial" w:hAnsi="Arial" w:cs="Arial"/>
          <w:i/>
          <w:iCs/>
          <w:sz w:val="20"/>
        </w:rPr>
        <w:t>Статья 998. Ответственность комиссионера за утрату, недостачу или повреждение имущества комитента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Комиссионер отвечает перед комитентом за утрату, недостачу или повреждение находящегося у него имущества комитента.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недостача,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по охране прав комитента, собрать необходимые доказательства и обо всем без промедления сообщить комитенту.</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за счет комитента либо страхование этого имущества комиссионером предусмотрено договором комиссии или обычаями делового оборота.</w:t>
      </w:r>
    </w:p>
    <w:p w:rsidR="00FD64D5" w:rsidRDefault="00FD64D5">
      <w:pPr>
        <w:pStyle w:val="4"/>
        <w:jc w:val="both"/>
        <w:rPr>
          <w:rFonts w:ascii="Arial" w:hAnsi="Arial" w:cs="Arial"/>
          <w:sz w:val="20"/>
        </w:rPr>
      </w:pPr>
      <w:r>
        <w:rPr>
          <w:rFonts w:ascii="Arial" w:hAnsi="Arial" w:cs="Arial"/>
          <w:i/>
          <w:iCs/>
          <w:sz w:val="20"/>
        </w:rPr>
        <w:t>Статья 999. Отчет комиссионера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По исполнении поручения комиссионер обязан представить комитенту отчет и передать ему все полученное по договору комиссии. Комитент, имеющий возражения по отчету, должен сообщить о них комиссионеру в течение тридцати дней со дня получения отчета, если соглашением сторон не установлен иной срок. В противном случае отчет при отсутствии иного соглашения считается принятым.</w:t>
      </w:r>
    </w:p>
    <w:p w:rsidR="00FD64D5" w:rsidRDefault="00FD64D5">
      <w:pPr>
        <w:pStyle w:val="4"/>
        <w:jc w:val="both"/>
        <w:rPr>
          <w:rFonts w:ascii="Arial" w:hAnsi="Arial" w:cs="Arial"/>
          <w:sz w:val="20"/>
        </w:rPr>
      </w:pPr>
      <w:r>
        <w:rPr>
          <w:rFonts w:ascii="Arial" w:hAnsi="Arial" w:cs="Arial"/>
          <w:i/>
          <w:iCs/>
          <w:sz w:val="20"/>
        </w:rPr>
        <w:t>Статья 1000. Принятие комитентом исполненного по договору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Комитент обязан:</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принять от комиссионера все исполненное по договору комиссии;</w:t>
      </w:r>
      <w:r>
        <w:rPr>
          <w:rFonts w:ascii="Arial" w:hAnsi="Arial" w:cs="Arial"/>
          <w:sz w:val="20"/>
        </w:rPr>
        <w:br/>
        <w:t>осмотреть имущество, приобретенное для него комиссионером, и известить последнего без промедления об обнаруженных в этом имуществе недостатках;</w:t>
      </w:r>
      <w:r>
        <w:rPr>
          <w:rFonts w:ascii="Arial" w:hAnsi="Arial" w:cs="Arial"/>
          <w:sz w:val="20"/>
        </w:rPr>
        <w:br/>
        <w:t>освободить комиссионера от обязательств, принятых им на себя перед третьим лицом по исполнению комиссионного поручения.</w:t>
      </w:r>
    </w:p>
    <w:p w:rsidR="00FD64D5" w:rsidRDefault="00FD64D5">
      <w:pPr>
        <w:pStyle w:val="4"/>
        <w:jc w:val="both"/>
        <w:rPr>
          <w:rFonts w:ascii="Arial" w:hAnsi="Arial" w:cs="Arial"/>
          <w:sz w:val="20"/>
        </w:rPr>
      </w:pPr>
      <w:r>
        <w:rPr>
          <w:rFonts w:ascii="Arial" w:hAnsi="Arial" w:cs="Arial"/>
          <w:i/>
          <w:iCs/>
          <w:sz w:val="20"/>
        </w:rPr>
        <w:t>Статья 1001. Возмещение расходов на исполнение комиссионного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на исполнение комиссионного поручения суммы.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Комиссионер не имеет права на возмещение расходов на хранение находящегося у него имущества комитента, если в законе или договоре комиссии не установлено иное.</w:t>
      </w:r>
    </w:p>
    <w:p w:rsidR="00FD64D5" w:rsidRDefault="00FD64D5">
      <w:pPr>
        <w:pStyle w:val="4"/>
        <w:jc w:val="both"/>
        <w:rPr>
          <w:rFonts w:ascii="Arial" w:hAnsi="Arial" w:cs="Arial"/>
          <w:sz w:val="20"/>
        </w:rPr>
      </w:pPr>
      <w:r>
        <w:rPr>
          <w:rFonts w:ascii="Arial" w:hAnsi="Arial" w:cs="Arial"/>
          <w:i/>
          <w:iCs/>
          <w:sz w:val="20"/>
        </w:rPr>
        <w:t>Статья 1002. Прекращение договора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Договор комиссии прекращается вследствие: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отказа комитента от исполнения договора;</w:t>
      </w:r>
      <w:r>
        <w:rPr>
          <w:rFonts w:ascii="Arial" w:hAnsi="Arial" w:cs="Arial"/>
          <w:sz w:val="20"/>
        </w:rPr>
        <w:br/>
        <w:t>отказа комиссионера от исполнения договора в случаях, предусмотренных законом или договором;</w:t>
      </w:r>
      <w:r>
        <w:rPr>
          <w:rFonts w:ascii="Arial" w:hAnsi="Arial" w:cs="Arial"/>
          <w:sz w:val="20"/>
        </w:rPr>
        <w:br/>
        <w:t>смерти комиссионера, признания его недееспособным, ограниченно дееспособным или безвестно отсутствующим;</w:t>
      </w:r>
      <w:r>
        <w:rPr>
          <w:rFonts w:ascii="Arial" w:hAnsi="Arial" w:cs="Arial"/>
          <w:sz w:val="20"/>
        </w:rPr>
        <w:br/>
        <w:t>признания индивидуального предпринимателя, являющегося комиссионером, несостоятельным (банкротом).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случае объявления комиссионера несостоятельным (банкротом) его права и обязанности по сделкам, заключенным им для комитента во исполнение указаний последнего, переходят к комитенту.</w:t>
      </w:r>
    </w:p>
    <w:p w:rsidR="00FD64D5" w:rsidRDefault="00FD64D5">
      <w:pPr>
        <w:pStyle w:val="4"/>
        <w:jc w:val="both"/>
        <w:rPr>
          <w:rFonts w:ascii="Arial" w:hAnsi="Arial" w:cs="Arial"/>
          <w:sz w:val="20"/>
        </w:rPr>
      </w:pPr>
      <w:r>
        <w:rPr>
          <w:rFonts w:ascii="Arial" w:hAnsi="Arial" w:cs="Arial"/>
          <w:i/>
          <w:iCs/>
          <w:sz w:val="20"/>
        </w:rPr>
        <w:t>Статья 1003. Отмена комиссионного поручения комитентом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Комитент вправе в любое время отказаться от исполнения договора комиссии, отменив данное комиссионеру поручение. Комиссионер вправе требовать возмещения убытков, вызванных отменой поручения.</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В случае, когда договор комиссии заключен без указания срока его действия, комитент должен уведомить комиссионера о прекращении договора не позднее чем за тридцать дней, если более продолжительный срок уведомления не предусмотрен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В случае отмены поручения комитент обязан в срок, установленный договором комиссии, а если такой срок не установлен, незамедлительно распорядиться своим находящимся в ведении комиссионера имуществом. Если комитент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FD64D5" w:rsidRDefault="00FD64D5">
      <w:pPr>
        <w:pStyle w:val="4"/>
        <w:jc w:val="both"/>
        <w:rPr>
          <w:rFonts w:ascii="Arial" w:hAnsi="Arial" w:cs="Arial"/>
          <w:sz w:val="20"/>
        </w:rPr>
      </w:pPr>
      <w:r>
        <w:rPr>
          <w:rFonts w:ascii="Arial" w:hAnsi="Arial" w:cs="Arial"/>
          <w:i/>
          <w:iCs/>
          <w:sz w:val="20"/>
        </w:rPr>
        <w:t>Статья 1004. Отказ комиссионера от исполнения договора комиссии</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1. Комиссионер не вправе, если иное не предусмотрено договором комиссии, отказаться от его исполнения, за исключением случая, когда договор заключен без указания срока его действия. В этом случае комиссионер должен уведомить комитента о прекращении договора не позднее чем за тридцать дней, если более продолжительный срок уведомления не предусмотрен договором.</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Комиссионер обязан принять меры, необходимые для обеспечения сохранности имущества комитента.</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2. Комитент должен распорядиться своим находящимся в ведении комиссионера имуществом в течение пятнадцати дней со дня получения уведомления об отказе комиссионера исполнить поручение, если договором комиссии не установлен иной срок. Если он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FD64D5" w:rsidRDefault="00FD64D5">
      <w:pPr>
        <w:pStyle w:val="a3"/>
        <w:spacing w:before="0" w:beforeAutospacing="0" w:after="0" w:afterAutospacing="0"/>
        <w:jc w:val="both"/>
        <w:rPr>
          <w:rFonts w:ascii="Arial" w:hAnsi="Arial" w:cs="Arial"/>
          <w:sz w:val="20"/>
        </w:rPr>
      </w:pPr>
      <w:r>
        <w:rPr>
          <w:rFonts w:ascii="Arial" w:hAnsi="Arial" w:cs="Arial"/>
          <w:sz w:val="20"/>
        </w:rPr>
        <w:t>3. Если договором комиссии не предусмотрено иное, комиссионер, отказавшийся от исполнения поручения, сохраняет право на комиссионное вознаграждение за сделки, совершенные им до прекращения договора, а также на возмещение понесенных до этого момента расходов.</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r>
        <w:rPr>
          <w:rFonts w:ascii="Arial" w:hAnsi="Arial" w:cs="Arial"/>
          <w:b/>
          <w:bCs/>
          <w:sz w:val="20"/>
          <w:u w:val="single"/>
        </w:rPr>
        <w:t>30. Фирменное наименование. Его отличие от товарного знака.</w:t>
      </w:r>
    </w:p>
    <w:p w:rsidR="00FD64D5" w:rsidRDefault="00FD64D5">
      <w:pPr>
        <w:jc w:val="both"/>
        <w:rPr>
          <w:rFonts w:ascii="Arial" w:hAnsi="Arial" w:cs="Arial"/>
          <w:b/>
          <w:bCs/>
          <w:sz w:val="20"/>
          <w:u w:val="single"/>
        </w:rPr>
      </w:pPr>
    </w:p>
    <w:p w:rsidR="00FD64D5" w:rsidRDefault="00FD64D5">
      <w:pPr>
        <w:jc w:val="both"/>
        <w:rPr>
          <w:rFonts w:ascii="Arial" w:hAnsi="Arial" w:cs="Arial"/>
          <w:b/>
          <w:bCs/>
          <w:sz w:val="20"/>
          <w:u w:val="single"/>
        </w:rPr>
      </w:pPr>
    </w:p>
    <w:p w:rsidR="00FD64D5" w:rsidRDefault="00FD64D5">
      <w:pPr>
        <w:pStyle w:val="a3"/>
        <w:jc w:val="both"/>
        <w:rPr>
          <w:rFonts w:ascii="Arial" w:hAnsi="Arial" w:cs="Arial"/>
          <w:sz w:val="20"/>
          <w:szCs w:val="20"/>
        </w:rPr>
      </w:pPr>
      <w:r>
        <w:rPr>
          <w:rFonts w:ascii="Arial" w:hAnsi="Arial" w:cs="Arial"/>
          <w:b/>
          <w:bCs/>
          <w:color w:val="495977"/>
          <w:sz w:val="20"/>
          <w:szCs w:val="20"/>
        </w:rPr>
        <w:t>ФИРМЕННЫЕ НАИМЕНОВАНИЯ</w:t>
      </w:r>
    </w:p>
    <w:p w:rsidR="00FD64D5" w:rsidRDefault="00FD64D5">
      <w:pPr>
        <w:pStyle w:val="a3"/>
        <w:jc w:val="both"/>
        <w:rPr>
          <w:rFonts w:ascii="Arial" w:hAnsi="Arial" w:cs="Arial"/>
          <w:sz w:val="20"/>
          <w:szCs w:val="20"/>
        </w:rPr>
      </w:pPr>
      <w:r>
        <w:rPr>
          <w:rFonts w:ascii="Arial" w:hAnsi="Arial" w:cs="Arial"/>
          <w:sz w:val="20"/>
          <w:szCs w:val="20"/>
        </w:rPr>
        <w:t>Фирменные наименования обычно служат для распознавания предприятий и выделения их среди других. Если товарный знак позволяет отличать товары или услуги предприятия, то фирменное наименование указывает на предприятие без какой-либо ссылки на поставляемые им на рынок товары или услуги и характеризует репутацию и положение предприятия в целом. Следовательно, фирменное наименование является ценным достоянием того предприятия, которому оно принадлежит. Это наименование служит также полезным источником информации для потребителей. Поэтому в интересах как производителей, так и потребителей, чтобы фирменные наименования охранялись и чтобы принимались юридические меры против такого использования фирменных наименований, которое может дезориентировать или ввести в заблуждение потребителей.</w:t>
      </w:r>
    </w:p>
    <w:p w:rsidR="00FD64D5" w:rsidRDefault="00FD64D5">
      <w:pPr>
        <w:pStyle w:val="a3"/>
        <w:jc w:val="both"/>
        <w:rPr>
          <w:rFonts w:ascii="Arial" w:hAnsi="Arial" w:cs="Arial"/>
          <w:sz w:val="20"/>
          <w:szCs w:val="20"/>
        </w:rPr>
      </w:pPr>
      <w:r>
        <w:rPr>
          <w:rFonts w:ascii="Arial" w:hAnsi="Arial" w:cs="Arial"/>
          <w:sz w:val="20"/>
          <w:szCs w:val="20"/>
        </w:rPr>
        <w:t xml:space="preserve">Охрана фирменных наименований предусмотрена большинством национальных законодательств. Однако правовые режимы, которым подчиняются фирменные наименования, значительно различаются в разных странах, поскольку определяются положениями гражданского и торгового права, регулирующими деятельность компаний, юридическими предписаниями о товарных знаках и (или) о пресечении недобросовестной конкуренции, а также нередко специальными законами о фирменных наименованиях. Во многих странах разработаны системы регистрации фирменных наименований, но эти системы существенно различаются как по территориальному охвату (действие на местном уровне и (или) в пределах всей страны), так и по правовым последствиям регистрации. В России охрана фирменных наименований предусматривается ст. 138 </w:t>
      </w:r>
      <w:r>
        <w:rPr>
          <w:rFonts w:ascii="Arial" w:hAnsi="Arial" w:cs="Arial"/>
          <w:b/>
          <w:bCs/>
          <w:sz w:val="20"/>
          <w:szCs w:val="20"/>
        </w:rPr>
        <w:t>Гражданского Кодекса</w:t>
      </w:r>
      <w:r>
        <w:rPr>
          <w:rFonts w:ascii="Arial" w:hAnsi="Arial" w:cs="Arial"/>
          <w:sz w:val="20"/>
          <w:szCs w:val="20"/>
        </w:rPr>
        <w:t xml:space="preserve"> Российской Федерации.</w:t>
      </w:r>
    </w:p>
    <w:p w:rsidR="00FD64D5" w:rsidRDefault="00FD64D5">
      <w:pPr>
        <w:pStyle w:val="a3"/>
        <w:jc w:val="both"/>
        <w:rPr>
          <w:rFonts w:ascii="Arial" w:hAnsi="Arial" w:cs="Arial"/>
          <w:sz w:val="20"/>
          <w:szCs w:val="20"/>
        </w:rPr>
      </w:pPr>
      <w:r>
        <w:rPr>
          <w:rFonts w:ascii="Arial" w:hAnsi="Arial" w:cs="Arial"/>
          <w:sz w:val="20"/>
          <w:szCs w:val="20"/>
        </w:rPr>
        <w:t>Главная причина введения защиты фирменных наименований от незаконного использования состоит в том, что поскольку они служат для распознавания определенного предприятия и выделения его среди других, в случае использования одинаковых или трудноразличимых фирменных наименований потребители могут быть введены в заблуждение, полагая, что их владельцы фактически представляют одно и то же предприятие. Такая дезориентация не только наносит ущерб потребителям, но также дает возможность фирме отвлечь на себя часть объема продаж владельца раньше зарегистрированного фирменного наименования благодаря репутации этого наименованич и тем самым извлечь прибыль недобросовестным способом.</w:t>
      </w:r>
    </w:p>
    <w:p w:rsidR="00FD64D5" w:rsidRDefault="00FD64D5">
      <w:pPr>
        <w:pStyle w:val="a3"/>
        <w:jc w:val="both"/>
        <w:rPr>
          <w:rFonts w:ascii="Arial" w:hAnsi="Arial" w:cs="Arial"/>
          <w:sz w:val="20"/>
          <w:szCs w:val="20"/>
        </w:rPr>
      </w:pPr>
      <w:r>
        <w:rPr>
          <w:rFonts w:ascii="Arial" w:hAnsi="Arial" w:cs="Arial"/>
          <w:sz w:val="20"/>
          <w:szCs w:val="20"/>
        </w:rPr>
        <w:t xml:space="preserve">Существенным моментом юридической защиты фирменных наименований является предотвращение параллельного неправомочного использования предприятием фирменного наименования, которое идентично наименованию другого предприятия, имеющего право требовать защиты своего фирменного наименования, или трудноотличимо от него. </w:t>
      </w:r>
    </w:p>
    <w:p w:rsidR="00FD64D5" w:rsidRDefault="00FD64D5">
      <w:pPr>
        <w:pStyle w:val="a3"/>
        <w:jc w:val="both"/>
        <w:rPr>
          <w:rFonts w:ascii="Arial" w:hAnsi="Arial" w:cs="Arial"/>
          <w:color w:val="663333"/>
          <w:sz w:val="20"/>
          <w:szCs w:val="20"/>
        </w:rPr>
      </w:pPr>
      <w:r>
        <w:rPr>
          <w:rFonts w:ascii="Arial" w:hAnsi="Arial" w:cs="Arial"/>
          <w:color w:val="663333"/>
          <w:sz w:val="20"/>
          <w:szCs w:val="20"/>
        </w:rPr>
        <w:t>В соответствии с национальным законом о Фирменных</w:t>
      </w:r>
      <w:r>
        <w:rPr>
          <w:rFonts w:ascii="Arial" w:hAnsi="Arial" w:cs="Arial"/>
          <w:color w:val="663333"/>
          <w:sz w:val="20"/>
          <w:szCs w:val="20"/>
        </w:rPr>
        <w:br/>
        <w:t>Наименованиях исключительные права на фирменное наименование в нашей стране обеспечиваются только путем регистрации его в Литовском ГПБ.</w:t>
      </w:r>
      <w:r>
        <w:rPr>
          <w:rFonts w:ascii="Arial" w:hAnsi="Arial" w:cs="Arial"/>
          <w:color w:val="663333"/>
          <w:sz w:val="20"/>
          <w:szCs w:val="20"/>
        </w:rPr>
        <w:br/>
        <w:t>Срок регистрации фирменного наименования не ограничен,</w:t>
      </w:r>
      <w:r>
        <w:rPr>
          <w:rFonts w:ascii="Arial" w:hAnsi="Arial" w:cs="Arial"/>
          <w:color w:val="663333"/>
          <w:sz w:val="20"/>
          <w:szCs w:val="20"/>
        </w:rPr>
        <w:br/>
        <w:t>аннулирование регистрации может быть связано с аннулированием предприятия, изменением его имени и т.д.</w:t>
      </w:r>
      <w:r>
        <w:rPr>
          <w:rFonts w:ascii="Arial" w:hAnsi="Arial" w:cs="Arial"/>
          <w:color w:val="663333"/>
          <w:sz w:val="20"/>
          <w:szCs w:val="20"/>
        </w:rPr>
        <w:br/>
        <w:t>Для подачи заявки на регистрацию наименования необходимо представить следующие документы и информацию:</w:t>
      </w:r>
    </w:p>
    <w:p w:rsidR="00FD64D5" w:rsidRDefault="00FD64D5">
      <w:pPr>
        <w:numPr>
          <w:ilvl w:val="0"/>
          <w:numId w:val="22"/>
        </w:numPr>
        <w:spacing w:before="100" w:beforeAutospacing="1" w:after="100" w:afterAutospacing="1"/>
        <w:jc w:val="both"/>
        <w:rPr>
          <w:rFonts w:ascii="Arial" w:hAnsi="Arial" w:cs="Arial"/>
          <w:color w:val="663333"/>
          <w:sz w:val="20"/>
          <w:szCs w:val="20"/>
        </w:rPr>
      </w:pPr>
      <w:r>
        <w:rPr>
          <w:rFonts w:ascii="Arial" w:hAnsi="Arial" w:cs="Arial"/>
          <w:color w:val="663333"/>
          <w:sz w:val="20"/>
          <w:szCs w:val="20"/>
        </w:rPr>
        <w:t xml:space="preserve">заявление на регистрацию фирменного наименования (по установленной форме); </w:t>
      </w:r>
    </w:p>
    <w:p w:rsidR="00FD64D5" w:rsidRDefault="00FD64D5">
      <w:pPr>
        <w:numPr>
          <w:ilvl w:val="0"/>
          <w:numId w:val="22"/>
        </w:numPr>
        <w:spacing w:before="100" w:beforeAutospacing="1" w:after="100" w:afterAutospacing="1"/>
        <w:jc w:val="both"/>
        <w:rPr>
          <w:rFonts w:ascii="Arial" w:hAnsi="Arial" w:cs="Arial"/>
          <w:color w:val="663333"/>
          <w:sz w:val="20"/>
          <w:szCs w:val="20"/>
        </w:rPr>
      </w:pPr>
      <w:r>
        <w:rPr>
          <w:rFonts w:ascii="Arial" w:hAnsi="Arial" w:cs="Arial"/>
          <w:color w:val="663333"/>
          <w:sz w:val="20"/>
          <w:szCs w:val="20"/>
        </w:rPr>
        <w:t>документ в подтверждение оплаты государственной пошлины;</w:t>
      </w:r>
    </w:p>
    <w:p w:rsidR="00FD64D5" w:rsidRDefault="00FD64D5">
      <w:pPr>
        <w:numPr>
          <w:ilvl w:val="0"/>
          <w:numId w:val="22"/>
        </w:numPr>
        <w:spacing w:before="100" w:beforeAutospacing="1" w:after="100" w:afterAutospacing="1"/>
        <w:jc w:val="both"/>
        <w:rPr>
          <w:rFonts w:ascii="Arial" w:hAnsi="Arial" w:cs="Arial"/>
          <w:color w:val="663333"/>
          <w:sz w:val="20"/>
          <w:szCs w:val="20"/>
        </w:rPr>
      </w:pPr>
      <w:r>
        <w:rPr>
          <w:rFonts w:ascii="Arial" w:hAnsi="Arial" w:cs="Arial"/>
          <w:color w:val="663333"/>
          <w:sz w:val="20"/>
          <w:szCs w:val="20"/>
        </w:rPr>
        <w:t>Доверенность (если заявление на регистрацию подписывает уполномоченное лицо или представитель);</w:t>
      </w:r>
    </w:p>
    <w:p w:rsidR="00FD64D5" w:rsidRDefault="00FD64D5">
      <w:pPr>
        <w:numPr>
          <w:ilvl w:val="0"/>
          <w:numId w:val="22"/>
        </w:numPr>
        <w:spacing w:before="100" w:beforeAutospacing="1" w:after="100" w:afterAutospacing="1"/>
        <w:jc w:val="both"/>
        <w:rPr>
          <w:rFonts w:ascii="Arial" w:hAnsi="Arial" w:cs="Arial"/>
          <w:color w:val="663333"/>
          <w:sz w:val="20"/>
          <w:szCs w:val="20"/>
        </w:rPr>
      </w:pPr>
      <w:r>
        <w:rPr>
          <w:rFonts w:ascii="Arial" w:hAnsi="Arial" w:cs="Arial"/>
          <w:color w:val="663333"/>
          <w:sz w:val="20"/>
          <w:szCs w:val="20"/>
        </w:rPr>
        <w:t xml:space="preserve">письменное согласие на использование наименования или части наименования другого владельца, если это наименование входит в состав регистрируемого наименования; </w:t>
      </w:r>
    </w:p>
    <w:p w:rsidR="00FD64D5" w:rsidRDefault="00FD64D5">
      <w:pPr>
        <w:numPr>
          <w:ilvl w:val="0"/>
          <w:numId w:val="22"/>
        </w:numPr>
        <w:spacing w:before="100" w:beforeAutospacing="1" w:after="100" w:afterAutospacing="1"/>
        <w:jc w:val="both"/>
        <w:rPr>
          <w:rFonts w:ascii="Arial" w:hAnsi="Arial" w:cs="Arial"/>
          <w:color w:val="663333"/>
          <w:sz w:val="20"/>
          <w:szCs w:val="20"/>
        </w:rPr>
      </w:pPr>
      <w:r>
        <w:rPr>
          <w:rFonts w:ascii="Arial" w:hAnsi="Arial" w:cs="Arial"/>
          <w:color w:val="663333"/>
          <w:sz w:val="20"/>
          <w:szCs w:val="20"/>
        </w:rPr>
        <w:t>легализированная копия регистрационного свидетельства</w:t>
      </w:r>
      <w:r>
        <w:rPr>
          <w:rFonts w:ascii="Arial" w:hAnsi="Arial" w:cs="Arial"/>
          <w:color w:val="663333"/>
          <w:sz w:val="20"/>
          <w:szCs w:val="20"/>
        </w:rPr>
        <w:br/>
        <w:t xml:space="preserve">иностранной компании или соответсвующий ей документ, а также перевод этой копии или документа на литовский язык (в случае регистрации фирменного наименования на имя иностранного заявителя). </w:t>
      </w:r>
    </w:p>
    <w:p w:rsidR="00FD64D5" w:rsidRDefault="00FD64D5">
      <w:pPr>
        <w:pStyle w:val="a3"/>
        <w:spacing w:before="0" w:beforeAutospacing="0" w:after="0" w:afterAutospacing="0"/>
        <w:jc w:val="both"/>
        <w:rPr>
          <w:rFonts w:ascii="Arial" w:hAnsi="Arial" w:cs="Arial"/>
          <w:color w:val="663333"/>
          <w:sz w:val="20"/>
          <w:szCs w:val="20"/>
        </w:rPr>
      </w:pPr>
      <w:r>
        <w:rPr>
          <w:rFonts w:ascii="Arial" w:hAnsi="Arial" w:cs="Arial"/>
          <w:color w:val="663333"/>
          <w:sz w:val="20"/>
          <w:szCs w:val="20"/>
        </w:rPr>
        <w:t>Экспертиза фирменных наименований проводится в течение 3 дней после даты подачи заявки на регистрацию.</w:t>
      </w:r>
      <w:r>
        <w:rPr>
          <w:rFonts w:ascii="Arial" w:hAnsi="Arial" w:cs="Arial"/>
          <w:color w:val="663333"/>
          <w:sz w:val="20"/>
          <w:szCs w:val="20"/>
        </w:rPr>
        <w:br/>
      </w:r>
      <w:r>
        <w:rPr>
          <w:rFonts w:ascii="Arial" w:hAnsi="Arial" w:cs="Arial"/>
          <w:color w:val="663333"/>
          <w:sz w:val="20"/>
          <w:szCs w:val="20"/>
        </w:rPr>
        <w:br/>
        <w:t>Принцип старших прав применим к конфликтам, которые могут возникнуть между владельцами зарегистрированных фирменных наименований и товарных знаков. Однако процедура разрешения этих конфликтов различна. Если владельцы фирменных наименований могут воспрепятствовать регистрации идентичных или сходных товарных знаков путем опротестования в Апелляционном Совете (в течение 3 месяцев после публикации ТЗ) и путем подачи иска в суд (после выдачи регистрационного свидетельства), владельцы ТЗ могут сделать это только в судебном порядке.</w:t>
      </w:r>
    </w:p>
    <w:p w:rsidR="00FD64D5" w:rsidRDefault="00FD64D5">
      <w:pPr>
        <w:pStyle w:val="a3"/>
        <w:spacing w:before="0" w:beforeAutospacing="0" w:after="0" w:afterAutospacing="0"/>
        <w:jc w:val="both"/>
        <w:rPr>
          <w:rFonts w:ascii="Arial" w:hAnsi="Arial" w:cs="Arial"/>
          <w:color w:val="663333"/>
          <w:sz w:val="20"/>
          <w:szCs w:val="20"/>
        </w:rPr>
      </w:pPr>
      <w:r>
        <w:rPr>
          <w:rFonts w:ascii="Arial" w:hAnsi="Arial" w:cs="Arial"/>
          <w:color w:val="663333"/>
          <w:sz w:val="20"/>
          <w:szCs w:val="20"/>
        </w:rPr>
        <w:t>В течение 1 года с даты регистрации фирменного наименования его владелец должен зарегистрировать и соответствующее предприятие под таким наименованием. В противном случае регистрация фирменного наименования теряет силу.</w:t>
      </w:r>
    </w:p>
    <w:p w:rsidR="00FD64D5" w:rsidRDefault="00FD64D5">
      <w:pPr>
        <w:jc w:val="both"/>
        <w:rPr>
          <w:rFonts w:ascii="Arial" w:hAnsi="Arial" w:cs="Arial"/>
          <w:b/>
          <w:bCs/>
          <w:sz w:val="20"/>
          <w:u w:val="single"/>
        </w:rPr>
      </w:pPr>
    </w:p>
    <w:p w:rsidR="00FD64D5" w:rsidRDefault="00FD64D5">
      <w:pPr>
        <w:pStyle w:val="a3"/>
        <w:jc w:val="both"/>
        <w:rPr>
          <w:rFonts w:ascii="Arial" w:hAnsi="Arial" w:cs="Arial"/>
          <w:sz w:val="20"/>
        </w:rPr>
      </w:pPr>
      <w:r>
        <w:rPr>
          <w:rStyle w:val="a6"/>
          <w:rFonts w:ascii="Arial" w:hAnsi="Arial" w:cs="Arial"/>
          <w:sz w:val="20"/>
          <w:szCs w:val="27"/>
        </w:rPr>
        <w:t>Что такое товарный знак?  </w:t>
      </w:r>
    </w:p>
    <w:p w:rsidR="00FD64D5" w:rsidRDefault="00FD64D5">
      <w:pPr>
        <w:pStyle w:val="a3"/>
        <w:jc w:val="both"/>
        <w:rPr>
          <w:rFonts w:ascii="Arial" w:hAnsi="Arial" w:cs="Arial"/>
          <w:sz w:val="20"/>
        </w:rPr>
      </w:pPr>
      <w:r>
        <w:rPr>
          <w:rStyle w:val="a7"/>
          <w:rFonts w:ascii="Arial" w:hAnsi="Arial" w:cs="Arial"/>
          <w:sz w:val="20"/>
        </w:rPr>
        <w:t xml:space="preserve">   </w:t>
      </w:r>
    </w:p>
    <w:p w:rsidR="00FD64D5" w:rsidRDefault="00FD64D5">
      <w:pPr>
        <w:jc w:val="both"/>
        <w:rPr>
          <w:rFonts w:ascii="Arial" w:hAnsi="Arial" w:cs="Arial"/>
          <w:sz w:val="20"/>
        </w:rPr>
      </w:pPr>
      <w:r>
        <w:rPr>
          <w:rFonts w:ascii="Arial" w:hAnsi="Arial" w:cs="Arial"/>
          <w:b/>
          <w:bCs/>
          <w:sz w:val="20"/>
        </w:rPr>
        <w:t>  Товарный знак и знак обслуживания - это обозначения, способные отличать соответственно товары и услуги одних юридических и физических лиц от однородных товаров и услуг других юридических и физических лиц. В качестве товарных знаков и знаков обслуживания могут быть зарегистрированы словесные, изобразительные, объемные и другие обозначения и их комбинации.</w:t>
      </w:r>
    </w:p>
    <w:p w:rsidR="00FD64D5" w:rsidRDefault="00FD64D5">
      <w:pPr>
        <w:jc w:val="both"/>
        <w:rPr>
          <w:rFonts w:ascii="Arial" w:hAnsi="Arial" w:cs="Arial"/>
          <w:sz w:val="20"/>
        </w:rPr>
      </w:pPr>
      <w:r>
        <w:rPr>
          <w:rFonts w:ascii="Arial" w:hAnsi="Arial" w:cs="Arial"/>
          <w:b/>
          <w:bCs/>
          <w:color w:val="FF0033"/>
          <w:sz w:val="20"/>
          <w:szCs w:val="27"/>
        </w:rPr>
        <w:t>  Т</w:t>
      </w:r>
      <w:r>
        <w:rPr>
          <w:rFonts w:ascii="Arial" w:hAnsi="Arial" w:cs="Arial"/>
          <w:sz w:val="20"/>
        </w:rPr>
        <w:t>оварный знак, возможно, берет свое начало от клейма, которым скотовод когда-то метил своих коров. В современном мире формы существования этих обозначений принадлежности значительно расширились. Например, радиостанция может иметь звуковой знак, а знаком винодельческой фирмы может быть форма бутылки. Особенно интригует возможность зарегистрировать в качестве знака "другие обозначения". Для изобретательного коммерсанта эта возможность - просто золотое дно, если, конечно, его не пугает возможный консерватизм государственного регистрирующего органа.</w:t>
      </w:r>
    </w:p>
    <w:p w:rsidR="00FD64D5" w:rsidRDefault="00FD64D5">
      <w:pPr>
        <w:jc w:val="both"/>
        <w:rPr>
          <w:rFonts w:ascii="Arial" w:hAnsi="Arial" w:cs="Arial"/>
          <w:b/>
          <w:bCs/>
          <w:sz w:val="20"/>
          <w:u w:val="single"/>
        </w:rPr>
      </w:pPr>
    </w:p>
    <w:p w:rsidR="00FD64D5" w:rsidRDefault="00FD64D5">
      <w:pPr>
        <w:pStyle w:val="a3"/>
        <w:jc w:val="both"/>
        <w:rPr>
          <w:rFonts w:ascii="Arial" w:hAnsi="Arial" w:cs="Arial"/>
          <w:sz w:val="20"/>
        </w:rPr>
      </w:pPr>
      <w:r>
        <w:rPr>
          <w:rFonts w:ascii="Arial" w:hAnsi="Arial" w:cs="Arial" w:hint="eastAsia"/>
          <w:sz w:val="20"/>
        </w:rPr>
        <w:t>Товарный</w:t>
      </w:r>
      <w:r>
        <w:rPr>
          <w:rFonts w:ascii="Arial" w:hAnsi="Arial" w:cs="Arial" w:hint="eastAsia"/>
          <w:sz w:val="20"/>
        </w:rPr>
        <w:t xml:space="preserve"> </w:t>
      </w:r>
      <w:r>
        <w:rPr>
          <w:rFonts w:ascii="Arial" w:hAnsi="Arial" w:cs="Arial" w:hint="eastAsia"/>
          <w:sz w:val="20"/>
        </w:rPr>
        <w:t>знак</w:t>
      </w:r>
      <w:r>
        <w:rPr>
          <w:rFonts w:ascii="Arial" w:hAnsi="Arial" w:cs="Arial" w:hint="eastAsia"/>
          <w:sz w:val="20"/>
        </w:rPr>
        <w:t xml:space="preserve"> </w:t>
      </w:r>
      <w:r>
        <w:rPr>
          <w:rFonts w:ascii="Arial" w:hAnsi="Arial" w:cs="Arial" w:hint="eastAsia"/>
          <w:sz w:val="20"/>
        </w:rPr>
        <w:t>–</w:t>
      </w:r>
      <w:r>
        <w:rPr>
          <w:rFonts w:ascii="Arial" w:hAnsi="Arial" w:cs="Arial" w:hint="eastAsia"/>
          <w:sz w:val="20"/>
        </w:rPr>
        <w:t xml:space="preserve"> </w:t>
      </w:r>
      <w:r>
        <w:rPr>
          <w:rFonts w:ascii="Arial" w:hAnsi="Arial" w:cs="Arial" w:hint="eastAsia"/>
          <w:sz w:val="20"/>
        </w:rPr>
        <w:t>это</w:t>
      </w:r>
      <w:r>
        <w:rPr>
          <w:rFonts w:ascii="Arial" w:hAnsi="Arial" w:cs="Arial" w:hint="eastAsia"/>
          <w:sz w:val="20"/>
        </w:rPr>
        <w:t xml:space="preserve"> </w:t>
      </w:r>
      <w:r>
        <w:rPr>
          <w:rFonts w:ascii="Arial" w:hAnsi="Arial" w:cs="Arial" w:hint="eastAsia"/>
          <w:sz w:val="20"/>
        </w:rPr>
        <w:t>обозначение</w:t>
      </w:r>
      <w:r>
        <w:rPr>
          <w:rFonts w:ascii="Arial" w:hAnsi="Arial" w:cs="Arial" w:hint="eastAsia"/>
          <w:sz w:val="20"/>
        </w:rPr>
        <w:t xml:space="preserve">, </w:t>
      </w:r>
      <w:r>
        <w:rPr>
          <w:rFonts w:ascii="Arial" w:hAnsi="Arial" w:cs="Arial" w:hint="eastAsia"/>
          <w:sz w:val="20"/>
        </w:rPr>
        <w:t>предназначенное</w:t>
      </w:r>
      <w:r>
        <w:rPr>
          <w:rFonts w:ascii="Arial" w:hAnsi="Arial" w:cs="Arial" w:hint="eastAsia"/>
          <w:sz w:val="20"/>
        </w:rPr>
        <w:t xml:space="preserve"> </w:t>
      </w:r>
      <w:r>
        <w:rPr>
          <w:rFonts w:ascii="Arial" w:hAnsi="Arial" w:cs="Arial" w:hint="eastAsia"/>
          <w:sz w:val="20"/>
        </w:rPr>
        <w:t>для</w:t>
      </w:r>
      <w:r>
        <w:rPr>
          <w:rFonts w:ascii="Arial" w:hAnsi="Arial" w:cs="Arial" w:hint="eastAsia"/>
          <w:sz w:val="20"/>
        </w:rPr>
        <w:t xml:space="preserve"> </w:t>
      </w:r>
      <w:r>
        <w:rPr>
          <w:rFonts w:ascii="Arial" w:hAnsi="Arial" w:cs="Arial" w:hint="eastAsia"/>
          <w:sz w:val="20"/>
        </w:rPr>
        <w:t>отличия</w:t>
      </w:r>
      <w:r>
        <w:rPr>
          <w:rFonts w:ascii="Arial" w:hAnsi="Arial" w:cs="Arial" w:hint="eastAsia"/>
          <w:sz w:val="20"/>
        </w:rPr>
        <w:t xml:space="preserve"> </w:t>
      </w:r>
      <w:r>
        <w:rPr>
          <w:rFonts w:ascii="Arial" w:hAnsi="Arial" w:cs="Arial" w:hint="eastAsia"/>
          <w:sz w:val="20"/>
        </w:rPr>
        <w:t>товаров</w:t>
      </w:r>
      <w:r>
        <w:rPr>
          <w:rFonts w:ascii="Arial" w:hAnsi="Arial" w:cs="Arial" w:hint="eastAsia"/>
          <w:sz w:val="20"/>
        </w:rPr>
        <w:t xml:space="preserve"> </w:t>
      </w:r>
      <w:r>
        <w:rPr>
          <w:rFonts w:ascii="Arial" w:hAnsi="Arial" w:cs="Arial" w:hint="eastAsia"/>
          <w:sz w:val="20"/>
        </w:rPr>
        <w:t>одних</w:t>
      </w:r>
      <w:r>
        <w:rPr>
          <w:rFonts w:ascii="Arial" w:hAnsi="Arial" w:cs="Arial"/>
          <w:sz w:val="20"/>
        </w:rPr>
        <w:t xml:space="preserve"> </w:t>
      </w:r>
      <w:r>
        <w:rPr>
          <w:rFonts w:ascii="Arial" w:hAnsi="Arial" w:cs="Arial" w:hint="eastAsia"/>
          <w:sz w:val="20"/>
        </w:rPr>
        <w:t>производителей</w:t>
      </w:r>
      <w:r>
        <w:rPr>
          <w:rFonts w:ascii="Arial" w:hAnsi="Arial" w:cs="Arial" w:hint="eastAsia"/>
          <w:sz w:val="20"/>
        </w:rPr>
        <w:t xml:space="preserve"> </w:t>
      </w:r>
      <w:r>
        <w:rPr>
          <w:rFonts w:ascii="Arial" w:hAnsi="Arial" w:cs="Arial" w:hint="eastAsia"/>
          <w:sz w:val="20"/>
        </w:rPr>
        <w:t>от</w:t>
      </w:r>
      <w:r>
        <w:rPr>
          <w:rFonts w:ascii="Arial" w:hAnsi="Arial" w:cs="Arial" w:hint="eastAsia"/>
          <w:sz w:val="20"/>
        </w:rPr>
        <w:t xml:space="preserve"> </w:t>
      </w:r>
      <w:r>
        <w:rPr>
          <w:rFonts w:ascii="Arial" w:hAnsi="Arial" w:cs="Arial" w:hint="eastAsia"/>
          <w:sz w:val="20"/>
        </w:rPr>
        <w:t>подобных</w:t>
      </w:r>
      <w:r>
        <w:rPr>
          <w:rFonts w:ascii="Arial" w:hAnsi="Arial" w:cs="Arial" w:hint="eastAsia"/>
          <w:sz w:val="20"/>
        </w:rPr>
        <w:t xml:space="preserve"> </w:t>
      </w:r>
      <w:r>
        <w:rPr>
          <w:rFonts w:ascii="Arial" w:hAnsi="Arial" w:cs="Arial" w:hint="eastAsia"/>
          <w:sz w:val="20"/>
        </w:rPr>
        <w:t>товаров</w:t>
      </w:r>
      <w:r>
        <w:rPr>
          <w:rFonts w:ascii="Arial" w:hAnsi="Arial" w:cs="Arial" w:hint="eastAsia"/>
          <w:sz w:val="20"/>
        </w:rPr>
        <w:t xml:space="preserve"> </w:t>
      </w:r>
      <w:r>
        <w:rPr>
          <w:rFonts w:ascii="Arial" w:hAnsi="Arial" w:cs="Arial" w:hint="eastAsia"/>
          <w:sz w:val="20"/>
        </w:rPr>
        <w:t>других</w:t>
      </w:r>
      <w:r>
        <w:rPr>
          <w:rFonts w:ascii="Arial" w:hAnsi="Arial" w:cs="Arial" w:hint="eastAsia"/>
          <w:sz w:val="20"/>
        </w:rPr>
        <w:t xml:space="preserve"> </w:t>
      </w:r>
      <w:r>
        <w:rPr>
          <w:rFonts w:ascii="Arial" w:hAnsi="Arial" w:cs="Arial" w:hint="eastAsia"/>
          <w:sz w:val="20"/>
        </w:rPr>
        <w:t>производителей</w:t>
      </w:r>
      <w:r>
        <w:rPr>
          <w:rFonts w:ascii="Arial" w:hAnsi="Arial" w:cs="Arial" w:hint="eastAsia"/>
          <w:sz w:val="20"/>
        </w:rPr>
        <w:t xml:space="preserve"> (</w:t>
      </w:r>
      <w:r>
        <w:rPr>
          <w:rFonts w:ascii="Arial" w:hAnsi="Arial" w:cs="Arial" w:hint="eastAsia"/>
          <w:sz w:val="20"/>
        </w:rPr>
        <w:t>ст</w:t>
      </w:r>
      <w:r>
        <w:rPr>
          <w:rFonts w:ascii="Arial" w:hAnsi="Arial" w:cs="Arial" w:hint="eastAsia"/>
          <w:sz w:val="20"/>
        </w:rPr>
        <w:t xml:space="preserve">.1 </w:t>
      </w:r>
      <w:r>
        <w:rPr>
          <w:rFonts w:ascii="Arial" w:hAnsi="Arial" w:cs="Arial" w:hint="eastAsia"/>
          <w:sz w:val="20"/>
        </w:rPr>
        <w:t>Закона</w:t>
      </w:r>
      <w:r>
        <w:rPr>
          <w:rFonts w:ascii="Arial" w:hAnsi="Arial" w:cs="Arial" w:hint="eastAsia"/>
          <w:sz w:val="20"/>
        </w:rPr>
        <w:t xml:space="preserve"> </w:t>
      </w:r>
      <w:r>
        <w:rPr>
          <w:rFonts w:ascii="Arial" w:hAnsi="Arial" w:cs="Arial" w:hint="eastAsia"/>
          <w:sz w:val="20"/>
        </w:rPr>
        <w:t>Российской</w:t>
      </w:r>
      <w:r>
        <w:rPr>
          <w:rFonts w:ascii="Arial" w:hAnsi="Arial" w:cs="Arial"/>
          <w:sz w:val="20"/>
        </w:rPr>
        <w:t xml:space="preserve"> </w:t>
      </w:r>
      <w:r>
        <w:rPr>
          <w:rFonts w:ascii="Arial" w:hAnsi="Arial" w:cs="Arial" w:hint="eastAsia"/>
          <w:sz w:val="20"/>
        </w:rPr>
        <w:t>Федерации</w:t>
      </w:r>
      <w:r>
        <w:rPr>
          <w:rFonts w:ascii="Arial" w:hAnsi="Arial" w:cs="Arial" w:hint="eastAsia"/>
          <w:sz w:val="20"/>
        </w:rPr>
        <w:t xml:space="preserve"> </w:t>
      </w:r>
      <w:r>
        <w:rPr>
          <w:rFonts w:ascii="Arial" w:hAnsi="Arial" w:cs="Arial" w:hint="eastAsia"/>
          <w:sz w:val="20"/>
        </w:rPr>
        <w:t>от</w:t>
      </w:r>
      <w:r>
        <w:rPr>
          <w:rFonts w:ascii="Arial" w:hAnsi="Arial" w:cs="Arial" w:hint="eastAsia"/>
          <w:sz w:val="20"/>
        </w:rPr>
        <w:t xml:space="preserve"> 23.09.92 </w:t>
      </w:r>
      <w:r>
        <w:rPr>
          <w:rFonts w:ascii="Arial" w:hAnsi="Arial" w:cs="Arial" w:hint="eastAsia"/>
          <w:sz w:val="20"/>
        </w:rPr>
        <w:t>г</w:t>
      </w:r>
      <w:r>
        <w:rPr>
          <w:rFonts w:ascii="Arial" w:hAnsi="Arial" w:cs="Arial" w:hint="eastAsia"/>
          <w:sz w:val="20"/>
        </w:rPr>
        <w:t>. N 3520-1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ред</w:t>
      </w:r>
      <w:r>
        <w:rPr>
          <w:rFonts w:ascii="Arial" w:hAnsi="Arial" w:cs="Arial" w:hint="eastAsia"/>
          <w:sz w:val="20"/>
        </w:rPr>
        <w:t xml:space="preserve">. </w:t>
      </w:r>
      <w:r>
        <w:rPr>
          <w:rFonts w:ascii="Arial" w:hAnsi="Arial" w:cs="Arial" w:hint="eastAsia"/>
          <w:sz w:val="20"/>
        </w:rPr>
        <w:t>от</w:t>
      </w:r>
      <w:r>
        <w:rPr>
          <w:rFonts w:ascii="Arial" w:hAnsi="Arial" w:cs="Arial" w:hint="eastAsia"/>
          <w:sz w:val="20"/>
        </w:rPr>
        <w:t xml:space="preserve"> 27.12.2000 </w:t>
      </w:r>
      <w:r>
        <w:rPr>
          <w:rFonts w:ascii="Arial" w:hAnsi="Arial" w:cs="Arial" w:hint="eastAsia"/>
          <w:sz w:val="20"/>
        </w:rPr>
        <w:t>г</w:t>
      </w:r>
      <w:r>
        <w:rPr>
          <w:rFonts w:ascii="Arial" w:hAnsi="Arial" w:cs="Arial" w:hint="eastAsia"/>
          <w:sz w:val="20"/>
        </w:rPr>
        <w:t>.) "</w:t>
      </w:r>
      <w:r>
        <w:rPr>
          <w:rFonts w:ascii="Arial" w:hAnsi="Arial" w:cs="Arial" w:hint="eastAsia"/>
          <w:sz w:val="20"/>
        </w:rPr>
        <w:t>О</w:t>
      </w:r>
      <w:r>
        <w:rPr>
          <w:rFonts w:ascii="Arial" w:hAnsi="Arial" w:cs="Arial" w:hint="eastAsia"/>
          <w:sz w:val="20"/>
        </w:rPr>
        <w:t xml:space="preserve"> </w:t>
      </w:r>
      <w:r>
        <w:rPr>
          <w:rFonts w:ascii="Arial" w:hAnsi="Arial" w:cs="Arial" w:hint="eastAsia"/>
          <w:sz w:val="20"/>
        </w:rPr>
        <w:t>товарных</w:t>
      </w:r>
      <w:r>
        <w:rPr>
          <w:rFonts w:ascii="Arial" w:hAnsi="Arial" w:cs="Arial" w:hint="eastAsia"/>
          <w:sz w:val="20"/>
        </w:rPr>
        <w:t xml:space="preserve"> </w:t>
      </w:r>
      <w:r>
        <w:rPr>
          <w:rFonts w:ascii="Arial" w:hAnsi="Arial" w:cs="Arial" w:hint="eastAsia"/>
          <w:sz w:val="20"/>
        </w:rPr>
        <w:t>знаках</w:t>
      </w:r>
      <w:r>
        <w:rPr>
          <w:rFonts w:ascii="Arial" w:hAnsi="Arial" w:cs="Arial" w:hint="eastAsia"/>
          <w:sz w:val="20"/>
        </w:rPr>
        <w:t>,</w:t>
      </w:r>
      <w:r>
        <w:rPr>
          <w:rFonts w:ascii="Arial" w:hAnsi="Arial" w:cs="Arial"/>
          <w:sz w:val="20"/>
        </w:rPr>
        <w:t xml:space="preserve"> </w:t>
      </w:r>
      <w:r>
        <w:rPr>
          <w:rFonts w:ascii="Arial" w:hAnsi="Arial" w:cs="Arial" w:hint="eastAsia"/>
          <w:sz w:val="20"/>
        </w:rPr>
        <w:t>знаках</w:t>
      </w:r>
      <w:r>
        <w:rPr>
          <w:rFonts w:ascii="Arial" w:hAnsi="Arial" w:cs="Arial" w:hint="eastAsia"/>
          <w:sz w:val="20"/>
        </w:rPr>
        <w:t xml:space="preserve"> </w:t>
      </w:r>
      <w:r>
        <w:rPr>
          <w:rFonts w:ascii="Arial" w:hAnsi="Arial" w:cs="Arial" w:hint="eastAsia"/>
          <w:sz w:val="20"/>
        </w:rPr>
        <w:t>обслуживания</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наименованиях</w:t>
      </w:r>
      <w:r>
        <w:rPr>
          <w:rFonts w:ascii="Arial" w:hAnsi="Arial" w:cs="Arial" w:hint="eastAsia"/>
          <w:sz w:val="20"/>
        </w:rPr>
        <w:t xml:space="preserve"> </w:t>
      </w:r>
      <w:r>
        <w:rPr>
          <w:rFonts w:ascii="Arial" w:hAnsi="Arial" w:cs="Arial" w:hint="eastAsia"/>
          <w:sz w:val="20"/>
        </w:rPr>
        <w:t>мест</w:t>
      </w:r>
      <w:r>
        <w:rPr>
          <w:rFonts w:ascii="Arial" w:hAnsi="Arial" w:cs="Arial" w:hint="eastAsia"/>
          <w:sz w:val="20"/>
        </w:rPr>
        <w:t xml:space="preserve"> </w:t>
      </w:r>
      <w:r>
        <w:rPr>
          <w:rFonts w:ascii="Arial" w:hAnsi="Arial" w:cs="Arial" w:hint="eastAsia"/>
          <w:sz w:val="20"/>
        </w:rPr>
        <w:t>происхождения</w:t>
      </w:r>
      <w:r>
        <w:rPr>
          <w:rFonts w:ascii="Arial" w:hAnsi="Arial" w:cs="Arial" w:hint="eastAsia"/>
          <w:sz w:val="20"/>
        </w:rPr>
        <w:t xml:space="preserve"> </w:t>
      </w:r>
      <w:r>
        <w:rPr>
          <w:rFonts w:ascii="Arial" w:hAnsi="Arial" w:cs="Arial" w:hint="eastAsia"/>
          <w:sz w:val="20"/>
        </w:rPr>
        <w:t>товаров</w:t>
      </w:r>
      <w:r>
        <w:rPr>
          <w:rFonts w:ascii="Arial" w:hAnsi="Arial" w:cs="Arial" w:hint="eastAsia"/>
          <w:sz w:val="20"/>
        </w:rPr>
        <w:t>").</w:t>
      </w:r>
    </w:p>
    <w:p w:rsidR="00FD64D5" w:rsidRDefault="00FD64D5">
      <w:pPr>
        <w:pStyle w:val="a3"/>
        <w:jc w:val="both"/>
        <w:rPr>
          <w:rFonts w:ascii="Arial" w:hAnsi="Arial" w:cs="Arial"/>
          <w:sz w:val="20"/>
        </w:rPr>
      </w:pPr>
      <w:r>
        <w:rPr>
          <w:rFonts w:ascii="Arial" w:hAnsi="Arial" w:cs="Arial" w:hint="eastAsia"/>
          <w:sz w:val="20"/>
        </w:rPr>
        <w:t>Владелец</w:t>
      </w:r>
      <w:r>
        <w:rPr>
          <w:rFonts w:ascii="Arial" w:hAnsi="Arial" w:cs="Arial" w:hint="eastAsia"/>
          <w:sz w:val="20"/>
        </w:rPr>
        <w:t xml:space="preserve"> </w:t>
      </w:r>
      <w:r>
        <w:rPr>
          <w:rFonts w:ascii="Arial" w:hAnsi="Arial" w:cs="Arial" w:hint="eastAsia"/>
          <w:sz w:val="20"/>
        </w:rPr>
        <w:t>товарного</w:t>
      </w:r>
      <w:r>
        <w:rPr>
          <w:rFonts w:ascii="Arial" w:hAnsi="Arial" w:cs="Arial" w:hint="eastAsia"/>
          <w:sz w:val="20"/>
        </w:rPr>
        <w:t xml:space="preserve"> </w:t>
      </w:r>
      <w:r>
        <w:rPr>
          <w:rFonts w:ascii="Arial" w:hAnsi="Arial" w:cs="Arial" w:hint="eastAsia"/>
          <w:sz w:val="20"/>
        </w:rPr>
        <w:t>знака</w:t>
      </w:r>
      <w:r>
        <w:rPr>
          <w:rFonts w:ascii="Arial" w:hAnsi="Arial" w:cs="Arial" w:hint="eastAsia"/>
          <w:sz w:val="20"/>
        </w:rPr>
        <w:t xml:space="preserve"> </w:t>
      </w:r>
      <w:r>
        <w:rPr>
          <w:rFonts w:ascii="Arial" w:hAnsi="Arial" w:cs="Arial" w:hint="eastAsia"/>
          <w:sz w:val="20"/>
        </w:rPr>
        <w:t>имеет</w:t>
      </w:r>
      <w:r>
        <w:rPr>
          <w:rFonts w:ascii="Arial" w:hAnsi="Arial" w:cs="Arial" w:hint="eastAsia"/>
          <w:sz w:val="20"/>
        </w:rPr>
        <w:t xml:space="preserve"> </w:t>
      </w:r>
      <w:r>
        <w:rPr>
          <w:rFonts w:ascii="Arial" w:hAnsi="Arial" w:cs="Arial" w:hint="eastAsia"/>
          <w:sz w:val="20"/>
        </w:rPr>
        <w:t>право</w:t>
      </w:r>
      <w:r>
        <w:rPr>
          <w:rFonts w:ascii="Arial" w:hAnsi="Arial" w:cs="Arial" w:hint="eastAsia"/>
          <w:sz w:val="20"/>
        </w:rPr>
        <w:t xml:space="preserve"> </w:t>
      </w:r>
      <w:r>
        <w:rPr>
          <w:rFonts w:ascii="Arial" w:hAnsi="Arial" w:cs="Arial" w:hint="eastAsia"/>
          <w:sz w:val="20"/>
        </w:rPr>
        <w:t>разрешать</w:t>
      </w:r>
      <w:r>
        <w:rPr>
          <w:rFonts w:ascii="Arial" w:hAnsi="Arial" w:cs="Arial" w:hint="eastAsia"/>
          <w:sz w:val="20"/>
        </w:rPr>
        <w:t xml:space="preserve"> </w:t>
      </w:r>
      <w:r>
        <w:rPr>
          <w:rFonts w:ascii="Arial" w:hAnsi="Arial" w:cs="Arial" w:hint="eastAsia"/>
          <w:sz w:val="20"/>
        </w:rPr>
        <w:t>или</w:t>
      </w:r>
      <w:r>
        <w:rPr>
          <w:rFonts w:ascii="Arial" w:hAnsi="Arial" w:cs="Arial" w:hint="eastAsia"/>
          <w:sz w:val="20"/>
        </w:rPr>
        <w:t xml:space="preserve"> </w:t>
      </w:r>
      <w:r>
        <w:rPr>
          <w:rFonts w:ascii="Arial" w:hAnsi="Arial" w:cs="Arial" w:hint="eastAsia"/>
          <w:sz w:val="20"/>
        </w:rPr>
        <w:t>запрещать</w:t>
      </w:r>
      <w:r>
        <w:rPr>
          <w:rFonts w:ascii="Arial" w:hAnsi="Arial" w:cs="Arial" w:hint="eastAsia"/>
          <w:sz w:val="20"/>
        </w:rPr>
        <w:t xml:space="preserve"> </w:t>
      </w:r>
      <w:r>
        <w:rPr>
          <w:rFonts w:ascii="Arial" w:hAnsi="Arial" w:cs="Arial" w:hint="eastAsia"/>
          <w:sz w:val="20"/>
        </w:rPr>
        <w:t>использовать</w:t>
      </w:r>
      <w:r>
        <w:rPr>
          <w:rFonts w:ascii="Arial" w:hAnsi="Arial" w:cs="Arial"/>
          <w:sz w:val="20"/>
        </w:rPr>
        <w:t xml:space="preserve"> </w:t>
      </w:r>
      <w:r>
        <w:rPr>
          <w:rFonts w:ascii="Arial" w:hAnsi="Arial" w:cs="Arial" w:hint="eastAsia"/>
          <w:sz w:val="20"/>
        </w:rPr>
        <w:t>товарный</w:t>
      </w:r>
      <w:r>
        <w:rPr>
          <w:rFonts w:ascii="Arial" w:hAnsi="Arial" w:cs="Arial" w:hint="eastAsia"/>
          <w:sz w:val="20"/>
        </w:rPr>
        <w:t xml:space="preserve"> </w:t>
      </w:r>
      <w:r>
        <w:rPr>
          <w:rFonts w:ascii="Arial" w:hAnsi="Arial" w:cs="Arial" w:hint="eastAsia"/>
          <w:sz w:val="20"/>
        </w:rPr>
        <w:t>знак</w:t>
      </w:r>
      <w:r>
        <w:rPr>
          <w:rFonts w:ascii="Arial" w:hAnsi="Arial" w:cs="Arial" w:hint="eastAsia"/>
          <w:sz w:val="20"/>
        </w:rPr>
        <w:t xml:space="preserve"> </w:t>
      </w:r>
      <w:r>
        <w:rPr>
          <w:rFonts w:ascii="Arial" w:hAnsi="Arial" w:cs="Arial" w:hint="eastAsia"/>
          <w:sz w:val="20"/>
        </w:rPr>
        <w:t>третьим</w:t>
      </w:r>
      <w:r>
        <w:rPr>
          <w:rFonts w:ascii="Arial" w:hAnsi="Arial" w:cs="Arial" w:hint="eastAsia"/>
          <w:sz w:val="20"/>
        </w:rPr>
        <w:t xml:space="preserve"> </w:t>
      </w:r>
      <w:r>
        <w:rPr>
          <w:rFonts w:ascii="Arial" w:hAnsi="Arial" w:cs="Arial" w:hint="eastAsia"/>
          <w:sz w:val="20"/>
        </w:rPr>
        <w:t>лицам</w:t>
      </w:r>
      <w:r>
        <w:rPr>
          <w:rFonts w:ascii="Arial" w:hAnsi="Arial" w:cs="Arial" w:hint="eastAsia"/>
          <w:sz w:val="20"/>
        </w:rPr>
        <w:t xml:space="preserve">. </w:t>
      </w:r>
      <w:r>
        <w:rPr>
          <w:rFonts w:ascii="Arial" w:hAnsi="Arial" w:cs="Arial" w:hint="eastAsia"/>
          <w:sz w:val="20"/>
        </w:rPr>
        <w:t>Использованием</w:t>
      </w:r>
      <w:r>
        <w:rPr>
          <w:rFonts w:ascii="Arial" w:hAnsi="Arial" w:cs="Arial" w:hint="eastAsia"/>
          <w:sz w:val="20"/>
        </w:rPr>
        <w:t xml:space="preserve"> </w:t>
      </w:r>
      <w:r>
        <w:rPr>
          <w:rFonts w:ascii="Arial" w:hAnsi="Arial" w:cs="Arial" w:hint="eastAsia"/>
          <w:sz w:val="20"/>
        </w:rPr>
        <w:t>товарного</w:t>
      </w:r>
      <w:r>
        <w:rPr>
          <w:rFonts w:ascii="Arial" w:hAnsi="Arial" w:cs="Arial" w:hint="eastAsia"/>
          <w:sz w:val="20"/>
        </w:rPr>
        <w:t xml:space="preserve"> </w:t>
      </w:r>
      <w:r>
        <w:rPr>
          <w:rFonts w:ascii="Arial" w:hAnsi="Arial" w:cs="Arial" w:hint="eastAsia"/>
          <w:sz w:val="20"/>
        </w:rPr>
        <w:t>знака</w:t>
      </w:r>
      <w:r>
        <w:rPr>
          <w:rFonts w:ascii="Arial" w:hAnsi="Arial" w:cs="Arial" w:hint="eastAsia"/>
          <w:sz w:val="20"/>
        </w:rPr>
        <w:t xml:space="preserve"> </w:t>
      </w:r>
      <w:r>
        <w:rPr>
          <w:rFonts w:ascii="Arial" w:hAnsi="Arial" w:cs="Arial" w:hint="eastAsia"/>
          <w:sz w:val="20"/>
        </w:rPr>
        <w:t>является</w:t>
      </w:r>
      <w:r>
        <w:rPr>
          <w:rFonts w:ascii="Arial" w:hAnsi="Arial" w:cs="Arial" w:hint="eastAsia"/>
          <w:sz w:val="20"/>
        </w:rPr>
        <w:t xml:space="preserve"> </w:t>
      </w:r>
      <w:r>
        <w:rPr>
          <w:rFonts w:ascii="Arial" w:hAnsi="Arial" w:cs="Arial" w:hint="eastAsia"/>
          <w:sz w:val="20"/>
        </w:rPr>
        <w:t>применение</w:t>
      </w:r>
      <w:r>
        <w:rPr>
          <w:rFonts w:ascii="Arial" w:hAnsi="Arial" w:cs="Arial"/>
          <w:sz w:val="20"/>
        </w:rPr>
        <w:t xml:space="preserve"> </w:t>
      </w:r>
      <w:r>
        <w:rPr>
          <w:rFonts w:ascii="Arial" w:hAnsi="Arial" w:cs="Arial" w:hint="eastAsia"/>
          <w:sz w:val="20"/>
        </w:rPr>
        <w:t>его</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товарах</w:t>
      </w:r>
      <w:r>
        <w:rPr>
          <w:rFonts w:ascii="Arial" w:hAnsi="Arial" w:cs="Arial" w:hint="eastAsia"/>
          <w:sz w:val="20"/>
        </w:rPr>
        <w:t xml:space="preserve">, </w:t>
      </w:r>
      <w:r>
        <w:rPr>
          <w:rFonts w:ascii="Arial" w:hAnsi="Arial" w:cs="Arial" w:hint="eastAsia"/>
          <w:sz w:val="20"/>
        </w:rPr>
        <w:t>их</w:t>
      </w:r>
      <w:r>
        <w:rPr>
          <w:rFonts w:ascii="Arial" w:hAnsi="Arial" w:cs="Arial" w:hint="eastAsia"/>
          <w:sz w:val="20"/>
        </w:rPr>
        <w:t xml:space="preserve"> </w:t>
      </w:r>
      <w:r>
        <w:rPr>
          <w:rFonts w:ascii="Arial" w:hAnsi="Arial" w:cs="Arial" w:hint="eastAsia"/>
          <w:sz w:val="20"/>
        </w:rPr>
        <w:t>упаковке</w:t>
      </w:r>
      <w:r>
        <w:rPr>
          <w:rFonts w:ascii="Arial" w:hAnsi="Arial" w:cs="Arial" w:hint="eastAsia"/>
          <w:sz w:val="20"/>
        </w:rPr>
        <w:t xml:space="preserve"> </w:t>
      </w:r>
      <w:r>
        <w:rPr>
          <w:rFonts w:ascii="Arial" w:hAnsi="Arial" w:cs="Arial" w:hint="eastAsia"/>
          <w:sz w:val="20"/>
        </w:rPr>
        <w:t>в</w:t>
      </w:r>
      <w:r>
        <w:rPr>
          <w:rFonts w:ascii="Arial" w:hAnsi="Arial" w:cs="Arial" w:hint="eastAsia"/>
          <w:sz w:val="20"/>
        </w:rPr>
        <w:t xml:space="preserve"> </w:t>
      </w:r>
      <w:r>
        <w:rPr>
          <w:rFonts w:ascii="Arial" w:hAnsi="Arial" w:cs="Arial" w:hint="eastAsia"/>
          <w:sz w:val="20"/>
        </w:rPr>
        <w:t>рекламе</w:t>
      </w:r>
      <w:r>
        <w:rPr>
          <w:rFonts w:ascii="Arial" w:hAnsi="Arial" w:cs="Arial" w:hint="eastAsia"/>
          <w:sz w:val="20"/>
        </w:rPr>
        <w:t xml:space="preserve">, </w:t>
      </w:r>
      <w:r>
        <w:rPr>
          <w:rFonts w:ascii="Arial" w:hAnsi="Arial" w:cs="Arial" w:hint="eastAsia"/>
          <w:sz w:val="20"/>
        </w:rPr>
        <w:t>печатных</w:t>
      </w:r>
      <w:r>
        <w:rPr>
          <w:rFonts w:ascii="Arial" w:hAnsi="Arial" w:cs="Arial" w:hint="eastAsia"/>
          <w:sz w:val="20"/>
        </w:rPr>
        <w:t xml:space="preserve"> </w:t>
      </w:r>
      <w:r>
        <w:rPr>
          <w:rFonts w:ascii="Arial" w:hAnsi="Arial" w:cs="Arial" w:hint="eastAsia"/>
          <w:sz w:val="20"/>
        </w:rPr>
        <w:t>изданиях</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официальных</w:t>
      </w:r>
      <w:r>
        <w:rPr>
          <w:rFonts w:ascii="Arial" w:hAnsi="Arial" w:cs="Arial"/>
          <w:sz w:val="20"/>
        </w:rPr>
        <w:t xml:space="preserve"> </w:t>
      </w:r>
      <w:r>
        <w:rPr>
          <w:rFonts w:ascii="Arial" w:hAnsi="Arial" w:cs="Arial" w:hint="eastAsia"/>
          <w:sz w:val="20"/>
        </w:rPr>
        <w:t>бланках</w:t>
      </w:r>
      <w:r>
        <w:rPr>
          <w:rFonts w:ascii="Arial" w:hAnsi="Arial" w:cs="Arial" w:hint="eastAsia"/>
          <w:sz w:val="20"/>
        </w:rPr>
        <w:t xml:space="preserve">, </w:t>
      </w:r>
      <w:r>
        <w:rPr>
          <w:rFonts w:ascii="Arial" w:hAnsi="Arial" w:cs="Arial" w:hint="eastAsia"/>
          <w:sz w:val="20"/>
        </w:rPr>
        <w:t>вывесках</w:t>
      </w:r>
      <w:r>
        <w:rPr>
          <w:rFonts w:ascii="Arial" w:hAnsi="Arial" w:cs="Arial" w:hint="eastAsia"/>
          <w:sz w:val="20"/>
        </w:rPr>
        <w:t xml:space="preserve">, </w:t>
      </w:r>
      <w:r>
        <w:rPr>
          <w:rFonts w:ascii="Arial" w:hAnsi="Arial" w:cs="Arial" w:hint="eastAsia"/>
          <w:sz w:val="20"/>
        </w:rPr>
        <w:t>при</w:t>
      </w:r>
      <w:r>
        <w:rPr>
          <w:rFonts w:ascii="Arial" w:hAnsi="Arial" w:cs="Arial" w:hint="eastAsia"/>
          <w:sz w:val="20"/>
        </w:rPr>
        <w:t xml:space="preserve"> </w:t>
      </w:r>
      <w:r>
        <w:rPr>
          <w:rFonts w:ascii="Arial" w:hAnsi="Arial" w:cs="Arial" w:hint="eastAsia"/>
          <w:sz w:val="20"/>
        </w:rPr>
        <w:t>демонстрации</w:t>
      </w:r>
      <w:r>
        <w:rPr>
          <w:rFonts w:ascii="Arial" w:hAnsi="Arial" w:cs="Arial" w:hint="eastAsia"/>
          <w:sz w:val="20"/>
        </w:rPr>
        <w:t xml:space="preserve"> </w:t>
      </w:r>
      <w:r>
        <w:rPr>
          <w:rFonts w:ascii="Arial" w:hAnsi="Arial" w:cs="Arial" w:hint="eastAsia"/>
          <w:sz w:val="20"/>
        </w:rPr>
        <w:t>экспонатов</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выставках</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ярмарках</w:t>
      </w:r>
      <w:r>
        <w:rPr>
          <w:rFonts w:ascii="Arial" w:hAnsi="Arial" w:cs="Arial" w:hint="eastAsia"/>
          <w:sz w:val="20"/>
        </w:rPr>
        <w:t xml:space="preserve"> </w:t>
      </w:r>
      <w:r>
        <w:rPr>
          <w:rFonts w:ascii="Arial" w:hAnsi="Arial" w:cs="Arial" w:hint="eastAsia"/>
          <w:sz w:val="20"/>
        </w:rPr>
        <w:t>и</w:t>
      </w:r>
      <w:r>
        <w:rPr>
          <w:rFonts w:ascii="Arial" w:hAnsi="Arial" w:cs="Arial" w:hint="eastAsia"/>
          <w:sz w:val="20"/>
        </w:rPr>
        <w:t xml:space="preserve"> </w:t>
      </w:r>
      <w:r>
        <w:rPr>
          <w:rFonts w:ascii="Arial" w:hAnsi="Arial" w:cs="Arial" w:hint="eastAsia"/>
          <w:sz w:val="20"/>
        </w:rPr>
        <w:t>др</w:t>
      </w:r>
      <w:r>
        <w:rPr>
          <w:rFonts w:ascii="Arial" w:hAnsi="Arial" w:cs="Arial" w:hint="eastAsia"/>
          <w:sz w:val="20"/>
        </w:rPr>
        <w:t>.</w:t>
      </w:r>
      <w:r>
        <w:rPr>
          <w:rFonts w:ascii="Arial" w:hAnsi="Arial" w:cs="Arial"/>
          <w:sz w:val="20"/>
        </w:rPr>
        <w:t xml:space="preserve"> </w:t>
      </w:r>
      <w:r>
        <w:rPr>
          <w:rFonts w:ascii="Arial" w:hAnsi="Arial" w:cs="Arial" w:hint="eastAsia"/>
          <w:sz w:val="20"/>
        </w:rPr>
        <w:t>самим</w:t>
      </w:r>
      <w:r>
        <w:rPr>
          <w:rFonts w:ascii="Arial" w:hAnsi="Arial" w:cs="Arial" w:hint="eastAsia"/>
          <w:sz w:val="20"/>
        </w:rPr>
        <w:t xml:space="preserve"> </w:t>
      </w:r>
      <w:r>
        <w:rPr>
          <w:rFonts w:ascii="Arial" w:hAnsi="Arial" w:cs="Arial" w:hint="eastAsia"/>
          <w:sz w:val="20"/>
        </w:rPr>
        <w:t>владельцем</w:t>
      </w:r>
      <w:r>
        <w:rPr>
          <w:rFonts w:ascii="Arial" w:hAnsi="Arial" w:cs="Arial" w:hint="eastAsia"/>
          <w:sz w:val="20"/>
        </w:rPr>
        <w:t xml:space="preserve"> </w:t>
      </w:r>
      <w:r>
        <w:rPr>
          <w:rFonts w:ascii="Arial" w:hAnsi="Arial" w:cs="Arial" w:hint="eastAsia"/>
          <w:sz w:val="20"/>
        </w:rPr>
        <w:t>товарного</w:t>
      </w:r>
      <w:r>
        <w:rPr>
          <w:rFonts w:ascii="Arial" w:hAnsi="Arial" w:cs="Arial" w:hint="eastAsia"/>
          <w:sz w:val="20"/>
        </w:rPr>
        <w:t xml:space="preserve"> </w:t>
      </w:r>
      <w:r>
        <w:rPr>
          <w:rFonts w:ascii="Arial" w:hAnsi="Arial" w:cs="Arial" w:hint="eastAsia"/>
          <w:sz w:val="20"/>
        </w:rPr>
        <w:t>знака</w:t>
      </w:r>
      <w:r>
        <w:rPr>
          <w:rFonts w:ascii="Arial" w:hAnsi="Arial" w:cs="Arial" w:hint="eastAsia"/>
          <w:sz w:val="20"/>
        </w:rPr>
        <w:t xml:space="preserve"> </w:t>
      </w:r>
      <w:r>
        <w:rPr>
          <w:rFonts w:ascii="Arial" w:hAnsi="Arial" w:cs="Arial" w:hint="eastAsia"/>
          <w:sz w:val="20"/>
        </w:rPr>
        <w:t>или</w:t>
      </w:r>
      <w:r>
        <w:rPr>
          <w:rFonts w:ascii="Arial" w:hAnsi="Arial" w:cs="Arial" w:hint="eastAsia"/>
          <w:sz w:val="20"/>
        </w:rPr>
        <w:t xml:space="preserve"> </w:t>
      </w:r>
      <w:r>
        <w:rPr>
          <w:rFonts w:ascii="Arial" w:hAnsi="Arial" w:cs="Arial" w:hint="eastAsia"/>
          <w:sz w:val="20"/>
        </w:rPr>
        <w:t>лицом</w:t>
      </w:r>
      <w:r>
        <w:rPr>
          <w:rFonts w:ascii="Arial" w:hAnsi="Arial" w:cs="Arial" w:hint="eastAsia"/>
          <w:sz w:val="20"/>
        </w:rPr>
        <w:t xml:space="preserve">, </w:t>
      </w:r>
      <w:r>
        <w:rPr>
          <w:rFonts w:ascii="Arial" w:hAnsi="Arial" w:cs="Arial" w:hint="eastAsia"/>
          <w:sz w:val="20"/>
        </w:rPr>
        <w:t>которому</w:t>
      </w:r>
      <w:r>
        <w:rPr>
          <w:rFonts w:ascii="Arial" w:hAnsi="Arial" w:cs="Arial" w:hint="eastAsia"/>
          <w:sz w:val="20"/>
        </w:rPr>
        <w:t xml:space="preserve"> </w:t>
      </w:r>
      <w:r>
        <w:rPr>
          <w:rFonts w:ascii="Arial" w:hAnsi="Arial" w:cs="Arial" w:hint="eastAsia"/>
          <w:sz w:val="20"/>
        </w:rPr>
        <w:t>такое</w:t>
      </w:r>
      <w:r>
        <w:rPr>
          <w:rFonts w:ascii="Arial" w:hAnsi="Arial" w:cs="Arial" w:hint="eastAsia"/>
          <w:sz w:val="20"/>
        </w:rPr>
        <w:t xml:space="preserve"> </w:t>
      </w:r>
      <w:r>
        <w:rPr>
          <w:rFonts w:ascii="Arial" w:hAnsi="Arial" w:cs="Arial" w:hint="eastAsia"/>
          <w:sz w:val="20"/>
        </w:rPr>
        <w:t>право</w:t>
      </w:r>
      <w:r>
        <w:rPr>
          <w:rFonts w:ascii="Arial" w:hAnsi="Arial" w:cs="Arial"/>
          <w:sz w:val="20"/>
        </w:rPr>
        <w:t xml:space="preserve"> </w:t>
      </w:r>
      <w:r>
        <w:rPr>
          <w:rFonts w:ascii="Arial" w:hAnsi="Arial" w:cs="Arial" w:hint="eastAsia"/>
          <w:sz w:val="20"/>
        </w:rPr>
        <w:t>предоставлено</w:t>
      </w:r>
      <w:r>
        <w:rPr>
          <w:rFonts w:ascii="Arial" w:hAnsi="Arial" w:cs="Arial" w:hint="eastAsia"/>
          <w:sz w:val="20"/>
        </w:rPr>
        <w:t>.</w:t>
      </w:r>
    </w:p>
    <w:p w:rsidR="00FD64D5" w:rsidRDefault="00FD64D5">
      <w:pPr>
        <w:pStyle w:val="a3"/>
        <w:jc w:val="both"/>
        <w:rPr>
          <w:rFonts w:ascii="Arial" w:hAnsi="Arial" w:cs="Arial"/>
          <w:sz w:val="20"/>
        </w:rPr>
      </w:pPr>
      <w:r>
        <w:rPr>
          <w:rFonts w:ascii="Arial" w:hAnsi="Arial" w:cs="Arial" w:hint="eastAsia"/>
          <w:sz w:val="20"/>
        </w:rPr>
        <w:t>Товарный</w:t>
      </w:r>
      <w:r>
        <w:rPr>
          <w:rFonts w:ascii="Arial" w:hAnsi="Arial" w:cs="Arial" w:hint="eastAsia"/>
          <w:sz w:val="20"/>
        </w:rPr>
        <w:t xml:space="preserve"> </w:t>
      </w:r>
      <w:r>
        <w:rPr>
          <w:rFonts w:ascii="Arial" w:hAnsi="Arial" w:cs="Arial" w:hint="eastAsia"/>
          <w:sz w:val="20"/>
        </w:rPr>
        <w:t>знак</w:t>
      </w:r>
      <w:r>
        <w:rPr>
          <w:rFonts w:ascii="Arial" w:hAnsi="Arial" w:cs="Arial" w:hint="eastAsia"/>
          <w:sz w:val="20"/>
        </w:rPr>
        <w:t xml:space="preserve"> </w:t>
      </w:r>
      <w:r>
        <w:rPr>
          <w:rFonts w:ascii="Arial" w:hAnsi="Arial" w:cs="Arial" w:hint="eastAsia"/>
          <w:sz w:val="20"/>
        </w:rPr>
        <w:t>относится</w:t>
      </w:r>
      <w:r>
        <w:rPr>
          <w:rFonts w:ascii="Arial" w:hAnsi="Arial" w:cs="Arial" w:hint="eastAsia"/>
          <w:sz w:val="20"/>
        </w:rPr>
        <w:t xml:space="preserve"> </w:t>
      </w:r>
      <w:r>
        <w:rPr>
          <w:rFonts w:ascii="Arial" w:hAnsi="Arial" w:cs="Arial" w:hint="eastAsia"/>
          <w:sz w:val="20"/>
        </w:rPr>
        <w:t>к</w:t>
      </w:r>
      <w:r>
        <w:rPr>
          <w:rFonts w:ascii="Arial" w:hAnsi="Arial" w:cs="Arial" w:hint="eastAsia"/>
          <w:sz w:val="20"/>
        </w:rPr>
        <w:t xml:space="preserve"> </w:t>
      </w:r>
      <w:r>
        <w:rPr>
          <w:rFonts w:ascii="Arial" w:hAnsi="Arial" w:cs="Arial" w:hint="eastAsia"/>
          <w:sz w:val="20"/>
        </w:rPr>
        <w:t>нематериальным</w:t>
      </w:r>
      <w:r>
        <w:rPr>
          <w:rFonts w:ascii="Arial" w:hAnsi="Arial" w:cs="Arial" w:hint="eastAsia"/>
          <w:sz w:val="20"/>
        </w:rPr>
        <w:t xml:space="preserve"> </w:t>
      </w:r>
      <w:r>
        <w:rPr>
          <w:rFonts w:ascii="Arial" w:hAnsi="Arial" w:cs="Arial" w:hint="eastAsia"/>
          <w:sz w:val="20"/>
        </w:rPr>
        <w:t>активам</w:t>
      </w:r>
      <w:r>
        <w:rPr>
          <w:rFonts w:ascii="Arial" w:hAnsi="Arial" w:cs="Arial" w:hint="eastAsia"/>
          <w:sz w:val="20"/>
        </w:rPr>
        <w:t xml:space="preserve">, </w:t>
      </w:r>
      <w:r>
        <w:rPr>
          <w:rFonts w:ascii="Arial" w:hAnsi="Arial" w:cs="Arial" w:hint="eastAsia"/>
          <w:sz w:val="20"/>
        </w:rPr>
        <w:t>если</w:t>
      </w:r>
      <w:r>
        <w:rPr>
          <w:rFonts w:ascii="Arial" w:hAnsi="Arial" w:cs="Arial" w:hint="eastAsia"/>
          <w:sz w:val="20"/>
        </w:rPr>
        <w:t xml:space="preserve"> </w:t>
      </w:r>
      <w:r>
        <w:rPr>
          <w:rFonts w:ascii="Arial" w:hAnsi="Arial" w:cs="Arial" w:hint="eastAsia"/>
          <w:sz w:val="20"/>
        </w:rPr>
        <w:t>у</w:t>
      </w:r>
      <w:r>
        <w:rPr>
          <w:rFonts w:ascii="Arial" w:hAnsi="Arial" w:cs="Arial" w:hint="eastAsia"/>
          <w:sz w:val="20"/>
        </w:rPr>
        <w:t xml:space="preserve"> </w:t>
      </w:r>
      <w:r>
        <w:rPr>
          <w:rFonts w:ascii="Arial" w:hAnsi="Arial" w:cs="Arial" w:hint="eastAsia"/>
          <w:sz w:val="20"/>
        </w:rPr>
        <w:t>его</w:t>
      </w:r>
      <w:r>
        <w:rPr>
          <w:rFonts w:ascii="Arial" w:hAnsi="Arial" w:cs="Arial" w:hint="eastAsia"/>
          <w:sz w:val="20"/>
        </w:rPr>
        <w:t xml:space="preserve"> </w:t>
      </w:r>
      <w:r>
        <w:rPr>
          <w:rFonts w:ascii="Arial" w:hAnsi="Arial" w:cs="Arial" w:hint="eastAsia"/>
          <w:sz w:val="20"/>
        </w:rPr>
        <w:t>владельца</w:t>
      </w:r>
      <w:r>
        <w:rPr>
          <w:rFonts w:ascii="Arial" w:hAnsi="Arial" w:cs="Arial"/>
          <w:sz w:val="20"/>
        </w:rPr>
        <w:t xml:space="preserve"> </w:t>
      </w:r>
      <w:r>
        <w:rPr>
          <w:rFonts w:ascii="Arial" w:hAnsi="Arial" w:cs="Arial" w:hint="eastAsia"/>
          <w:sz w:val="20"/>
        </w:rPr>
        <w:t>имеется</w:t>
      </w:r>
      <w:r>
        <w:rPr>
          <w:rFonts w:ascii="Arial" w:hAnsi="Arial" w:cs="Arial" w:hint="eastAsia"/>
          <w:sz w:val="20"/>
        </w:rPr>
        <w:t xml:space="preserve"> </w:t>
      </w:r>
      <w:r>
        <w:rPr>
          <w:rFonts w:ascii="Arial" w:hAnsi="Arial" w:cs="Arial" w:hint="eastAsia"/>
          <w:sz w:val="20"/>
        </w:rPr>
        <w:t>исключительное</w:t>
      </w:r>
      <w:r>
        <w:rPr>
          <w:rFonts w:ascii="Arial" w:hAnsi="Arial" w:cs="Arial" w:hint="eastAsia"/>
          <w:sz w:val="20"/>
        </w:rPr>
        <w:t xml:space="preserve"> </w:t>
      </w:r>
      <w:r>
        <w:rPr>
          <w:rFonts w:ascii="Arial" w:hAnsi="Arial" w:cs="Arial" w:hint="eastAsia"/>
          <w:sz w:val="20"/>
        </w:rPr>
        <w:t>право</w:t>
      </w:r>
      <w:r>
        <w:rPr>
          <w:rFonts w:ascii="Arial" w:hAnsi="Arial" w:cs="Arial" w:hint="eastAsia"/>
          <w:sz w:val="20"/>
        </w:rPr>
        <w:t xml:space="preserve"> </w:t>
      </w:r>
      <w:r>
        <w:rPr>
          <w:rFonts w:ascii="Arial" w:hAnsi="Arial" w:cs="Arial" w:hint="eastAsia"/>
          <w:sz w:val="20"/>
        </w:rPr>
        <w:t>на</w:t>
      </w:r>
      <w:r>
        <w:rPr>
          <w:rFonts w:ascii="Arial" w:hAnsi="Arial" w:cs="Arial" w:hint="eastAsia"/>
          <w:sz w:val="20"/>
        </w:rPr>
        <w:t xml:space="preserve"> </w:t>
      </w:r>
      <w:r>
        <w:rPr>
          <w:rFonts w:ascii="Arial" w:hAnsi="Arial" w:cs="Arial" w:hint="eastAsia"/>
          <w:sz w:val="20"/>
        </w:rPr>
        <w:t>него</w:t>
      </w:r>
      <w:r>
        <w:rPr>
          <w:rFonts w:ascii="Arial" w:hAnsi="Arial" w:cs="Arial" w:hint="eastAsia"/>
          <w:sz w:val="20"/>
        </w:rPr>
        <w:t xml:space="preserve"> (</w:t>
      </w:r>
      <w:r>
        <w:rPr>
          <w:rFonts w:ascii="Arial" w:hAnsi="Arial" w:cs="Arial" w:hint="eastAsia"/>
          <w:sz w:val="20"/>
        </w:rPr>
        <w:t>п</w:t>
      </w:r>
      <w:r>
        <w:rPr>
          <w:rFonts w:ascii="Arial" w:hAnsi="Arial" w:cs="Arial" w:hint="eastAsia"/>
          <w:sz w:val="20"/>
        </w:rPr>
        <w:t xml:space="preserve">. 4 </w:t>
      </w:r>
      <w:r>
        <w:rPr>
          <w:rFonts w:ascii="Arial" w:hAnsi="Arial" w:cs="Arial" w:hint="eastAsia"/>
          <w:sz w:val="20"/>
        </w:rPr>
        <w:t>ПБУ</w:t>
      </w:r>
      <w:r>
        <w:rPr>
          <w:rFonts w:ascii="Arial" w:hAnsi="Arial" w:cs="Arial" w:hint="eastAsia"/>
          <w:sz w:val="20"/>
        </w:rPr>
        <w:t xml:space="preserve"> 14/2000 «</w:t>
      </w:r>
      <w:r>
        <w:rPr>
          <w:rFonts w:ascii="Arial" w:hAnsi="Arial" w:cs="Arial" w:hint="eastAsia"/>
          <w:sz w:val="20"/>
        </w:rPr>
        <w:t>Учет</w:t>
      </w:r>
      <w:r>
        <w:rPr>
          <w:rFonts w:ascii="Arial" w:hAnsi="Arial" w:cs="Arial" w:hint="eastAsia"/>
          <w:sz w:val="20"/>
        </w:rPr>
        <w:t xml:space="preserve"> </w:t>
      </w:r>
      <w:r>
        <w:rPr>
          <w:rFonts w:ascii="Arial" w:hAnsi="Arial" w:cs="Arial" w:hint="eastAsia"/>
          <w:sz w:val="20"/>
        </w:rPr>
        <w:t>нематериальных</w:t>
      </w:r>
      <w:r>
        <w:rPr>
          <w:rFonts w:ascii="Arial" w:hAnsi="Arial" w:cs="Arial"/>
          <w:sz w:val="20"/>
        </w:rPr>
        <w:t xml:space="preserve"> </w:t>
      </w:r>
      <w:r>
        <w:rPr>
          <w:rFonts w:ascii="Arial" w:hAnsi="Arial" w:cs="Arial" w:hint="eastAsia"/>
          <w:sz w:val="20"/>
        </w:rPr>
        <w:t>активов</w:t>
      </w:r>
      <w:r>
        <w:rPr>
          <w:rFonts w:ascii="Arial" w:hAnsi="Arial" w:cs="Arial" w:hint="eastAsia"/>
          <w:sz w:val="20"/>
        </w:rPr>
        <w:t xml:space="preserve">", </w:t>
      </w:r>
      <w:r>
        <w:rPr>
          <w:rFonts w:ascii="Arial" w:hAnsi="Arial" w:cs="Arial" w:hint="eastAsia"/>
          <w:sz w:val="20"/>
        </w:rPr>
        <w:t>п</w:t>
      </w:r>
      <w:r>
        <w:rPr>
          <w:rFonts w:ascii="Arial" w:hAnsi="Arial" w:cs="Arial" w:hint="eastAsia"/>
          <w:sz w:val="20"/>
        </w:rPr>
        <w:t xml:space="preserve">. 4 </w:t>
      </w:r>
      <w:r>
        <w:rPr>
          <w:rFonts w:ascii="Arial" w:hAnsi="Arial" w:cs="Arial" w:hint="eastAsia"/>
          <w:sz w:val="20"/>
        </w:rPr>
        <w:t>ст</w:t>
      </w:r>
      <w:r>
        <w:rPr>
          <w:rFonts w:ascii="Arial" w:hAnsi="Arial" w:cs="Arial" w:hint="eastAsia"/>
          <w:sz w:val="20"/>
        </w:rPr>
        <w:t xml:space="preserve">. 257 </w:t>
      </w:r>
      <w:r>
        <w:rPr>
          <w:rFonts w:ascii="Arial" w:hAnsi="Arial" w:cs="Arial" w:hint="eastAsia"/>
          <w:sz w:val="20"/>
        </w:rPr>
        <w:t>НК</w:t>
      </w:r>
      <w:r>
        <w:rPr>
          <w:rFonts w:ascii="Arial" w:hAnsi="Arial" w:cs="Arial" w:hint="eastAsia"/>
          <w:sz w:val="20"/>
        </w:rPr>
        <w:t xml:space="preserve"> </w:t>
      </w:r>
      <w:r>
        <w:rPr>
          <w:rFonts w:ascii="Arial" w:hAnsi="Arial" w:cs="Arial" w:hint="eastAsia"/>
          <w:sz w:val="20"/>
        </w:rPr>
        <w:t>РФ</w:t>
      </w:r>
      <w:r>
        <w:rPr>
          <w:rFonts w:ascii="Arial" w:hAnsi="Arial" w:cs="Arial" w:hint="eastAsia"/>
          <w:sz w:val="20"/>
        </w:rPr>
        <w:t>).</w:t>
      </w:r>
      <w:r>
        <w:rPr>
          <w:rFonts w:ascii="Arial" w:hAnsi="Arial" w:cs="Arial"/>
          <w:sz w:val="20"/>
        </w:rPr>
        <w:t xml:space="preserve"> </w:t>
      </w:r>
    </w:p>
    <w:p w:rsidR="00FD64D5" w:rsidRDefault="00FD64D5">
      <w:pPr>
        <w:pStyle w:val="1"/>
        <w:spacing w:before="502" w:beforeAutospacing="0" w:after="502" w:afterAutospacing="0"/>
        <w:ind w:left="837" w:right="837"/>
        <w:jc w:val="both"/>
        <w:rPr>
          <w:b w:val="0"/>
          <w:bCs w:val="0"/>
          <w:sz w:val="20"/>
          <w:szCs w:val="20"/>
        </w:rPr>
      </w:pPr>
      <w:r>
        <w:rPr>
          <w:rStyle w:val="liltitle1"/>
          <w:rFonts w:ascii="Arial" w:hAnsi="Arial"/>
          <w:b/>
          <w:bCs/>
          <w:color w:val="993300"/>
        </w:rPr>
        <w:t>Товарный знак</w:t>
      </w:r>
      <w:r>
        <w:rPr>
          <w:b w:val="0"/>
          <w:bCs w:val="0"/>
          <w:sz w:val="20"/>
          <w:szCs w:val="20"/>
        </w:rPr>
        <w:t xml:space="preserve"> (знак обслуживания) - это обозначение, способное отличать соответственно товары и услуги одних юридических или физических лиц от однородных товаров и услуг других юридических или физических лиц.</w:t>
      </w:r>
    </w:p>
    <w:p w:rsidR="00FD64D5" w:rsidRDefault="00FD64D5">
      <w:pPr>
        <w:pStyle w:val="1"/>
        <w:spacing w:before="502" w:beforeAutospacing="0" w:after="502" w:afterAutospacing="0"/>
        <w:ind w:left="837" w:right="837"/>
        <w:jc w:val="both"/>
        <w:rPr>
          <w:b w:val="0"/>
          <w:bCs w:val="0"/>
          <w:sz w:val="20"/>
          <w:szCs w:val="20"/>
        </w:rPr>
      </w:pPr>
      <w:r>
        <w:rPr>
          <w:rStyle w:val="liltitle21"/>
          <w:rFonts w:ascii="Arial" w:hAnsi="Arial"/>
          <w:b/>
          <w:bCs/>
        </w:rPr>
        <w:t>Товарный знак</w:t>
      </w:r>
      <w:r>
        <w:rPr>
          <w:b w:val="0"/>
          <w:bCs w:val="0"/>
          <w:sz w:val="20"/>
          <w:szCs w:val="20"/>
        </w:rPr>
        <w:t xml:space="preserve"> - объект интеллектуальной собственности, подлежащий продаже, уступке, передаче в пользование иному юридическому или физическому лицу. Товарный знак может являться как "фирменным наименованием" (название фирмы), так и "этикеткой" - символом выпускаемой данной фирмой продукции. Владелец товарного знака обладает исключительным правом его использования. Для использования товарного знака, принадлежащего другой фирме, следует заключить с этой фирмой лицензионный договор и зарегистрировать его в Государственном Патентном ведомстве РФ.</w:t>
      </w:r>
    </w:p>
    <w:p w:rsidR="00FD64D5" w:rsidRDefault="00FD64D5">
      <w:pPr>
        <w:pStyle w:val="1"/>
        <w:spacing w:before="502" w:beforeAutospacing="0" w:after="502" w:afterAutospacing="0"/>
        <w:ind w:left="837" w:right="837"/>
        <w:jc w:val="both"/>
        <w:rPr>
          <w:b w:val="0"/>
          <w:bCs w:val="0"/>
          <w:sz w:val="20"/>
          <w:szCs w:val="20"/>
        </w:rPr>
      </w:pPr>
      <w:r>
        <w:rPr>
          <w:rStyle w:val="liltitle21"/>
          <w:rFonts w:ascii="Arial" w:hAnsi="Arial"/>
          <w:b/>
          <w:bCs/>
        </w:rPr>
        <w:t>Виды товарных знаков:</w:t>
      </w:r>
      <w:r>
        <w:rPr>
          <w:b w:val="0"/>
          <w:bCs w:val="0"/>
          <w:sz w:val="20"/>
          <w:szCs w:val="20"/>
        </w:rPr>
        <w:t xml:space="preserve"> В качестве товарных знаков могут быть зарегистрированы следующие обозначения: словесные, изобразительные, комбинированные, объемные, звуковые, световые и другие виды обозначений ( пункт 1 статьи 5 закона "О товарных знаках, знаках обслуживания и наименованиях мест происхождения товаров").</w:t>
      </w:r>
    </w:p>
    <w:p w:rsidR="00FD64D5" w:rsidRDefault="00FD64D5">
      <w:pPr>
        <w:pStyle w:val="1"/>
        <w:spacing w:before="502" w:beforeAutospacing="0" w:after="502" w:afterAutospacing="0"/>
        <w:ind w:left="837" w:right="837"/>
        <w:jc w:val="both"/>
        <w:rPr>
          <w:b w:val="0"/>
          <w:bCs w:val="0"/>
          <w:sz w:val="20"/>
          <w:szCs w:val="20"/>
        </w:rPr>
      </w:pPr>
      <w:r>
        <w:rPr>
          <w:rStyle w:val="liltitle1"/>
          <w:rFonts w:ascii="Arial" w:hAnsi="Arial"/>
          <w:b/>
          <w:bCs/>
        </w:rPr>
        <w:t>Cловесные обозначения</w:t>
      </w:r>
      <w:r>
        <w:rPr>
          <w:b w:val="0"/>
          <w:bCs w:val="0"/>
          <w:sz w:val="20"/>
          <w:szCs w:val="20"/>
        </w:rPr>
        <w:t>: в виде слов, сочетаний букв, фраз, словосочетаний, предложений, имеющих словесный характер.</w:t>
      </w:r>
    </w:p>
    <w:p w:rsidR="00FD64D5" w:rsidRDefault="00FD64D5">
      <w:pPr>
        <w:pStyle w:val="1"/>
        <w:spacing w:before="502" w:beforeAutospacing="0" w:after="502" w:afterAutospacing="0"/>
        <w:ind w:left="837" w:right="837"/>
        <w:jc w:val="both"/>
        <w:rPr>
          <w:b w:val="0"/>
          <w:bCs w:val="0"/>
          <w:sz w:val="20"/>
          <w:szCs w:val="20"/>
        </w:rPr>
      </w:pPr>
      <w:r>
        <w:rPr>
          <w:rStyle w:val="liltitle1"/>
          <w:rFonts w:ascii="Arial" w:hAnsi="Arial"/>
          <w:b/>
          <w:bCs/>
        </w:rPr>
        <w:t>Изобразительные обозначения</w:t>
      </w:r>
      <w:r>
        <w:rPr>
          <w:b w:val="0"/>
          <w:bCs w:val="0"/>
          <w:sz w:val="20"/>
          <w:szCs w:val="20"/>
        </w:rPr>
        <w:t>: в виде предметов, фигур любых форм (на плоскости), композиции линий, пятен.</w:t>
      </w:r>
    </w:p>
    <w:p w:rsidR="00FD64D5" w:rsidRDefault="00FD64D5">
      <w:pPr>
        <w:pStyle w:val="1"/>
        <w:spacing w:before="502" w:beforeAutospacing="0" w:after="502" w:afterAutospacing="0"/>
        <w:ind w:left="837" w:right="837"/>
        <w:jc w:val="both"/>
        <w:rPr>
          <w:b w:val="0"/>
          <w:bCs w:val="0"/>
          <w:sz w:val="20"/>
          <w:szCs w:val="20"/>
        </w:rPr>
      </w:pPr>
      <w:r>
        <w:rPr>
          <w:rStyle w:val="liltitle1"/>
          <w:rFonts w:ascii="Arial" w:hAnsi="Arial"/>
          <w:b/>
          <w:bCs/>
        </w:rPr>
        <w:t>Объемные обозначения</w:t>
      </w:r>
      <w:r>
        <w:rPr>
          <w:b w:val="0"/>
          <w:bCs w:val="0"/>
          <w:sz w:val="20"/>
          <w:szCs w:val="20"/>
        </w:rPr>
        <w:t>: в виде фигур, комбинаций линий, 3d - композиций объектов (в трёх измерениях).</w:t>
      </w:r>
    </w:p>
    <w:p w:rsidR="00FD64D5" w:rsidRDefault="00FD64D5">
      <w:pPr>
        <w:pStyle w:val="text2"/>
      </w:pPr>
      <w:r>
        <w:rPr>
          <w:rStyle w:val="liltitle1"/>
          <w:rFonts w:ascii="Arial" w:hAnsi="Arial"/>
        </w:rPr>
        <w:t>Комбинированные обозначения</w:t>
      </w:r>
      <w:r>
        <w:t>: в виде комбинаций элементов разного характера (изобразительных, словесных, объемных, звуковых, световых и прочих).</w:t>
      </w:r>
    </w:p>
    <w:p w:rsidR="00FD64D5" w:rsidRDefault="00FD64D5">
      <w:pPr>
        <w:pStyle w:val="text2"/>
      </w:pPr>
      <w:r>
        <w:rPr>
          <w:rStyle w:val="liltitle1"/>
          <w:rFonts w:ascii="Arial" w:hAnsi="Arial"/>
        </w:rPr>
        <w:t>Звуковые обозначения</w:t>
      </w:r>
      <w:r>
        <w:t>: в виде отдельных звуков или комбинаций мелодического ряда (мелодии).</w:t>
      </w:r>
    </w:p>
    <w:p w:rsidR="00FD64D5" w:rsidRDefault="00FD64D5">
      <w:pPr>
        <w:pStyle w:val="a3"/>
        <w:jc w:val="both"/>
        <w:rPr>
          <w:rFonts w:ascii="Arial" w:hAnsi="Arial" w:cs="Arial"/>
          <w:sz w:val="20"/>
          <w:szCs w:val="20"/>
        </w:rPr>
      </w:pPr>
      <w:r>
        <w:rPr>
          <w:rFonts w:ascii="Arial" w:hAnsi="Arial" w:cs="Arial"/>
          <w:b/>
          <w:bCs/>
          <w:color w:val="580098"/>
          <w:sz w:val="20"/>
        </w:rPr>
        <w:t>ФИРМЕННОЕ НАИМЕНОВАНИЕ И ФИРМЕННЫЙ СТИЛЬ</w:t>
      </w:r>
    </w:p>
    <w:p w:rsidR="00FD64D5" w:rsidRDefault="00FD64D5">
      <w:pPr>
        <w:pStyle w:val="a3"/>
        <w:jc w:val="both"/>
        <w:rPr>
          <w:rFonts w:ascii="Arial" w:hAnsi="Arial" w:cs="Arial"/>
          <w:sz w:val="20"/>
          <w:szCs w:val="20"/>
        </w:rPr>
      </w:pPr>
      <w:r>
        <w:rPr>
          <w:rFonts w:ascii="Arial" w:hAnsi="Arial" w:cs="Arial"/>
          <w:sz w:val="20"/>
          <w:szCs w:val="20"/>
        </w:rPr>
        <w:t>Фирменное наименование является именем собственным юридического или физического лица (коммерсанта, предпринимателя). По мере применения фирменное наименование завоевывает деловую репутацию, приобретает все большую известность в широких кругах потребителей, становится узнаваемым в массе наименований. Постепенно фирменное наименование приобретает и экономическую ценность. Каждый предприниматель кровно заинтересован в том, чтобы его добрым именем не пользовались другие лица, особенно недобросовестные конкуренты, готовые использовать известное фирменное наименование в своих злых целях.</w:t>
      </w:r>
    </w:p>
    <w:p w:rsidR="00FD64D5" w:rsidRDefault="00FD64D5">
      <w:pPr>
        <w:pStyle w:val="a3"/>
        <w:jc w:val="both"/>
        <w:rPr>
          <w:rFonts w:ascii="Arial" w:hAnsi="Arial" w:cs="Arial"/>
          <w:sz w:val="20"/>
          <w:szCs w:val="20"/>
        </w:rPr>
      </w:pPr>
      <w:r>
        <w:rPr>
          <w:rFonts w:ascii="Arial" w:hAnsi="Arial" w:cs="Arial"/>
          <w:sz w:val="20"/>
          <w:szCs w:val="20"/>
        </w:rPr>
        <w:t>Анализ показывает, что термины “фирменное наименование” и “фирма” упоминаются взаимозаменяемо. Следует ограничиться применением только термина “фирменное наименование”, потому как термин “фирма” в первую очередь (если не исключительно) воспринимается как указание разновидности хозяйственной организации.</w:t>
      </w:r>
    </w:p>
    <w:p w:rsidR="00FD64D5" w:rsidRDefault="00FD64D5">
      <w:pPr>
        <w:pStyle w:val="a3"/>
        <w:jc w:val="both"/>
        <w:rPr>
          <w:rFonts w:ascii="Arial" w:hAnsi="Arial" w:cs="Arial"/>
          <w:sz w:val="20"/>
          <w:szCs w:val="20"/>
        </w:rPr>
      </w:pPr>
      <w:r>
        <w:rPr>
          <w:rFonts w:ascii="Arial" w:hAnsi="Arial" w:cs="Arial"/>
          <w:b/>
          <w:bCs/>
          <w:sz w:val="20"/>
          <w:szCs w:val="20"/>
        </w:rPr>
        <w:t>Фирменное наименование</w:t>
      </w:r>
      <w:r>
        <w:rPr>
          <w:rFonts w:ascii="Arial" w:hAnsi="Arial" w:cs="Arial"/>
          <w:sz w:val="20"/>
          <w:szCs w:val="20"/>
        </w:rPr>
        <w:t xml:space="preserve"> – имя или обозначение, позволяющее идентифицировать предприятие определенного физического или юридического лица, содержащее в себе наименование органа, в подчинении которого данное предприятие находится, и наименование самого предприятия, включающее указание предмета деятельности, вида предприятия, а также указание, необходимое для ограничения данного предприятия от других, однородных с ним (специальное наименование и т. д.).</w:t>
      </w:r>
    </w:p>
    <w:p w:rsidR="00FD64D5" w:rsidRDefault="00FD64D5">
      <w:pPr>
        <w:pStyle w:val="a3"/>
        <w:jc w:val="both"/>
        <w:rPr>
          <w:rFonts w:ascii="Arial" w:hAnsi="Arial" w:cs="Arial"/>
          <w:sz w:val="20"/>
          <w:szCs w:val="20"/>
        </w:rPr>
      </w:pPr>
      <w:r>
        <w:rPr>
          <w:rFonts w:ascii="Arial" w:hAnsi="Arial" w:cs="Arial"/>
          <w:sz w:val="20"/>
          <w:szCs w:val="20"/>
        </w:rPr>
        <w:t xml:space="preserve">В соответствии со статьей 1 (2) </w:t>
      </w:r>
      <w:r>
        <w:rPr>
          <w:rFonts w:ascii="Arial" w:hAnsi="Arial" w:cs="Arial"/>
          <w:b/>
          <w:bCs/>
          <w:i/>
          <w:iCs/>
          <w:sz w:val="20"/>
          <w:szCs w:val="20"/>
        </w:rPr>
        <w:t>Парижской конвенции</w:t>
      </w:r>
      <w:r>
        <w:rPr>
          <w:rFonts w:ascii="Arial" w:hAnsi="Arial" w:cs="Arial"/>
          <w:sz w:val="20"/>
          <w:szCs w:val="20"/>
        </w:rPr>
        <w:t xml:space="preserve"> фирменное наименование является объектом промышленной собственности, правовая охрана которого в странах-членах осуществляется соответственно существующему в них правопорядку.</w:t>
      </w:r>
    </w:p>
    <w:p w:rsidR="00FD64D5" w:rsidRDefault="00FD64D5">
      <w:pPr>
        <w:pStyle w:val="a3"/>
        <w:jc w:val="both"/>
        <w:rPr>
          <w:rFonts w:ascii="Arial" w:hAnsi="Arial" w:cs="Arial"/>
          <w:sz w:val="20"/>
          <w:szCs w:val="20"/>
        </w:rPr>
      </w:pPr>
      <w:r>
        <w:rPr>
          <w:rFonts w:ascii="Arial" w:hAnsi="Arial" w:cs="Arial"/>
          <w:sz w:val="20"/>
          <w:szCs w:val="20"/>
        </w:rPr>
        <w:t>В Российской Федерации в настоящее время отсутствует специальный нормативный документ по охране фирменных наименований. Принятое 22 июня 1927 г. Постановление ЦИК и СНК СССР “</w:t>
      </w:r>
      <w:r>
        <w:rPr>
          <w:rFonts w:ascii="Arial" w:hAnsi="Arial" w:cs="Arial"/>
          <w:b/>
          <w:bCs/>
          <w:i/>
          <w:iCs/>
          <w:sz w:val="20"/>
          <w:szCs w:val="20"/>
        </w:rPr>
        <w:t>Положение о фирме</w:t>
      </w:r>
      <w:r>
        <w:rPr>
          <w:rFonts w:ascii="Arial" w:hAnsi="Arial" w:cs="Arial"/>
          <w:sz w:val="20"/>
          <w:szCs w:val="20"/>
        </w:rPr>
        <w:t>” в значительной мере устарело. Поэтому согласно Постановлению Верховного Совета РФ от 14.07.1992 г. “</w:t>
      </w:r>
      <w:r>
        <w:rPr>
          <w:rFonts w:ascii="Arial" w:hAnsi="Arial" w:cs="Arial"/>
          <w:b/>
          <w:bCs/>
          <w:i/>
          <w:iCs/>
          <w:sz w:val="20"/>
          <w:szCs w:val="20"/>
        </w:rPr>
        <w:t>О регулировании гражданских правоотношений в период проведения экономической реформы</w:t>
      </w:r>
      <w:r>
        <w:rPr>
          <w:rFonts w:ascii="Arial" w:hAnsi="Arial" w:cs="Arial"/>
          <w:sz w:val="20"/>
          <w:szCs w:val="20"/>
        </w:rPr>
        <w:t>” этот акт перестал действовать. На территории Российской Федерации введены в действие (с соответствующими ограничениями) “</w:t>
      </w:r>
      <w:r>
        <w:rPr>
          <w:rFonts w:ascii="Arial" w:hAnsi="Arial" w:cs="Arial"/>
          <w:b/>
          <w:bCs/>
          <w:i/>
          <w:iCs/>
          <w:sz w:val="20"/>
          <w:szCs w:val="20"/>
        </w:rPr>
        <w:t>Основы гражданского законодательства Союза ССР и республик</w:t>
      </w:r>
      <w:r>
        <w:rPr>
          <w:rFonts w:ascii="Arial" w:hAnsi="Arial" w:cs="Arial"/>
          <w:sz w:val="20"/>
          <w:szCs w:val="20"/>
        </w:rPr>
        <w:t>”, в которых сказано:</w:t>
      </w:r>
    </w:p>
    <w:p w:rsidR="00FD64D5" w:rsidRDefault="00FD64D5">
      <w:pPr>
        <w:pStyle w:val="a3"/>
        <w:ind w:left="720" w:right="720"/>
        <w:jc w:val="both"/>
        <w:rPr>
          <w:rFonts w:ascii="Arial" w:hAnsi="Arial" w:cs="Arial"/>
          <w:sz w:val="20"/>
          <w:szCs w:val="20"/>
        </w:rPr>
      </w:pPr>
      <w:r>
        <w:rPr>
          <w:rFonts w:ascii="Arial" w:hAnsi="Arial" w:cs="Arial"/>
          <w:sz w:val="20"/>
          <w:szCs w:val="20"/>
        </w:rPr>
        <w:t>“Статья 149. Право на фирменное наименование</w:t>
      </w:r>
    </w:p>
    <w:p w:rsidR="00FD64D5" w:rsidRDefault="00FD64D5">
      <w:pPr>
        <w:pStyle w:val="a3"/>
        <w:ind w:left="720" w:right="720"/>
        <w:jc w:val="both"/>
        <w:rPr>
          <w:rFonts w:ascii="Arial" w:hAnsi="Arial" w:cs="Arial"/>
          <w:sz w:val="20"/>
          <w:szCs w:val="20"/>
        </w:rPr>
      </w:pPr>
      <w:r>
        <w:rPr>
          <w:rFonts w:ascii="Arial" w:hAnsi="Arial" w:cs="Arial"/>
          <w:sz w:val="20"/>
          <w:szCs w:val="20"/>
        </w:rPr>
        <w:t>Фирменное наименование юридического лица подлежит регистрации путем включения в Государственный реестр юридических лиц.</w:t>
      </w:r>
    </w:p>
    <w:p w:rsidR="00FD64D5" w:rsidRDefault="00FD64D5">
      <w:pPr>
        <w:pStyle w:val="a3"/>
        <w:ind w:left="720" w:right="720"/>
        <w:jc w:val="both"/>
        <w:rPr>
          <w:rFonts w:ascii="Arial" w:hAnsi="Arial" w:cs="Arial"/>
          <w:sz w:val="20"/>
          <w:szCs w:val="20"/>
        </w:rPr>
      </w:pPr>
      <w:r>
        <w:rPr>
          <w:rFonts w:ascii="Arial" w:hAnsi="Arial" w:cs="Arial"/>
          <w:sz w:val="20"/>
          <w:szCs w:val="20"/>
        </w:rPr>
        <w:t>Юридическое лицо, фирменное наименование которого зарегистрировано в установленном порядке, имеет исключительное право его использования.</w:t>
      </w:r>
    </w:p>
    <w:p w:rsidR="00FD64D5" w:rsidRDefault="00FD64D5">
      <w:pPr>
        <w:pStyle w:val="a3"/>
        <w:ind w:left="720" w:right="720"/>
        <w:jc w:val="both"/>
        <w:rPr>
          <w:rFonts w:ascii="Arial" w:hAnsi="Arial" w:cs="Arial"/>
          <w:sz w:val="20"/>
          <w:szCs w:val="20"/>
        </w:rPr>
      </w:pPr>
      <w:r>
        <w:rPr>
          <w:rFonts w:ascii="Arial" w:hAnsi="Arial" w:cs="Arial"/>
          <w:sz w:val="20"/>
          <w:szCs w:val="20"/>
        </w:rPr>
        <w:t>Лицо, использующее чужое зарегистрированное фирменное наименование, по требованию обладателя права на фирменное наименование обязано прекратить его использование и возместить причиненные убытки”.</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Таким образом, регистрация фирменных наименований носит правоустановочный характер.</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Кроме того, в настоящее время в Российской Федерации следует опираться на следующие Законы РСФСР:</w:t>
      </w:r>
    </w:p>
    <w:p w:rsidR="00FD64D5" w:rsidRDefault="00FD64D5">
      <w:pPr>
        <w:numPr>
          <w:ilvl w:val="0"/>
          <w:numId w:val="23"/>
        </w:numPr>
        <w:spacing w:before="100" w:beforeAutospacing="1" w:after="100" w:afterAutospacing="1"/>
        <w:jc w:val="both"/>
        <w:rPr>
          <w:rFonts w:ascii="Arial" w:hAnsi="Arial" w:cs="Arial"/>
          <w:sz w:val="20"/>
          <w:szCs w:val="20"/>
        </w:rPr>
      </w:pPr>
      <w:r>
        <w:rPr>
          <w:rFonts w:ascii="Arial" w:hAnsi="Arial" w:cs="Arial"/>
          <w:sz w:val="20"/>
          <w:szCs w:val="20"/>
        </w:rPr>
        <w:t xml:space="preserve">“О собственности в РСФСР” от 24.12.1990 г.; </w:t>
      </w:r>
    </w:p>
    <w:p w:rsidR="00FD64D5" w:rsidRDefault="00FD64D5">
      <w:pPr>
        <w:numPr>
          <w:ilvl w:val="0"/>
          <w:numId w:val="23"/>
        </w:numPr>
        <w:spacing w:before="100" w:beforeAutospacing="1" w:after="100" w:afterAutospacing="1"/>
        <w:jc w:val="both"/>
        <w:rPr>
          <w:rFonts w:ascii="Arial" w:hAnsi="Arial" w:cs="Arial"/>
          <w:sz w:val="20"/>
          <w:szCs w:val="20"/>
        </w:rPr>
      </w:pPr>
      <w:r>
        <w:rPr>
          <w:rFonts w:ascii="Arial" w:hAnsi="Arial" w:cs="Arial"/>
          <w:sz w:val="20"/>
          <w:szCs w:val="20"/>
        </w:rPr>
        <w:t xml:space="preserve">“О предприятиях и предпринимательской деятельности” от 25.12.1990 г.; </w:t>
      </w:r>
    </w:p>
    <w:p w:rsidR="00FD64D5" w:rsidRDefault="00FD64D5">
      <w:pPr>
        <w:numPr>
          <w:ilvl w:val="0"/>
          <w:numId w:val="23"/>
        </w:numPr>
        <w:spacing w:before="100" w:beforeAutospacing="1" w:after="100" w:afterAutospacing="1"/>
        <w:jc w:val="both"/>
        <w:rPr>
          <w:rFonts w:ascii="Arial" w:hAnsi="Arial" w:cs="Arial"/>
          <w:sz w:val="20"/>
          <w:szCs w:val="20"/>
        </w:rPr>
      </w:pPr>
      <w:r>
        <w:rPr>
          <w:rFonts w:ascii="Arial" w:hAnsi="Arial" w:cs="Arial"/>
          <w:sz w:val="20"/>
          <w:szCs w:val="20"/>
        </w:rPr>
        <w:t xml:space="preserve">“О конкуренции и ограничении монополистической деятельности на товарных рынках” от 22.03.1991 г.; </w:t>
      </w:r>
    </w:p>
    <w:p w:rsidR="00FD64D5" w:rsidRDefault="00FD64D5">
      <w:pPr>
        <w:numPr>
          <w:ilvl w:val="0"/>
          <w:numId w:val="23"/>
        </w:numPr>
        <w:spacing w:before="100" w:beforeAutospacing="1" w:after="100" w:afterAutospacing="1"/>
        <w:jc w:val="both"/>
        <w:rPr>
          <w:rFonts w:ascii="Arial" w:hAnsi="Arial" w:cs="Arial"/>
          <w:sz w:val="20"/>
          <w:szCs w:val="20"/>
        </w:rPr>
      </w:pPr>
      <w:r>
        <w:rPr>
          <w:rFonts w:ascii="Arial" w:hAnsi="Arial" w:cs="Arial"/>
          <w:sz w:val="20"/>
          <w:szCs w:val="20"/>
        </w:rPr>
        <w:t xml:space="preserve">“О защите прав потребителей” от 07.02.1992 г..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Регистрация фирменных наименований предприятий обязательна. В соответствии со статьей 149 “</w:t>
      </w:r>
      <w:r>
        <w:rPr>
          <w:rFonts w:ascii="Arial" w:hAnsi="Arial" w:cs="Arial"/>
          <w:b/>
          <w:bCs/>
          <w:i/>
          <w:iCs/>
          <w:sz w:val="20"/>
          <w:szCs w:val="20"/>
        </w:rPr>
        <w:t>Основ гражданского законодательства Союза ССР и республик</w:t>
      </w:r>
      <w:r>
        <w:rPr>
          <w:rFonts w:ascii="Arial" w:hAnsi="Arial" w:cs="Arial"/>
          <w:sz w:val="20"/>
          <w:szCs w:val="20"/>
        </w:rPr>
        <w:t>” фирменное наименование юридического лица подлежит регистрации путем включения в государственный реестр юридических лиц.</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Законом РСФСР “</w:t>
      </w:r>
      <w:r>
        <w:rPr>
          <w:rFonts w:ascii="Arial" w:hAnsi="Arial" w:cs="Arial"/>
          <w:b/>
          <w:bCs/>
          <w:i/>
          <w:iCs/>
          <w:sz w:val="20"/>
          <w:szCs w:val="20"/>
        </w:rPr>
        <w:t>О предприятиях и предпринимательской деятельности</w:t>
      </w:r>
      <w:r>
        <w:rPr>
          <w:rFonts w:ascii="Arial" w:hAnsi="Arial" w:cs="Arial"/>
          <w:sz w:val="20"/>
          <w:szCs w:val="20"/>
        </w:rPr>
        <w:t>” функционирование незарегистрированных предприятий запрещено. Они регистрировались Советами народных депутатов (в настоящее время их правопреемниками) по месту учреждения предприятий. Все необходимые данные в месячный срок должны быть сообщены в Минфин для включения в Госреестр. В данном законе указывается, что предприятие имеет собственное наименование с указанием его организационно-правовой формы. Отдельного реестра фирменных наименований предприятий не предусмотрено.</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 xml:space="preserve">Правовая охрана фирменных наименований осуществляется на основании норм о пресечении недобросовестной конкуренции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 *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Субъективное право на фирменное наименование является исключительным и абсолютным и заключается главным образом в том, что предприниматели не должны использовать тождественное или сходное с другим обозначение в качестве своего фирменного наименования. Абсолютный характер этого права – в его действенности против любого лица, желающего воспользоваться данным или сходным наименованием.</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При возникновении споров по поводу фирменного наименования сторонам следует учитывать:</w:t>
      </w:r>
    </w:p>
    <w:p w:rsidR="00FD64D5" w:rsidRDefault="00FD64D5">
      <w:pPr>
        <w:numPr>
          <w:ilvl w:val="0"/>
          <w:numId w:val="24"/>
        </w:numPr>
        <w:spacing w:before="100" w:beforeAutospacing="1" w:after="100" w:afterAutospacing="1"/>
        <w:jc w:val="both"/>
        <w:rPr>
          <w:rFonts w:ascii="Arial" w:hAnsi="Arial" w:cs="Arial"/>
          <w:sz w:val="20"/>
          <w:szCs w:val="20"/>
        </w:rPr>
      </w:pPr>
      <w:r>
        <w:rPr>
          <w:rFonts w:ascii="Arial" w:hAnsi="Arial" w:cs="Arial"/>
          <w:sz w:val="20"/>
          <w:szCs w:val="20"/>
        </w:rPr>
        <w:t xml:space="preserve">Приоритет регистрации фирменного наименования. Организация, обладающая более ранним приоритетом, обладает и исключительными правами использования фирменного наименования. </w:t>
      </w:r>
    </w:p>
    <w:p w:rsidR="00FD64D5" w:rsidRDefault="00FD64D5">
      <w:pPr>
        <w:numPr>
          <w:ilvl w:val="0"/>
          <w:numId w:val="24"/>
        </w:numPr>
        <w:spacing w:before="100" w:beforeAutospacing="1" w:after="100" w:afterAutospacing="1"/>
        <w:jc w:val="both"/>
        <w:rPr>
          <w:rFonts w:ascii="Arial" w:hAnsi="Arial" w:cs="Arial"/>
          <w:sz w:val="20"/>
          <w:szCs w:val="20"/>
        </w:rPr>
      </w:pPr>
      <w:r>
        <w:rPr>
          <w:rFonts w:ascii="Arial" w:hAnsi="Arial" w:cs="Arial"/>
          <w:sz w:val="20"/>
          <w:szCs w:val="20"/>
        </w:rPr>
        <w:t xml:space="preserve">Насколько сходны между собой фирменные наименования, являющееся предметом спора, и могут ли они ввести в заблуждение потребителя. Если фирменные наименования различаются только в организационно-правовой форме предприятий, то они не должны восприниматься как разные наименования, так как потребитель может быть введен в заблуждение, а предприниматель понести материальный и моральный ущерб от потери клиентуры и от того, что товары и услуги конкурирующей фирмы окажутся более низкого качества. </w:t>
      </w:r>
    </w:p>
    <w:p w:rsidR="00FD64D5" w:rsidRDefault="00FD64D5">
      <w:pPr>
        <w:numPr>
          <w:ilvl w:val="0"/>
          <w:numId w:val="24"/>
        </w:numPr>
        <w:spacing w:before="100" w:beforeAutospacing="1" w:after="100" w:afterAutospacing="1"/>
        <w:jc w:val="both"/>
        <w:rPr>
          <w:rFonts w:ascii="Arial" w:hAnsi="Arial" w:cs="Arial"/>
          <w:sz w:val="20"/>
          <w:szCs w:val="20"/>
        </w:rPr>
      </w:pPr>
      <w:r>
        <w:rPr>
          <w:rFonts w:ascii="Arial" w:hAnsi="Arial" w:cs="Arial"/>
          <w:sz w:val="20"/>
          <w:szCs w:val="20"/>
        </w:rPr>
        <w:t xml:space="preserve">Предмет деятельности спорящих сторон. Если области их предпринимательской деятельности достаточно далеки одна от другой, то это означает, что они обслуживают различный контингент потребителей и прямой конкуренции здесь быть не должно. </w:t>
      </w:r>
    </w:p>
    <w:p w:rsidR="00FD64D5" w:rsidRDefault="00FD64D5">
      <w:pPr>
        <w:numPr>
          <w:ilvl w:val="0"/>
          <w:numId w:val="24"/>
        </w:numPr>
        <w:spacing w:before="100" w:beforeAutospacing="1" w:after="100" w:afterAutospacing="1"/>
        <w:jc w:val="both"/>
        <w:rPr>
          <w:rFonts w:ascii="Arial" w:hAnsi="Arial" w:cs="Arial"/>
          <w:sz w:val="20"/>
          <w:szCs w:val="20"/>
        </w:rPr>
      </w:pPr>
      <w:r>
        <w:rPr>
          <w:rFonts w:ascii="Arial" w:hAnsi="Arial" w:cs="Arial"/>
          <w:sz w:val="20"/>
          <w:szCs w:val="20"/>
        </w:rPr>
        <w:t xml:space="preserve">Территории коммерческой деятельности спорящих сторон. (Например, предприятие, действующее в Хабаровске, вряд ли составит конкуренцию предприятию, работающему в Самаре). </w:t>
      </w:r>
    </w:p>
    <w:p w:rsidR="00FD64D5" w:rsidRDefault="00FD64D5">
      <w:pPr>
        <w:numPr>
          <w:ilvl w:val="0"/>
          <w:numId w:val="24"/>
        </w:numPr>
        <w:spacing w:before="100" w:beforeAutospacing="1" w:after="100" w:afterAutospacing="1"/>
        <w:jc w:val="both"/>
        <w:rPr>
          <w:rFonts w:ascii="Arial" w:hAnsi="Arial" w:cs="Arial"/>
          <w:sz w:val="20"/>
          <w:szCs w:val="20"/>
        </w:rPr>
      </w:pPr>
      <w:r>
        <w:rPr>
          <w:rFonts w:ascii="Arial" w:hAnsi="Arial" w:cs="Arial"/>
          <w:sz w:val="20"/>
          <w:szCs w:val="20"/>
        </w:rPr>
        <w:t xml:space="preserve">Наличие зарегистрированного товарного знака и его ценность.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Публикации о регистрации товарных знаков доступны любым лицам, и если в течение определенного времени на опубликованный товарный знак не поступил протест, это обстоятельство можно считать в пользу фирмы – владельца товарного знака. В этом случае наличие зарегистрированного товарного знака будет иметь для фирменного наименования правоудостоверяющее значение. Право на фирменное наименование и тождественный ему товарный знак дополняют друг друга и расширяют объем прав одного и того же владельца.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Защита прав на фирменное наименование осуществляется в судебном порядке и сводится к требованиям запретить конкуренту использовать впредь данное наименование и возместить владельцу убытки, понесенные им в результате нарушения его права.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Следует отметить, что наряду с судебной защитой право на фирменное наименование должно охраняться и в административном порядке.</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Отказ в регистрации наименования, сходного с зарегистрированным ранее чужим фирменным наименованием, является административной мерой по предупреждению нарушений права на фирменное наименование.</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Правовые отношения в области охраны фирменных наименований нуждаются в совершенствовании. Законодательству и судебной практике в ближайшее время необходимо решить следующие вопросы:</w:t>
      </w:r>
    </w:p>
    <w:p w:rsidR="00FD64D5" w:rsidRDefault="00FD64D5">
      <w:pPr>
        <w:numPr>
          <w:ilvl w:val="0"/>
          <w:numId w:val="25"/>
        </w:numPr>
        <w:spacing w:before="100" w:beforeAutospacing="1" w:after="100" w:afterAutospacing="1"/>
        <w:jc w:val="both"/>
        <w:rPr>
          <w:rFonts w:ascii="Arial" w:hAnsi="Arial" w:cs="Arial"/>
          <w:sz w:val="20"/>
          <w:szCs w:val="20"/>
        </w:rPr>
      </w:pPr>
      <w:r>
        <w:rPr>
          <w:rFonts w:ascii="Arial" w:hAnsi="Arial" w:cs="Arial"/>
          <w:sz w:val="20"/>
          <w:szCs w:val="20"/>
        </w:rPr>
        <w:t xml:space="preserve">Что такое новизна фирменного наименования и каков различительный характер регистрируемых в качестве фирменных наименований обозначений? </w:t>
      </w:r>
    </w:p>
    <w:p w:rsidR="00FD64D5" w:rsidRDefault="00FD64D5">
      <w:pPr>
        <w:numPr>
          <w:ilvl w:val="0"/>
          <w:numId w:val="25"/>
        </w:numPr>
        <w:spacing w:before="100" w:beforeAutospacing="1" w:after="100" w:afterAutospacing="1"/>
        <w:jc w:val="both"/>
        <w:rPr>
          <w:rFonts w:ascii="Arial" w:hAnsi="Arial" w:cs="Arial"/>
          <w:sz w:val="20"/>
          <w:szCs w:val="20"/>
        </w:rPr>
      </w:pPr>
      <w:r>
        <w:rPr>
          <w:rFonts w:ascii="Arial" w:hAnsi="Arial" w:cs="Arial"/>
          <w:sz w:val="20"/>
          <w:szCs w:val="20"/>
        </w:rPr>
        <w:t xml:space="preserve">Какие обозначения не могут быть зарегистрированы в качестве фирменного наименования и все ли предлагаемые заявителями обозначения следует регистрировать в этом качестве? </w:t>
      </w:r>
    </w:p>
    <w:p w:rsidR="00FD64D5" w:rsidRDefault="00FD64D5">
      <w:pPr>
        <w:numPr>
          <w:ilvl w:val="0"/>
          <w:numId w:val="25"/>
        </w:numPr>
        <w:spacing w:before="100" w:beforeAutospacing="1" w:after="100" w:afterAutospacing="1"/>
        <w:jc w:val="both"/>
        <w:rPr>
          <w:rFonts w:ascii="Arial" w:hAnsi="Arial" w:cs="Arial"/>
          <w:sz w:val="20"/>
          <w:szCs w:val="20"/>
        </w:rPr>
      </w:pPr>
      <w:r>
        <w:rPr>
          <w:rFonts w:ascii="Arial" w:hAnsi="Arial" w:cs="Arial"/>
          <w:sz w:val="20"/>
          <w:szCs w:val="20"/>
        </w:rPr>
        <w:t xml:space="preserve">Целесообразно ли определять территорию действия фирменного наименования?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Товарный знак предприятия не следует смешивать с фирменным наименованием, хотя оба имеют общую цель – индивидуализацию. Фирменное наименование – это название предприятия, которое индивидуализирует его и под которым осуществляется производственная, торговая или иная деятельность.</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Сравнивая товарный знак с фирменным обозначением, можно отметить:</w:t>
      </w:r>
    </w:p>
    <w:p w:rsidR="00FD64D5" w:rsidRDefault="00FD64D5">
      <w:pPr>
        <w:numPr>
          <w:ilvl w:val="0"/>
          <w:numId w:val="26"/>
        </w:numPr>
        <w:spacing w:before="100" w:beforeAutospacing="1" w:after="100" w:afterAutospacing="1"/>
        <w:jc w:val="both"/>
        <w:rPr>
          <w:rFonts w:ascii="Arial" w:hAnsi="Arial" w:cs="Arial"/>
          <w:sz w:val="20"/>
          <w:szCs w:val="20"/>
        </w:rPr>
      </w:pPr>
      <w:r>
        <w:rPr>
          <w:rFonts w:ascii="Arial" w:hAnsi="Arial" w:cs="Arial"/>
          <w:sz w:val="20"/>
          <w:szCs w:val="20"/>
        </w:rPr>
        <w:t xml:space="preserve">Каждое предприятие может иметь только одно фирменное наименование, тогда как товарных знаков у предприятия может быть несколько (для каждой категории товаров можно иметь свой товарный знак); </w:t>
      </w:r>
    </w:p>
    <w:p w:rsidR="00FD64D5" w:rsidRDefault="00FD64D5">
      <w:pPr>
        <w:numPr>
          <w:ilvl w:val="0"/>
          <w:numId w:val="26"/>
        </w:numPr>
        <w:spacing w:before="100" w:beforeAutospacing="1" w:after="100" w:afterAutospacing="1"/>
        <w:jc w:val="both"/>
        <w:rPr>
          <w:rFonts w:ascii="Arial" w:hAnsi="Arial" w:cs="Arial"/>
          <w:sz w:val="20"/>
          <w:szCs w:val="20"/>
        </w:rPr>
      </w:pPr>
      <w:r>
        <w:rPr>
          <w:rFonts w:ascii="Arial" w:hAnsi="Arial" w:cs="Arial"/>
          <w:sz w:val="20"/>
          <w:szCs w:val="20"/>
        </w:rPr>
        <w:t xml:space="preserve">Фирменное наименование служит для отличия самого предприятия, тогда как товарный знак призван различать товар, произведенный на данном предприятии, или услуги, оказываемые им.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Соотношение фирменных наименований и товарных знаков показывает, что, несмотря на сходство выполняемых этими объектами права задач, имеются и существенные отличия. Полное фирменное наименование неспособно эффективно выполнять присущую товарному знаку рекламную функцию из-за своей сложности, многоэлементной структуры и подверженности изменениям. В силу указанной причины было бы неоправданно предоставлять полному фирменному наименованию дополнительную охрану в качестве товарного знака.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Эффективный товарный знак должен быть оригинальным, хорошо запоминающимся, должен иметь неповторимый образ, вызывать положительные ассоциации. Для достижения этой цели владельцы товарных знаков часто включают в их состав элементы фирменных наименований, названия литературных произведений, цитаты, имена популярных персонажей, портреты знаменитых людей, их подписи, фамилии и т. д.</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Однако нередко товарные знаки разрабатываются на основе полного или частичного использования труднопроизносимого или неохраноспособного фирменного наименования.</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Кроме того, многие новые предприятия, особенно кооперативные, выпускающие однородную продукцию или оказывающие сходственные услуги, имеют одинаковые фирменные наименования (“Уют”, “Весна”, и т. д.). Если одно из таких предприятий зарегистрирует фирменное наименование как товарный знак, он лишится информативности, его функции будут ослаблены, а потребитель будет введен в заблуждение относительно качества и происхождения товара.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Сложности возникают также, если при выборе или присвоении фирменных наименований не учитываются уже зарегистрированные товарные знаки.</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Включение части фирменного наименования в товарный знак делает его указателем источника происхождения товаров. Особенно распространено включение элементов фирменных наименований в состав этикеток, заявляемых на регистрацию в качестве товарных знаков.</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 *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 xml:space="preserve">Под </w:t>
      </w:r>
      <w:r>
        <w:rPr>
          <w:rFonts w:ascii="Arial" w:hAnsi="Arial" w:cs="Arial"/>
          <w:b/>
          <w:bCs/>
          <w:sz w:val="20"/>
          <w:szCs w:val="20"/>
        </w:rPr>
        <w:t>фирменным стилем</w:t>
      </w:r>
      <w:r>
        <w:rPr>
          <w:rFonts w:ascii="Arial" w:hAnsi="Arial" w:cs="Arial"/>
          <w:sz w:val="20"/>
          <w:szCs w:val="20"/>
        </w:rPr>
        <w:t xml:space="preserve"> подразумевается выработка единых стилеобразующих элементов, определяющих внешний вид продукции, выпускаемой данным предприятием, облик его помещений и оборудования, транспортных средств и упаковки продукции, оформление документации, рекламы и т. д.</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Единый фирменный стиль в рекламе предусматривает совокупность художественных приемов, создающих единый характер подачи рекламных материалов, разработанных на базе оригинального графического дизайна.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Внедрение единого фирменного стиля во все формы рекламной деятельности промышленных предприятий, фирм, торговых организаций будет способствовать узнаваемости их продукции на рынке, внесет порядок в проводимую ими рекламную работу.</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Единый фирменный стиль унифицирует различные точки зрения всех разработчиков, занимающихся рекламой в той или иной организации, объединяет их в одну систему, приводит к созданию рекламы “одного почерка”. В результате отпадает необходимость принятия произвольных, недостаточно квалифицированных решений, сокращаются время разработки и изготовления рекламных средств, их стоимость, что повышает их актуальность на рынке.</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Программа разработки фирменного стиля включает широкий комплекс работ. В каждом случае необходимо создать целый ряд стилеобразующих элементов, правильное и последовательное применение которых индивидуализирует фирму, делает ее “лицо” узнаваемым.</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Основными стилеобразующими элементами являются:</w:t>
      </w:r>
    </w:p>
    <w:p w:rsidR="00FD64D5" w:rsidRDefault="00FD64D5">
      <w:pPr>
        <w:numPr>
          <w:ilvl w:val="0"/>
          <w:numId w:val="27"/>
        </w:numPr>
        <w:spacing w:before="100" w:beforeAutospacing="1" w:after="100" w:afterAutospacing="1"/>
        <w:jc w:val="both"/>
        <w:rPr>
          <w:rFonts w:ascii="Arial" w:hAnsi="Arial" w:cs="Arial"/>
          <w:sz w:val="20"/>
          <w:szCs w:val="20"/>
        </w:rPr>
      </w:pPr>
      <w:r>
        <w:rPr>
          <w:rFonts w:ascii="Arial" w:hAnsi="Arial" w:cs="Arial"/>
          <w:sz w:val="20"/>
          <w:szCs w:val="20"/>
        </w:rPr>
        <w:t xml:space="preserve">Товарный знак; </w:t>
      </w:r>
    </w:p>
    <w:p w:rsidR="00FD64D5" w:rsidRDefault="00FD64D5">
      <w:pPr>
        <w:numPr>
          <w:ilvl w:val="0"/>
          <w:numId w:val="27"/>
        </w:numPr>
        <w:spacing w:before="100" w:beforeAutospacing="1" w:after="100" w:afterAutospacing="1"/>
        <w:jc w:val="both"/>
        <w:rPr>
          <w:rFonts w:ascii="Arial" w:hAnsi="Arial" w:cs="Arial"/>
          <w:sz w:val="20"/>
          <w:szCs w:val="20"/>
        </w:rPr>
      </w:pPr>
      <w:r>
        <w:rPr>
          <w:rFonts w:ascii="Arial" w:hAnsi="Arial" w:cs="Arial"/>
          <w:sz w:val="20"/>
          <w:szCs w:val="20"/>
        </w:rPr>
        <w:t xml:space="preserve">Фирменная подпись; </w:t>
      </w:r>
    </w:p>
    <w:p w:rsidR="00FD64D5" w:rsidRDefault="00FD64D5">
      <w:pPr>
        <w:numPr>
          <w:ilvl w:val="0"/>
          <w:numId w:val="27"/>
        </w:numPr>
        <w:spacing w:before="100" w:beforeAutospacing="1" w:after="100" w:afterAutospacing="1"/>
        <w:jc w:val="both"/>
        <w:rPr>
          <w:rFonts w:ascii="Arial" w:hAnsi="Arial" w:cs="Arial"/>
          <w:sz w:val="20"/>
          <w:szCs w:val="20"/>
        </w:rPr>
      </w:pPr>
      <w:r>
        <w:rPr>
          <w:rFonts w:ascii="Arial" w:hAnsi="Arial" w:cs="Arial"/>
          <w:sz w:val="20"/>
          <w:szCs w:val="20"/>
        </w:rPr>
        <w:t xml:space="preserve">Символы товарных групп или услуг; </w:t>
      </w:r>
    </w:p>
    <w:p w:rsidR="00FD64D5" w:rsidRDefault="00FD64D5">
      <w:pPr>
        <w:numPr>
          <w:ilvl w:val="0"/>
          <w:numId w:val="27"/>
        </w:numPr>
        <w:spacing w:before="100" w:beforeAutospacing="1" w:after="100" w:afterAutospacing="1"/>
        <w:jc w:val="both"/>
        <w:rPr>
          <w:rFonts w:ascii="Arial" w:hAnsi="Arial" w:cs="Arial"/>
          <w:sz w:val="20"/>
          <w:szCs w:val="20"/>
        </w:rPr>
      </w:pPr>
      <w:r>
        <w:rPr>
          <w:rFonts w:ascii="Arial" w:hAnsi="Arial" w:cs="Arial"/>
          <w:sz w:val="20"/>
          <w:szCs w:val="20"/>
        </w:rPr>
        <w:t xml:space="preserve">Тип шрифта; </w:t>
      </w:r>
    </w:p>
    <w:p w:rsidR="00FD64D5" w:rsidRDefault="00FD64D5">
      <w:pPr>
        <w:numPr>
          <w:ilvl w:val="0"/>
          <w:numId w:val="27"/>
        </w:numPr>
        <w:spacing w:before="100" w:beforeAutospacing="1" w:after="100" w:afterAutospacing="1"/>
        <w:jc w:val="both"/>
        <w:rPr>
          <w:rFonts w:ascii="Arial" w:hAnsi="Arial" w:cs="Arial"/>
          <w:sz w:val="20"/>
          <w:szCs w:val="20"/>
        </w:rPr>
      </w:pPr>
      <w:r>
        <w:rPr>
          <w:rFonts w:ascii="Arial" w:hAnsi="Arial" w:cs="Arial"/>
          <w:sz w:val="20"/>
          <w:szCs w:val="20"/>
        </w:rPr>
        <w:t xml:space="preserve">Фирменный цвет или гамма цветов; </w:t>
      </w:r>
    </w:p>
    <w:p w:rsidR="00FD64D5" w:rsidRDefault="00FD64D5">
      <w:pPr>
        <w:numPr>
          <w:ilvl w:val="0"/>
          <w:numId w:val="27"/>
        </w:numPr>
        <w:spacing w:before="100" w:beforeAutospacing="1" w:after="100" w:afterAutospacing="1"/>
        <w:jc w:val="both"/>
        <w:rPr>
          <w:rFonts w:ascii="Arial" w:hAnsi="Arial" w:cs="Arial"/>
          <w:sz w:val="20"/>
          <w:szCs w:val="20"/>
        </w:rPr>
      </w:pPr>
      <w:r>
        <w:rPr>
          <w:rFonts w:ascii="Arial" w:hAnsi="Arial" w:cs="Arial"/>
          <w:sz w:val="20"/>
          <w:szCs w:val="20"/>
        </w:rPr>
        <w:t xml:space="preserve">Модульная система верстки печатных материалов.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Эти элементы должны гарантировать наибольший объем комбинаций и быть гибкими в такой степени, чтобы их можно было приспособить к меняющимся требованиям. И, что самое главное, они должны производить одинаковое впечатление во всем многообразии их применения в рекламных средствах.</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Являясь центральным элементом фирменного стиля предприятия, товарные знаки играют важную роль при использовании всех современных видах рекламы: объявления в прессе, выпуске специальных изданий, плакатах, транспарантах, световой рекламе, рекламе в кино, по радио и в телевидению, и т. д.</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Так как товарный знак является основным стилеобразующим элементом, его разработке и использованию в системе фирменного стиля следует уделять особое внимание.</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Товарный знак должен отвечать высоким эстетическим требованиям и уровню современной графики. В то же время товарный знак должен быть простым для восприятия, а также в изображении и употреблении, то есть должен легко сочетаться с текстом и другими элементами оформления.</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Однако, если разработанное обозначение (товарный знак) выступает только “само по себе”, если престижный образ фирмы держится исключительно на “красивости” символа, то такой товарный знак не может стать основой для создания фирменного стиля.</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Одно из важнейших качеств товарного знака заключается в том, что он должен проявлять себя не только самостоятельно, но и как часть определенной структуры. Иными словами, товарный знак должен быть своеобразным “флагманом” в графическом ряду, созданном на его основе и образующем ту индивидуальную среду, которая есть не что иное как единый визуальный образ фирмы. Яркий, впечатляющий образ фирмы очень важен, так как лица, в которых она заинтересована, в свою очередь проникаются доверием к фирме, последовательно и привлекательно выступающей рекламе.</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Фирменный стиль предполагает единый подход к использованию товарного знака во всех рекламных выступлениях.</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Во всех случаях товарный знак должен быть воспроизведен в таком виде, в котором он зарегистрирован. Он не должен располагаться близко к другим элементам дизайна и быть отвлекающим внимание цветовым пятном. Не следует также заключать товарный знак в дополнительные рамки или иным способом сочетать его с другими сопутствующими элементами, если это не предусмотрено разработчиками.</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Механическое внесение товарного знака в уже устоявшуюся форму бланка письма имеет искусственный характер: товарный знак не вписывается в строгую композицию шрифтов, нарушает ее. А ведь выход из ситуации довольно прост: найти оптимальное расположение текста и товарного знака.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В равной степени не следует отступать и от рекомендаций по использованию других стилеобразующих элементов. Необходимо помнить, что искажение фирменных цветов, пренебрежение модульной системой верстки, замена фирменных шрифтов также ведут к разрушению образа фирмы.</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Цветографический комплекс стиля обычно составляют товарный знак предприятия (иногда называемый “фирменным”), шрифт, гамма цветов, упаковка, и т. д. Эти графические средства используются в визуальных коммуникациях, документации, средствах транспорта, оборудовании помещений, упаковке и самой продукции, рекламе, фирменной одежде обслуживающего персонала.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Таким образом, комплекс фирменных цветографических средств является как бы совокупным товарным знаком, идентифицирующим предприятие. Нет необходимости доказывать, что рекламный и различительный эффекты действия целого комплекса будут выше, чем при использовании единичного обозначения.</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Создание единого фирменного стиля – это прежде всего средство укрепления положения фирмы на рынке. Однако успех этой функции фирменного стиля зависит от настойчивых, последовательных и целенаправленных усилий всего коллектива фирмы.</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Обычно разработка рекламных объектов фирмы осуществляется в специализированных организациях. Причем зачастую предприятия заказывают выполнение художественно-технического проекта в целом, относящегося и к собственному изделию, и к комплексу графического оформления упаковки и товаросопроводительного материала. В свою очередь, графическое оформление содержит как собственно декоративно-художественные, так и информационные элементы. В число последних входит и товарный знак, который наносится в определенной последовательности и манере на каждый рекламный объект.</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 xml:space="preserve">Теперь подробнее разберемся, с важнейшими составляющими фирменного стиля – </w:t>
      </w:r>
      <w:r>
        <w:rPr>
          <w:rFonts w:ascii="Arial" w:hAnsi="Arial" w:cs="Arial"/>
          <w:b/>
          <w:bCs/>
          <w:sz w:val="20"/>
          <w:szCs w:val="20"/>
        </w:rPr>
        <w:t>фирменным наименованием</w:t>
      </w:r>
      <w:r>
        <w:rPr>
          <w:rFonts w:ascii="Arial" w:hAnsi="Arial" w:cs="Arial"/>
          <w:sz w:val="20"/>
          <w:szCs w:val="20"/>
        </w:rPr>
        <w:t xml:space="preserve"> и </w:t>
      </w:r>
      <w:r>
        <w:rPr>
          <w:rFonts w:ascii="Arial" w:hAnsi="Arial" w:cs="Arial"/>
          <w:b/>
          <w:bCs/>
          <w:sz w:val="20"/>
          <w:szCs w:val="20"/>
        </w:rPr>
        <w:t>товарным знаком</w:t>
      </w:r>
      <w:r>
        <w:rPr>
          <w:rFonts w:ascii="Arial" w:hAnsi="Arial" w:cs="Arial"/>
          <w:sz w:val="20"/>
          <w:szCs w:val="20"/>
        </w:rPr>
        <w:t xml:space="preserve"> и ответственности за использование чужого товарного знака.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Субъективное право на фирменное наименование является исключительным и абсолютным и заключается главным образом в том, что предприниматели не должны использовать тождественное или сходное с другим обозначение в качестве своего фирменного наименования. Абсолютный характер этого права – в его действенности против любого лица, желающего воспользоваться данным или сходным наименованием.</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При возникновении споров по поводу фирменного наименования сторонам следует учитывать:</w:t>
      </w:r>
    </w:p>
    <w:p w:rsidR="00FD64D5" w:rsidRDefault="00FD64D5">
      <w:pPr>
        <w:numPr>
          <w:ilvl w:val="0"/>
          <w:numId w:val="28"/>
        </w:numPr>
        <w:spacing w:before="100" w:beforeAutospacing="1" w:after="100" w:afterAutospacing="1"/>
        <w:jc w:val="both"/>
        <w:rPr>
          <w:rFonts w:ascii="Arial" w:hAnsi="Arial" w:cs="Arial"/>
          <w:sz w:val="20"/>
          <w:szCs w:val="20"/>
        </w:rPr>
      </w:pPr>
      <w:r>
        <w:rPr>
          <w:rFonts w:ascii="Arial" w:hAnsi="Arial" w:cs="Arial"/>
          <w:sz w:val="20"/>
          <w:szCs w:val="20"/>
        </w:rPr>
        <w:t xml:space="preserve">Приоритет регистрации фирменного наименования. Организация, обладающая более ранним приоритетом, обладает и исключительными правами использования фирменного наименования. </w:t>
      </w:r>
    </w:p>
    <w:p w:rsidR="00FD64D5" w:rsidRDefault="00FD64D5">
      <w:pPr>
        <w:numPr>
          <w:ilvl w:val="0"/>
          <w:numId w:val="28"/>
        </w:numPr>
        <w:spacing w:before="100" w:beforeAutospacing="1" w:after="100" w:afterAutospacing="1"/>
        <w:jc w:val="both"/>
        <w:rPr>
          <w:rFonts w:ascii="Arial" w:hAnsi="Arial" w:cs="Arial"/>
          <w:sz w:val="20"/>
          <w:szCs w:val="20"/>
        </w:rPr>
      </w:pPr>
      <w:r>
        <w:rPr>
          <w:rFonts w:ascii="Arial" w:hAnsi="Arial" w:cs="Arial"/>
          <w:sz w:val="20"/>
          <w:szCs w:val="20"/>
        </w:rPr>
        <w:t xml:space="preserve">Насколько сходны между собой фирменные наименования, являющееся предметом спора, и могут ли они ввести в заблуждение потребителя. Если фирменные наименования различаются только в организационно-правовой форме предприятий, то они не должны восприниматься как разные наименования, так как потребитель может быть введен в заблуждение, а предприниматель понести материальный и моральный ущерб от потери клиентуры и от того, что товары и услуги конкурирующей фирмы окажутся более низкого качества. </w:t>
      </w:r>
    </w:p>
    <w:p w:rsidR="00FD64D5" w:rsidRDefault="00FD64D5">
      <w:pPr>
        <w:numPr>
          <w:ilvl w:val="0"/>
          <w:numId w:val="28"/>
        </w:numPr>
        <w:spacing w:before="100" w:beforeAutospacing="1" w:after="100" w:afterAutospacing="1"/>
        <w:jc w:val="both"/>
        <w:rPr>
          <w:rFonts w:ascii="Arial" w:hAnsi="Arial" w:cs="Arial"/>
          <w:sz w:val="20"/>
          <w:szCs w:val="20"/>
        </w:rPr>
      </w:pPr>
      <w:r>
        <w:rPr>
          <w:rFonts w:ascii="Arial" w:hAnsi="Arial" w:cs="Arial"/>
          <w:sz w:val="20"/>
          <w:szCs w:val="20"/>
        </w:rPr>
        <w:t xml:space="preserve">Предмет деятельности спорящих сторон. Если области их предпринимательской деятельности достаточно далеки одна от другой, то это означает, что они обслуживают различный контингент потребителей и прямой конкуренции здесь быть не должно. </w:t>
      </w:r>
    </w:p>
    <w:p w:rsidR="00FD64D5" w:rsidRDefault="00FD64D5">
      <w:pPr>
        <w:numPr>
          <w:ilvl w:val="0"/>
          <w:numId w:val="28"/>
        </w:numPr>
        <w:spacing w:before="100" w:beforeAutospacing="1" w:after="100" w:afterAutospacing="1"/>
        <w:jc w:val="both"/>
        <w:rPr>
          <w:rFonts w:ascii="Arial" w:hAnsi="Arial" w:cs="Arial"/>
          <w:sz w:val="20"/>
          <w:szCs w:val="20"/>
        </w:rPr>
      </w:pPr>
      <w:r>
        <w:rPr>
          <w:rFonts w:ascii="Arial" w:hAnsi="Arial" w:cs="Arial"/>
          <w:sz w:val="20"/>
          <w:szCs w:val="20"/>
        </w:rPr>
        <w:t xml:space="preserve">Территории коммерческой деятельности спорящих сторон. (Например, предприятие, действующее в Хабаровске, вряд ли составит конкуренцию предприятию, работающему в Самаре). </w:t>
      </w:r>
    </w:p>
    <w:p w:rsidR="00FD64D5" w:rsidRDefault="00FD64D5">
      <w:pPr>
        <w:numPr>
          <w:ilvl w:val="0"/>
          <w:numId w:val="28"/>
        </w:numPr>
        <w:spacing w:before="100" w:beforeAutospacing="1" w:after="100" w:afterAutospacing="1"/>
        <w:jc w:val="both"/>
        <w:rPr>
          <w:rFonts w:ascii="Arial" w:hAnsi="Arial" w:cs="Arial"/>
          <w:sz w:val="20"/>
          <w:szCs w:val="20"/>
        </w:rPr>
      </w:pPr>
      <w:r>
        <w:rPr>
          <w:rFonts w:ascii="Arial" w:hAnsi="Arial" w:cs="Arial"/>
          <w:sz w:val="20"/>
          <w:szCs w:val="20"/>
        </w:rPr>
        <w:t xml:space="preserve">Наличие зарегистрированного товарного знака и его ценность.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Публикации о регистрации товарных знаков доступны любым лицам, и если в течение определенного времени на опубликованный товарный знак не поступил протест, это обстоятельство можно считать в пользу фирмы – владельца товарного знака. В этом случае наличие зарегистрированного товарного знака будет иметь для фирменного наименования правоудостоверяющее значение. Право на фирменное наименование и тождественный ему товарный знак дополняют друг друга и расширяют объем прав одного и того же владельца.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Защита прав на фирменное наименование осуществляется в судебном порядке и сводится к требованиям запретить конкуренту использовать впредь данное наименование и возместить владельцу убытки, понесенные им в результате нарушения его права.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Следует отметить, что наряду с судебной защитой право на фирменное наименование должно охраняться и в административном порядке.</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Отказ в регистрации наименования, сходного с зарегистрированным ранее чужим фирменным наименованием, является административной мерой по предупреждению нарушений права на фирменное наименование.</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Правовые отношения в области охраны фирменных наименований нуждаются в совершенствовании. Законодательству и судебной практике в ближайшее время необходимо решить следующие вопросы:</w:t>
      </w:r>
    </w:p>
    <w:p w:rsidR="00FD64D5" w:rsidRDefault="00FD64D5">
      <w:pPr>
        <w:numPr>
          <w:ilvl w:val="0"/>
          <w:numId w:val="29"/>
        </w:numPr>
        <w:spacing w:before="100" w:beforeAutospacing="1" w:after="100" w:afterAutospacing="1"/>
        <w:jc w:val="both"/>
        <w:rPr>
          <w:rFonts w:ascii="Arial" w:hAnsi="Arial" w:cs="Arial"/>
          <w:sz w:val="20"/>
          <w:szCs w:val="20"/>
        </w:rPr>
      </w:pPr>
      <w:r>
        <w:rPr>
          <w:rFonts w:ascii="Arial" w:hAnsi="Arial" w:cs="Arial"/>
          <w:sz w:val="20"/>
          <w:szCs w:val="20"/>
        </w:rPr>
        <w:t xml:space="preserve">Что такое новизна фирменного наименования и каков различительный характер регистрируемых в качестве фирменных наименований обозначений? </w:t>
      </w:r>
    </w:p>
    <w:p w:rsidR="00FD64D5" w:rsidRDefault="00FD64D5">
      <w:pPr>
        <w:numPr>
          <w:ilvl w:val="0"/>
          <w:numId w:val="29"/>
        </w:numPr>
        <w:spacing w:before="100" w:beforeAutospacing="1" w:after="100" w:afterAutospacing="1"/>
        <w:jc w:val="both"/>
        <w:rPr>
          <w:rFonts w:ascii="Arial" w:hAnsi="Arial" w:cs="Arial"/>
          <w:sz w:val="20"/>
          <w:szCs w:val="20"/>
        </w:rPr>
      </w:pPr>
      <w:r>
        <w:rPr>
          <w:rFonts w:ascii="Arial" w:hAnsi="Arial" w:cs="Arial"/>
          <w:sz w:val="20"/>
          <w:szCs w:val="20"/>
        </w:rPr>
        <w:t xml:space="preserve">Какие обозначения не могут быть зарегистрированы в качестве фирменного наименования и все ли предлагаемые заявителями обозначения следует регистрировать в этом качестве? </w:t>
      </w:r>
    </w:p>
    <w:p w:rsidR="00FD64D5" w:rsidRDefault="00FD64D5">
      <w:pPr>
        <w:numPr>
          <w:ilvl w:val="0"/>
          <w:numId w:val="29"/>
        </w:numPr>
        <w:spacing w:before="100" w:beforeAutospacing="1" w:after="100" w:afterAutospacing="1"/>
        <w:jc w:val="both"/>
        <w:rPr>
          <w:rFonts w:ascii="Arial" w:hAnsi="Arial" w:cs="Arial"/>
          <w:sz w:val="20"/>
          <w:szCs w:val="20"/>
        </w:rPr>
      </w:pPr>
      <w:r>
        <w:rPr>
          <w:rFonts w:ascii="Arial" w:hAnsi="Arial" w:cs="Arial"/>
          <w:sz w:val="20"/>
          <w:szCs w:val="20"/>
        </w:rPr>
        <w:t xml:space="preserve">Целесообразно ли определять территорию действия фирменного наименования?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Товарный знак предприятия не следует смешивать с фирменным наименованием, хотя оба имеют общую цель – индивидуализацию. Фирменное наименование – это название предприятия, которое индивидуализирует его и под которым осуществляется производственная, торговая или иная деятельность.</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Сравнивая товарный знак с фирменным обозначением, можно отметить:</w:t>
      </w:r>
    </w:p>
    <w:p w:rsidR="00FD64D5" w:rsidRDefault="00FD64D5">
      <w:pPr>
        <w:numPr>
          <w:ilvl w:val="0"/>
          <w:numId w:val="30"/>
        </w:numPr>
        <w:spacing w:before="100" w:beforeAutospacing="1" w:after="100" w:afterAutospacing="1"/>
        <w:jc w:val="both"/>
        <w:rPr>
          <w:rFonts w:ascii="Arial" w:hAnsi="Arial" w:cs="Arial"/>
          <w:sz w:val="20"/>
          <w:szCs w:val="20"/>
        </w:rPr>
      </w:pPr>
      <w:r>
        <w:rPr>
          <w:rFonts w:ascii="Arial" w:hAnsi="Arial" w:cs="Arial"/>
          <w:sz w:val="20"/>
          <w:szCs w:val="20"/>
        </w:rPr>
        <w:t xml:space="preserve">Каждое предприятие может иметь только одно фирменное наименование, тогда как товарных знаков у предприятия может быть несколько (для каждой категории товаров можно иметь свой товарный знак); </w:t>
      </w:r>
    </w:p>
    <w:p w:rsidR="00FD64D5" w:rsidRDefault="00FD64D5">
      <w:pPr>
        <w:numPr>
          <w:ilvl w:val="0"/>
          <w:numId w:val="30"/>
        </w:numPr>
        <w:spacing w:before="100" w:beforeAutospacing="1" w:after="100" w:afterAutospacing="1"/>
        <w:jc w:val="both"/>
        <w:rPr>
          <w:rFonts w:ascii="Arial" w:hAnsi="Arial" w:cs="Arial"/>
          <w:sz w:val="20"/>
          <w:szCs w:val="20"/>
        </w:rPr>
      </w:pPr>
      <w:r>
        <w:rPr>
          <w:rFonts w:ascii="Arial" w:hAnsi="Arial" w:cs="Arial"/>
          <w:sz w:val="20"/>
          <w:szCs w:val="20"/>
        </w:rPr>
        <w:t xml:space="preserve">Фирменное наименование служит для отличия самого предприятия, тогда как товарный знак призван различать товар, произведенный на данном предприятии, или услуги, оказываемые им. </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Соотношение фирменных наименований и товарных знаков показывает, что, несмотря на сходство выполняемых этими объектами права задач, имеются и существенные отличия. Полное фирменное наименование неспособно эффективно выполнять присущую товарному знаку рекламную функцию из-за своей сложности, многоэлементной структуры и подверженности изменениям. В силу указанной причины было бы неоправданно предоставлять полному фирменному наименованию дополнительную охрану в качестве товарного знака.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Эффективный товарный знак должен быть оригинальным, хорошо запоминающимся, должен иметь неповторимый образ, вызывать положительные ассоциации. Для достижения этой цели владельцы товарных знаков часто включают в их состав элементы фирменных наименований, названия литературных произведений, цитаты, имена популярных персонажей, портреты знаменитых людей, их подписи, фамилии и т.д.</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Однако нередко товарные знаки разрабатываются на основе полного или частичного использования труднопроизносимого или неохраноспособного фирменного наименования.</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Кроме того, многие новые предприятия, особенно кооперативные, выпускающие однородную продукцию или оказывающие сходственные услуги, имеют одинаковые фирменные наименования (“Уют”, “Весна”, и т. д.). Если одно из таких предприятий зарегистрирует фирменное наименование как товарный знак, он лишится информативности, его функции будут ослаблены, а потребитель будет введен в заблуждение относительно качества и происхождения товара.</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Сложности возникают также, если при выборе или присвоении фирменных наименований не учитываются уже зарегистрированные товарные знаки.</w:t>
      </w:r>
    </w:p>
    <w:p w:rsidR="00FD64D5" w:rsidRDefault="00FD64D5">
      <w:pPr>
        <w:pStyle w:val="a3"/>
        <w:spacing w:before="0" w:beforeAutospacing="0" w:after="0" w:afterAutospacing="0"/>
        <w:jc w:val="both"/>
        <w:rPr>
          <w:rFonts w:ascii="Arial" w:hAnsi="Arial" w:cs="Arial"/>
          <w:sz w:val="20"/>
          <w:szCs w:val="20"/>
        </w:rPr>
      </w:pPr>
      <w:r>
        <w:rPr>
          <w:rFonts w:ascii="Arial" w:hAnsi="Arial" w:cs="Arial"/>
          <w:sz w:val="20"/>
          <w:szCs w:val="20"/>
        </w:rPr>
        <w:t>Включение части фирменного наименования в товарный знак делает его указателем источника происхождения товаров. Особенно распространено включение элементов фирменных наименований в состав этикеток, заявляемых на регистрацию в качестве товарных знаков.</w:t>
      </w:r>
    </w:p>
    <w:p w:rsidR="00FD64D5" w:rsidRDefault="00FD64D5">
      <w:pPr>
        <w:jc w:val="both"/>
        <w:rPr>
          <w:rFonts w:ascii="Arial" w:hAnsi="Arial" w:cs="Arial"/>
          <w:b/>
          <w:bCs/>
          <w:sz w:val="20"/>
          <w:u w:val="single"/>
        </w:rPr>
      </w:pPr>
      <w:bookmarkStart w:id="0" w:name="_GoBack"/>
      <w:bookmarkEnd w:id="0"/>
    </w:p>
    <w:sectPr w:rsidR="00FD64D5">
      <w:pgSz w:w="11906" w:h="16838"/>
      <w:pgMar w:top="284" w:right="284" w:bottom="833"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584512"/>
    <w:multiLevelType w:val="hybridMultilevel"/>
    <w:tmpl w:val="FBD60792"/>
    <w:lvl w:ilvl="0" w:tplc="DBA605C6">
      <w:start w:val="1"/>
      <w:numFmt w:val="decimal"/>
      <w:lvlText w:val="%1."/>
      <w:lvlJc w:val="left"/>
      <w:pPr>
        <w:tabs>
          <w:tab w:val="num" w:pos="720"/>
        </w:tabs>
        <w:ind w:left="720" w:hanging="360"/>
      </w:pPr>
    </w:lvl>
    <w:lvl w:ilvl="1" w:tplc="F7922242" w:tentative="1">
      <w:start w:val="1"/>
      <w:numFmt w:val="decimal"/>
      <w:lvlText w:val="%2."/>
      <w:lvlJc w:val="left"/>
      <w:pPr>
        <w:tabs>
          <w:tab w:val="num" w:pos="1440"/>
        </w:tabs>
        <w:ind w:left="1440" w:hanging="360"/>
      </w:pPr>
    </w:lvl>
    <w:lvl w:ilvl="2" w:tplc="A6383E38" w:tentative="1">
      <w:start w:val="1"/>
      <w:numFmt w:val="decimal"/>
      <w:lvlText w:val="%3."/>
      <w:lvlJc w:val="left"/>
      <w:pPr>
        <w:tabs>
          <w:tab w:val="num" w:pos="2160"/>
        </w:tabs>
        <w:ind w:left="2160" w:hanging="360"/>
      </w:pPr>
    </w:lvl>
    <w:lvl w:ilvl="3" w:tplc="467200E4" w:tentative="1">
      <w:start w:val="1"/>
      <w:numFmt w:val="decimal"/>
      <w:lvlText w:val="%4."/>
      <w:lvlJc w:val="left"/>
      <w:pPr>
        <w:tabs>
          <w:tab w:val="num" w:pos="2880"/>
        </w:tabs>
        <w:ind w:left="2880" w:hanging="360"/>
      </w:pPr>
    </w:lvl>
    <w:lvl w:ilvl="4" w:tplc="9BB042D8" w:tentative="1">
      <w:start w:val="1"/>
      <w:numFmt w:val="decimal"/>
      <w:lvlText w:val="%5."/>
      <w:lvlJc w:val="left"/>
      <w:pPr>
        <w:tabs>
          <w:tab w:val="num" w:pos="3600"/>
        </w:tabs>
        <w:ind w:left="3600" w:hanging="360"/>
      </w:pPr>
    </w:lvl>
    <w:lvl w:ilvl="5" w:tplc="DE7E1A9E" w:tentative="1">
      <w:start w:val="1"/>
      <w:numFmt w:val="decimal"/>
      <w:lvlText w:val="%6."/>
      <w:lvlJc w:val="left"/>
      <w:pPr>
        <w:tabs>
          <w:tab w:val="num" w:pos="4320"/>
        </w:tabs>
        <w:ind w:left="4320" w:hanging="360"/>
      </w:pPr>
    </w:lvl>
    <w:lvl w:ilvl="6" w:tplc="9FDE95F4" w:tentative="1">
      <w:start w:val="1"/>
      <w:numFmt w:val="decimal"/>
      <w:lvlText w:val="%7."/>
      <w:lvlJc w:val="left"/>
      <w:pPr>
        <w:tabs>
          <w:tab w:val="num" w:pos="5040"/>
        </w:tabs>
        <w:ind w:left="5040" w:hanging="360"/>
      </w:pPr>
    </w:lvl>
    <w:lvl w:ilvl="7" w:tplc="2B32652A" w:tentative="1">
      <w:start w:val="1"/>
      <w:numFmt w:val="decimal"/>
      <w:lvlText w:val="%8."/>
      <w:lvlJc w:val="left"/>
      <w:pPr>
        <w:tabs>
          <w:tab w:val="num" w:pos="5760"/>
        </w:tabs>
        <w:ind w:left="5760" w:hanging="360"/>
      </w:pPr>
    </w:lvl>
    <w:lvl w:ilvl="8" w:tplc="69566462" w:tentative="1">
      <w:start w:val="1"/>
      <w:numFmt w:val="decimal"/>
      <w:lvlText w:val="%9."/>
      <w:lvlJc w:val="left"/>
      <w:pPr>
        <w:tabs>
          <w:tab w:val="num" w:pos="6480"/>
        </w:tabs>
        <w:ind w:left="6480" w:hanging="360"/>
      </w:pPr>
    </w:lvl>
  </w:abstractNum>
  <w:abstractNum w:abstractNumId="1">
    <w:nsid w:val="061D26B4"/>
    <w:multiLevelType w:val="hybridMultilevel"/>
    <w:tmpl w:val="E2685A78"/>
    <w:lvl w:ilvl="0" w:tplc="400C8624">
      <w:start w:val="1"/>
      <w:numFmt w:val="bullet"/>
      <w:lvlText w:val=""/>
      <w:lvlJc w:val="left"/>
      <w:pPr>
        <w:tabs>
          <w:tab w:val="num" w:pos="720"/>
        </w:tabs>
        <w:ind w:left="720" w:hanging="360"/>
      </w:pPr>
      <w:rPr>
        <w:rFonts w:ascii="Symbol" w:hAnsi="Symbol" w:hint="default"/>
        <w:sz w:val="20"/>
      </w:rPr>
    </w:lvl>
    <w:lvl w:ilvl="1" w:tplc="772EC1A4" w:tentative="1">
      <w:start w:val="1"/>
      <w:numFmt w:val="bullet"/>
      <w:lvlText w:val="o"/>
      <w:lvlJc w:val="left"/>
      <w:pPr>
        <w:tabs>
          <w:tab w:val="num" w:pos="1440"/>
        </w:tabs>
        <w:ind w:left="1440" w:hanging="360"/>
      </w:pPr>
      <w:rPr>
        <w:rFonts w:ascii="Courier New" w:hAnsi="Courier New" w:hint="default"/>
        <w:sz w:val="20"/>
      </w:rPr>
    </w:lvl>
    <w:lvl w:ilvl="2" w:tplc="22440A74" w:tentative="1">
      <w:start w:val="1"/>
      <w:numFmt w:val="bullet"/>
      <w:lvlText w:val=""/>
      <w:lvlJc w:val="left"/>
      <w:pPr>
        <w:tabs>
          <w:tab w:val="num" w:pos="2160"/>
        </w:tabs>
        <w:ind w:left="2160" w:hanging="360"/>
      </w:pPr>
      <w:rPr>
        <w:rFonts w:ascii="Wingdings" w:hAnsi="Wingdings" w:hint="default"/>
        <w:sz w:val="20"/>
      </w:rPr>
    </w:lvl>
    <w:lvl w:ilvl="3" w:tplc="76D41F78" w:tentative="1">
      <w:start w:val="1"/>
      <w:numFmt w:val="bullet"/>
      <w:lvlText w:val=""/>
      <w:lvlJc w:val="left"/>
      <w:pPr>
        <w:tabs>
          <w:tab w:val="num" w:pos="2880"/>
        </w:tabs>
        <w:ind w:left="2880" w:hanging="360"/>
      </w:pPr>
      <w:rPr>
        <w:rFonts w:ascii="Wingdings" w:hAnsi="Wingdings" w:hint="default"/>
        <w:sz w:val="20"/>
      </w:rPr>
    </w:lvl>
    <w:lvl w:ilvl="4" w:tplc="A95CC1C0" w:tentative="1">
      <w:start w:val="1"/>
      <w:numFmt w:val="bullet"/>
      <w:lvlText w:val=""/>
      <w:lvlJc w:val="left"/>
      <w:pPr>
        <w:tabs>
          <w:tab w:val="num" w:pos="3600"/>
        </w:tabs>
        <w:ind w:left="3600" w:hanging="360"/>
      </w:pPr>
      <w:rPr>
        <w:rFonts w:ascii="Wingdings" w:hAnsi="Wingdings" w:hint="default"/>
        <w:sz w:val="20"/>
      </w:rPr>
    </w:lvl>
    <w:lvl w:ilvl="5" w:tplc="6BCCD2EC" w:tentative="1">
      <w:start w:val="1"/>
      <w:numFmt w:val="bullet"/>
      <w:lvlText w:val=""/>
      <w:lvlJc w:val="left"/>
      <w:pPr>
        <w:tabs>
          <w:tab w:val="num" w:pos="4320"/>
        </w:tabs>
        <w:ind w:left="4320" w:hanging="360"/>
      </w:pPr>
      <w:rPr>
        <w:rFonts w:ascii="Wingdings" w:hAnsi="Wingdings" w:hint="default"/>
        <w:sz w:val="20"/>
      </w:rPr>
    </w:lvl>
    <w:lvl w:ilvl="6" w:tplc="29923C9C" w:tentative="1">
      <w:start w:val="1"/>
      <w:numFmt w:val="bullet"/>
      <w:lvlText w:val=""/>
      <w:lvlJc w:val="left"/>
      <w:pPr>
        <w:tabs>
          <w:tab w:val="num" w:pos="5040"/>
        </w:tabs>
        <w:ind w:left="5040" w:hanging="360"/>
      </w:pPr>
      <w:rPr>
        <w:rFonts w:ascii="Wingdings" w:hAnsi="Wingdings" w:hint="default"/>
        <w:sz w:val="20"/>
      </w:rPr>
    </w:lvl>
    <w:lvl w:ilvl="7" w:tplc="7EB2DE2E" w:tentative="1">
      <w:start w:val="1"/>
      <w:numFmt w:val="bullet"/>
      <w:lvlText w:val=""/>
      <w:lvlJc w:val="left"/>
      <w:pPr>
        <w:tabs>
          <w:tab w:val="num" w:pos="5760"/>
        </w:tabs>
        <w:ind w:left="5760" w:hanging="360"/>
      </w:pPr>
      <w:rPr>
        <w:rFonts w:ascii="Wingdings" w:hAnsi="Wingdings" w:hint="default"/>
        <w:sz w:val="20"/>
      </w:rPr>
    </w:lvl>
    <w:lvl w:ilvl="8" w:tplc="305A63E8" w:tentative="1">
      <w:start w:val="1"/>
      <w:numFmt w:val="bullet"/>
      <w:lvlText w:val=""/>
      <w:lvlJc w:val="left"/>
      <w:pPr>
        <w:tabs>
          <w:tab w:val="num" w:pos="6480"/>
        </w:tabs>
        <w:ind w:left="6480" w:hanging="360"/>
      </w:pPr>
      <w:rPr>
        <w:rFonts w:ascii="Wingdings" w:hAnsi="Wingdings" w:hint="default"/>
        <w:sz w:val="20"/>
      </w:rPr>
    </w:lvl>
  </w:abstractNum>
  <w:abstractNum w:abstractNumId="2">
    <w:nsid w:val="07F336F9"/>
    <w:multiLevelType w:val="hybridMultilevel"/>
    <w:tmpl w:val="3F48241C"/>
    <w:lvl w:ilvl="0" w:tplc="B8D66D94">
      <w:start w:val="1"/>
      <w:numFmt w:val="bullet"/>
      <w:lvlText w:val=""/>
      <w:lvlJc w:val="left"/>
      <w:pPr>
        <w:tabs>
          <w:tab w:val="num" w:pos="720"/>
        </w:tabs>
        <w:ind w:left="720" w:hanging="360"/>
      </w:pPr>
      <w:rPr>
        <w:rFonts w:ascii="Symbol" w:hAnsi="Symbol" w:hint="default"/>
        <w:sz w:val="20"/>
      </w:rPr>
    </w:lvl>
    <w:lvl w:ilvl="1" w:tplc="3C0AAB08" w:tentative="1">
      <w:start w:val="1"/>
      <w:numFmt w:val="bullet"/>
      <w:lvlText w:val="o"/>
      <w:lvlJc w:val="left"/>
      <w:pPr>
        <w:tabs>
          <w:tab w:val="num" w:pos="1440"/>
        </w:tabs>
        <w:ind w:left="1440" w:hanging="360"/>
      </w:pPr>
      <w:rPr>
        <w:rFonts w:ascii="Courier New" w:hAnsi="Courier New" w:hint="default"/>
        <w:sz w:val="20"/>
      </w:rPr>
    </w:lvl>
    <w:lvl w:ilvl="2" w:tplc="CDDE4E46" w:tentative="1">
      <w:start w:val="1"/>
      <w:numFmt w:val="bullet"/>
      <w:lvlText w:val=""/>
      <w:lvlJc w:val="left"/>
      <w:pPr>
        <w:tabs>
          <w:tab w:val="num" w:pos="2160"/>
        </w:tabs>
        <w:ind w:left="2160" w:hanging="360"/>
      </w:pPr>
      <w:rPr>
        <w:rFonts w:ascii="Wingdings" w:hAnsi="Wingdings" w:hint="default"/>
        <w:sz w:val="20"/>
      </w:rPr>
    </w:lvl>
    <w:lvl w:ilvl="3" w:tplc="5E044A4A" w:tentative="1">
      <w:start w:val="1"/>
      <w:numFmt w:val="bullet"/>
      <w:lvlText w:val=""/>
      <w:lvlJc w:val="left"/>
      <w:pPr>
        <w:tabs>
          <w:tab w:val="num" w:pos="2880"/>
        </w:tabs>
        <w:ind w:left="2880" w:hanging="360"/>
      </w:pPr>
      <w:rPr>
        <w:rFonts w:ascii="Wingdings" w:hAnsi="Wingdings" w:hint="default"/>
        <w:sz w:val="20"/>
      </w:rPr>
    </w:lvl>
    <w:lvl w:ilvl="4" w:tplc="756E89F8" w:tentative="1">
      <w:start w:val="1"/>
      <w:numFmt w:val="bullet"/>
      <w:lvlText w:val=""/>
      <w:lvlJc w:val="left"/>
      <w:pPr>
        <w:tabs>
          <w:tab w:val="num" w:pos="3600"/>
        </w:tabs>
        <w:ind w:left="3600" w:hanging="360"/>
      </w:pPr>
      <w:rPr>
        <w:rFonts w:ascii="Wingdings" w:hAnsi="Wingdings" w:hint="default"/>
        <w:sz w:val="20"/>
      </w:rPr>
    </w:lvl>
    <w:lvl w:ilvl="5" w:tplc="83C839D6" w:tentative="1">
      <w:start w:val="1"/>
      <w:numFmt w:val="bullet"/>
      <w:lvlText w:val=""/>
      <w:lvlJc w:val="left"/>
      <w:pPr>
        <w:tabs>
          <w:tab w:val="num" w:pos="4320"/>
        </w:tabs>
        <w:ind w:left="4320" w:hanging="360"/>
      </w:pPr>
      <w:rPr>
        <w:rFonts w:ascii="Wingdings" w:hAnsi="Wingdings" w:hint="default"/>
        <w:sz w:val="20"/>
      </w:rPr>
    </w:lvl>
    <w:lvl w:ilvl="6" w:tplc="49A8253C" w:tentative="1">
      <w:start w:val="1"/>
      <w:numFmt w:val="bullet"/>
      <w:lvlText w:val=""/>
      <w:lvlJc w:val="left"/>
      <w:pPr>
        <w:tabs>
          <w:tab w:val="num" w:pos="5040"/>
        </w:tabs>
        <w:ind w:left="5040" w:hanging="360"/>
      </w:pPr>
      <w:rPr>
        <w:rFonts w:ascii="Wingdings" w:hAnsi="Wingdings" w:hint="default"/>
        <w:sz w:val="20"/>
      </w:rPr>
    </w:lvl>
    <w:lvl w:ilvl="7" w:tplc="D506CB98" w:tentative="1">
      <w:start w:val="1"/>
      <w:numFmt w:val="bullet"/>
      <w:lvlText w:val=""/>
      <w:lvlJc w:val="left"/>
      <w:pPr>
        <w:tabs>
          <w:tab w:val="num" w:pos="5760"/>
        </w:tabs>
        <w:ind w:left="5760" w:hanging="360"/>
      </w:pPr>
      <w:rPr>
        <w:rFonts w:ascii="Wingdings" w:hAnsi="Wingdings" w:hint="default"/>
        <w:sz w:val="20"/>
      </w:rPr>
    </w:lvl>
    <w:lvl w:ilvl="8" w:tplc="FD24D302" w:tentative="1">
      <w:start w:val="1"/>
      <w:numFmt w:val="bullet"/>
      <w:lvlText w:val=""/>
      <w:lvlJc w:val="left"/>
      <w:pPr>
        <w:tabs>
          <w:tab w:val="num" w:pos="6480"/>
        </w:tabs>
        <w:ind w:left="6480" w:hanging="360"/>
      </w:pPr>
      <w:rPr>
        <w:rFonts w:ascii="Wingdings" w:hAnsi="Wingdings" w:hint="default"/>
        <w:sz w:val="20"/>
      </w:rPr>
    </w:lvl>
  </w:abstractNum>
  <w:abstractNum w:abstractNumId="3">
    <w:nsid w:val="082777BF"/>
    <w:multiLevelType w:val="hybridMultilevel"/>
    <w:tmpl w:val="5F8AADC8"/>
    <w:lvl w:ilvl="0" w:tplc="40602D7A">
      <w:start w:val="1"/>
      <w:numFmt w:val="bullet"/>
      <w:lvlText w:val=""/>
      <w:lvlJc w:val="left"/>
      <w:pPr>
        <w:tabs>
          <w:tab w:val="num" w:pos="720"/>
        </w:tabs>
        <w:ind w:left="720" w:hanging="360"/>
      </w:pPr>
      <w:rPr>
        <w:rFonts w:ascii="Symbol" w:hAnsi="Symbol" w:hint="default"/>
        <w:sz w:val="20"/>
      </w:rPr>
    </w:lvl>
    <w:lvl w:ilvl="1" w:tplc="01881EB8" w:tentative="1">
      <w:start w:val="1"/>
      <w:numFmt w:val="bullet"/>
      <w:lvlText w:val="o"/>
      <w:lvlJc w:val="left"/>
      <w:pPr>
        <w:tabs>
          <w:tab w:val="num" w:pos="1440"/>
        </w:tabs>
        <w:ind w:left="1440" w:hanging="360"/>
      </w:pPr>
      <w:rPr>
        <w:rFonts w:ascii="Courier New" w:hAnsi="Courier New" w:hint="default"/>
        <w:sz w:val="20"/>
      </w:rPr>
    </w:lvl>
    <w:lvl w:ilvl="2" w:tplc="CF6E4B0C" w:tentative="1">
      <w:start w:val="1"/>
      <w:numFmt w:val="bullet"/>
      <w:lvlText w:val=""/>
      <w:lvlJc w:val="left"/>
      <w:pPr>
        <w:tabs>
          <w:tab w:val="num" w:pos="2160"/>
        </w:tabs>
        <w:ind w:left="2160" w:hanging="360"/>
      </w:pPr>
      <w:rPr>
        <w:rFonts w:ascii="Wingdings" w:hAnsi="Wingdings" w:hint="default"/>
        <w:sz w:val="20"/>
      </w:rPr>
    </w:lvl>
    <w:lvl w:ilvl="3" w:tplc="587AC446" w:tentative="1">
      <w:start w:val="1"/>
      <w:numFmt w:val="bullet"/>
      <w:lvlText w:val=""/>
      <w:lvlJc w:val="left"/>
      <w:pPr>
        <w:tabs>
          <w:tab w:val="num" w:pos="2880"/>
        </w:tabs>
        <w:ind w:left="2880" w:hanging="360"/>
      </w:pPr>
      <w:rPr>
        <w:rFonts w:ascii="Wingdings" w:hAnsi="Wingdings" w:hint="default"/>
        <w:sz w:val="20"/>
      </w:rPr>
    </w:lvl>
    <w:lvl w:ilvl="4" w:tplc="30BE3F8A" w:tentative="1">
      <w:start w:val="1"/>
      <w:numFmt w:val="bullet"/>
      <w:lvlText w:val=""/>
      <w:lvlJc w:val="left"/>
      <w:pPr>
        <w:tabs>
          <w:tab w:val="num" w:pos="3600"/>
        </w:tabs>
        <w:ind w:left="3600" w:hanging="360"/>
      </w:pPr>
      <w:rPr>
        <w:rFonts w:ascii="Wingdings" w:hAnsi="Wingdings" w:hint="default"/>
        <w:sz w:val="20"/>
      </w:rPr>
    </w:lvl>
    <w:lvl w:ilvl="5" w:tplc="23CA88E0" w:tentative="1">
      <w:start w:val="1"/>
      <w:numFmt w:val="bullet"/>
      <w:lvlText w:val=""/>
      <w:lvlJc w:val="left"/>
      <w:pPr>
        <w:tabs>
          <w:tab w:val="num" w:pos="4320"/>
        </w:tabs>
        <w:ind w:left="4320" w:hanging="360"/>
      </w:pPr>
      <w:rPr>
        <w:rFonts w:ascii="Wingdings" w:hAnsi="Wingdings" w:hint="default"/>
        <w:sz w:val="20"/>
      </w:rPr>
    </w:lvl>
    <w:lvl w:ilvl="6" w:tplc="89D65B64" w:tentative="1">
      <w:start w:val="1"/>
      <w:numFmt w:val="bullet"/>
      <w:lvlText w:val=""/>
      <w:lvlJc w:val="left"/>
      <w:pPr>
        <w:tabs>
          <w:tab w:val="num" w:pos="5040"/>
        </w:tabs>
        <w:ind w:left="5040" w:hanging="360"/>
      </w:pPr>
      <w:rPr>
        <w:rFonts w:ascii="Wingdings" w:hAnsi="Wingdings" w:hint="default"/>
        <w:sz w:val="20"/>
      </w:rPr>
    </w:lvl>
    <w:lvl w:ilvl="7" w:tplc="96826C16" w:tentative="1">
      <w:start w:val="1"/>
      <w:numFmt w:val="bullet"/>
      <w:lvlText w:val=""/>
      <w:lvlJc w:val="left"/>
      <w:pPr>
        <w:tabs>
          <w:tab w:val="num" w:pos="5760"/>
        </w:tabs>
        <w:ind w:left="5760" w:hanging="360"/>
      </w:pPr>
      <w:rPr>
        <w:rFonts w:ascii="Wingdings" w:hAnsi="Wingdings" w:hint="default"/>
        <w:sz w:val="20"/>
      </w:rPr>
    </w:lvl>
    <w:lvl w:ilvl="8" w:tplc="0D445A96" w:tentative="1">
      <w:start w:val="1"/>
      <w:numFmt w:val="bullet"/>
      <w:lvlText w:val=""/>
      <w:lvlJc w:val="left"/>
      <w:pPr>
        <w:tabs>
          <w:tab w:val="num" w:pos="6480"/>
        </w:tabs>
        <w:ind w:left="6480" w:hanging="360"/>
      </w:pPr>
      <w:rPr>
        <w:rFonts w:ascii="Wingdings" w:hAnsi="Wingdings" w:hint="default"/>
        <w:sz w:val="20"/>
      </w:rPr>
    </w:lvl>
  </w:abstractNum>
  <w:abstractNum w:abstractNumId="4">
    <w:nsid w:val="095F22E7"/>
    <w:multiLevelType w:val="hybridMultilevel"/>
    <w:tmpl w:val="5A5AA954"/>
    <w:lvl w:ilvl="0" w:tplc="6AA85070">
      <w:start w:val="1"/>
      <w:numFmt w:val="decimal"/>
      <w:lvlText w:val="%1."/>
      <w:lvlJc w:val="left"/>
      <w:pPr>
        <w:tabs>
          <w:tab w:val="num" w:pos="720"/>
        </w:tabs>
        <w:ind w:left="720" w:hanging="360"/>
      </w:pPr>
    </w:lvl>
    <w:lvl w:ilvl="1" w:tplc="4EA0C9D2" w:tentative="1">
      <w:start w:val="1"/>
      <w:numFmt w:val="decimal"/>
      <w:lvlText w:val="%2."/>
      <w:lvlJc w:val="left"/>
      <w:pPr>
        <w:tabs>
          <w:tab w:val="num" w:pos="1440"/>
        </w:tabs>
        <w:ind w:left="1440" w:hanging="360"/>
      </w:pPr>
    </w:lvl>
    <w:lvl w:ilvl="2" w:tplc="F5520C60" w:tentative="1">
      <w:start w:val="1"/>
      <w:numFmt w:val="decimal"/>
      <w:lvlText w:val="%3."/>
      <w:lvlJc w:val="left"/>
      <w:pPr>
        <w:tabs>
          <w:tab w:val="num" w:pos="2160"/>
        </w:tabs>
        <w:ind w:left="2160" w:hanging="360"/>
      </w:pPr>
    </w:lvl>
    <w:lvl w:ilvl="3" w:tplc="15A00790" w:tentative="1">
      <w:start w:val="1"/>
      <w:numFmt w:val="decimal"/>
      <w:lvlText w:val="%4."/>
      <w:lvlJc w:val="left"/>
      <w:pPr>
        <w:tabs>
          <w:tab w:val="num" w:pos="2880"/>
        </w:tabs>
        <w:ind w:left="2880" w:hanging="360"/>
      </w:pPr>
    </w:lvl>
    <w:lvl w:ilvl="4" w:tplc="8B942D6E" w:tentative="1">
      <w:start w:val="1"/>
      <w:numFmt w:val="decimal"/>
      <w:lvlText w:val="%5."/>
      <w:lvlJc w:val="left"/>
      <w:pPr>
        <w:tabs>
          <w:tab w:val="num" w:pos="3600"/>
        </w:tabs>
        <w:ind w:left="3600" w:hanging="360"/>
      </w:pPr>
    </w:lvl>
    <w:lvl w:ilvl="5" w:tplc="39DCF8F2" w:tentative="1">
      <w:start w:val="1"/>
      <w:numFmt w:val="decimal"/>
      <w:lvlText w:val="%6."/>
      <w:lvlJc w:val="left"/>
      <w:pPr>
        <w:tabs>
          <w:tab w:val="num" w:pos="4320"/>
        </w:tabs>
        <w:ind w:left="4320" w:hanging="360"/>
      </w:pPr>
    </w:lvl>
    <w:lvl w:ilvl="6" w:tplc="EAD23E1A" w:tentative="1">
      <w:start w:val="1"/>
      <w:numFmt w:val="decimal"/>
      <w:lvlText w:val="%7."/>
      <w:lvlJc w:val="left"/>
      <w:pPr>
        <w:tabs>
          <w:tab w:val="num" w:pos="5040"/>
        </w:tabs>
        <w:ind w:left="5040" w:hanging="360"/>
      </w:pPr>
    </w:lvl>
    <w:lvl w:ilvl="7" w:tplc="CAB4D354" w:tentative="1">
      <w:start w:val="1"/>
      <w:numFmt w:val="decimal"/>
      <w:lvlText w:val="%8."/>
      <w:lvlJc w:val="left"/>
      <w:pPr>
        <w:tabs>
          <w:tab w:val="num" w:pos="5760"/>
        </w:tabs>
        <w:ind w:left="5760" w:hanging="360"/>
      </w:pPr>
    </w:lvl>
    <w:lvl w:ilvl="8" w:tplc="C71E44CE" w:tentative="1">
      <w:start w:val="1"/>
      <w:numFmt w:val="decimal"/>
      <w:lvlText w:val="%9."/>
      <w:lvlJc w:val="left"/>
      <w:pPr>
        <w:tabs>
          <w:tab w:val="num" w:pos="6480"/>
        </w:tabs>
        <w:ind w:left="6480" w:hanging="360"/>
      </w:pPr>
    </w:lvl>
  </w:abstractNum>
  <w:abstractNum w:abstractNumId="5">
    <w:nsid w:val="0ABE5340"/>
    <w:multiLevelType w:val="hybridMultilevel"/>
    <w:tmpl w:val="2D9C1708"/>
    <w:lvl w:ilvl="0" w:tplc="D214CF84">
      <w:start w:val="1"/>
      <w:numFmt w:val="decimal"/>
      <w:lvlText w:val="%1."/>
      <w:lvlJc w:val="left"/>
      <w:pPr>
        <w:tabs>
          <w:tab w:val="num" w:pos="720"/>
        </w:tabs>
        <w:ind w:left="720" w:hanging="360"/>
      </w:pPr>
    </w:lvl>
    <w:lvl w:ilvl="1" w:tplc="943079EC" w:tentative="1">
      <w:start w:val="1"/>
      <w:numFmt w:val="decimal"/>
      <w:lvlText w:val="%2."/>
      <w:lvlJc w:val="left"/>
      <w:pPr>
        <w:tabs>
          <w:tab w:val="num" w:pos="1440"/>
        </w:tabs>
        <w:ind w:left="1440" w:hanging="360"/>
      </w:pPr>
    </w:lvl>
    <w:lvl w:ilvl="2" w:tplc="F7AE7DC6" w:tentative="1">
      <w:start w:val="1"/>
      <w:numFmt w:val="decimal"/>
      <w:lvlText w:val="%3."/>
      <w:lvlJc w:val="left"/>
      <w:pPr>
        <w:tabs>
          <w:tab w:val="num" w:pos="2160"/>
        </w:tabs>
        <w:ind w:left="2160" w:hanging="360"/>
      </w:pPr>
    </w:lvl>
    <w:lvl w:ilvl="3" w:tplc="949810AC" w:tentative="1">
      <w:start w:val="1"/>
      <w:numFmt w:val="decimal"/>
      <w:lvlText w:val="%4."/>
      <w:lvlJc w:val="left"/>
      <w:pPr>
        <w:tabs>
          <w:tab w:val="num" w:pos="2880"/>
        </w:tabs>
        <w:ind w:left="2880" w:hanging="360"/>
      </w:pPr>
    </w:lvl>
    <w:lvl w:ilvl="4" w:tplc="0E3ED604" w:tentative="1">
      <w:start w:val="1"/>
      <w:numFmt w:val="decimal"/>
      <w:lvlText w:val="%5."/>
      <w:lvlJc w:val="left"/>
      <w:pPr>
        <w:tabs>
          <w:tab w:val="num" w:pos="3600"/>
        </w:tabs>
        <w:ind w:left="3600" w:hanging="360"/>
      </w:pPr>
    </w:lvl>
    <w:lvl w:ilvl="5" w:tplc="0DD61DB2" w:tentative="1">
      <w:start w:val="1"/>
      <w:numFmt w:val="decimal"/>
      <w:lvlText w:val="%6."/>
      <w:lvlJc w:val="left"/>
      <w:pPr>
        <w:tabs>
          <w:tab w:val="num" w:pos="4320"/>
        </w:tabs>
        <w:ind w:left="4320" w:hanging="360"/>
      </w:pPr>
    </w:lvl>
    <w:lvl w:ilvl="6" w:tplc="9B663CAC" w:tentative="1">
      <w:start w:val="1"/>
      <w:numFmt w:val="decimal"/>
      <w:lvlText w:val="%7."/>
      <w:lvlJc w:val="left"/>
      <w:pPr>
        <w:tabs>
          <w:tab w:val="num" w:pos="5040"/>
        </w:tabs>
        <w:ind w:left="5040" w:hanging="360"/>
      </w:pPr>
    </w:lvl>
    <w:lvl w:ilvl="7" w:tplc="E410FB24" w:tentative="1">
      <w:start w:val="1"/>
      <w:numFmt w:val="decimal"/>
      <w:lvlText w:val="%8."/>
      <w:lvlJc w:val="left"/>
      <w:pPr>
        <w:tabs>
          <w:tab w:val="num" w:pos="5760"/>
        </w:tabs>
        <w:ind w:left="5760" w:hanging="360"/>
      </w:pPr>
    </w:lvl>
    <w:lvl w:ilvl="8" w:tplc="3F946DF6" w:tentative="1">
      <w:start w:val="1"/>
      <w:numFmt w:val="decimal"/>
      <w:lvlText w:val="%9."/>
      <w:lvlJc w:val="left"/>
      <w:pPr>
        <w:tabs>
          <w:tab w:val="num" w:pos="6480"/>
        </w:tabs>
        <w:ind w:left="6480" w:hanging="360"/>
      </w:pPr>
    </w:lvl>
  </w:abstractNum>
  <w:abstractNum w:abstractNumId="6">
    <w:nsid w:val="10375396"/>
    <w:multiLevelType w:val="hybridMultilevel"/>
    <w:tmpl w:val="E2E86048"/>
    <w:lvl w:ilvl="0" w:tplc="13F4F338">
      <w:start w:val="1"/>
      <w:numFmt w:val="bullet"/>
      <w:lvlText w:val=""/>
      <w:lvlJc w:val="left"/>
      <w:pPr>
        <w:tabs>
          <w:tab w:val="num" w:pos="720"/>
        </w:tabs>
        <w:ind w:left="720" w:hanging="360"/>
      </w:pPr>
      <w:rPr>
        <w:rFonts w:ascii="Symbol" w:hAnsi="Symbol" w:hint="default"/>
        <w:sz w:val="20"/>
      </w:rPr>
    </w:lvl>
    <w:lvl w:ilvl="1" w:tplc="38D00614" w:tentative="1">
      <w:start w:val="1"/>
      <w:numFmt w:val="bullet"/>
      <w:lvlText w:val="o"/>
      <w:lvlJc w:val="left"/>
      <w:pPr>
        <w:tabs>
          <w:tab w:val="num" w:pos="1440"/>
        </w:tabs>
        <w:ind w:left="1440" w:hanging="360"/>
      </w:pPr>
      <w:rPr>
        <w:rFonts w:ascii="Courier New" w:hAnsi="Courier New" w:hint="default"/>
        <w:sz w:val="20"/>
      </w:rPr>
    </w:lvl>
    <w:lvl w:ilvl="2" w:tplc="A3B03CB6" w:tentative="1">
      <w:start w:val="1"/>
      <w:numFmt w:val="bullet"/>
      <w:lvlText w:val=""/>
      <w:lvlJc w:val="left"/>
      <w:pPr>
        <w:tabs>
          <w:tab w:val="num" w:pos="2160"/>
        </w:tabs>
        <w:ind w:left="2160" w:hanging="360"/>
      </w:pPr>
      <w:rPr>
        <w:rFonts w:ascii="Wingdings" w:hAnsi="Wingdings" w:hint="default"/>
        <w:sz w:val="20"/>
      </w:rPr>
    </w:lvl>
    <w:lvl w:ilvl="3" w:tplc="89E80070" w:tentative="1">
      <w:start w:val="1"/>
      <w:numFmt w:val="bullet"/>
      <w:lvlText w:val=""/>
      <w:lvlJc w:val="left"/>
      <w:pPr>
        <w:tabs>
          <w:tab w:val="num" w:pos="2880"/>
        </w:tabs>
        <w:ind w:left="2880" w:hanging="360"/>
      </w:pPr>
      <w:rPr>
        <w:rFonts w:ascii="Wingdings" w:hAnsi="Wingdings" w:hint="default"/>
        <w:sz w:val="20"/>
      </w:rPr>
    </w:lvl>
    <w:lvl w:ilvl="4" w:tplc="107E1F9E" w:tentative="1">
      <w:start w:val="1"/>
      <w:numFmt w:val="bullet"/>
      <w:lvlText w:val=""/>
      <w:lvlJc w:val="left"/>
      <w:pPr>
        <w:tabs>
          <w:tab w:val="num" w:pos="3600"/>
        </w:tabs>
        <w:ind w:left="3600" w:hanging="360"/>
      </w:pPr>
      <w:rPr>
        <w:rFonts w:ascii="Wingdings" w:hAnsi="Wingdings" w:hint="default"/>
        <w:sz w:val="20"/>
      </w:rPr>
    </w:lvl>
    <w:lvl w:ilvl="5" w:tplc="39F27286" w:tentative="1">
      <w:start w:val="1"/>
      <w:numFmt w:val="bullet"/>
      <w:lvlText w:val=""/>
      <w:lvlJc w:val="left"/>
      <w:pPr>
        <w:tabs>
          <w:tab w:val="num" w:pos="4320"/>
        </w:tabs>
        <w:ind w:left="4320" w:hanging="360"/>
      </w:pPr>
      <w:rPr>
        <w:rFonts w:ascii="Wingdings" w:hAnsi="Wingdings" w:hint="default"/>
        <w:sz w:val="20"/>
      </w:rPr>
    </w:lvl>
    <w:lvl w:ilvl="6" w:tplc="D9CAD80E" w:tentative="1">
      <w:start w:val="1"/>
      <w:numFmt w:val="bullet"/>
      <w:lvlText w:val=""/>
      <w:lvlJc w:val="left"/>
      <w:pPr>
        <w:tabs>
          <w:tab w:val="num" w:pos="5040"/>
        </w:tabs>
        <w:ind w:left="5040" w:hanging="360"/>
      </w:pPr>
      <w:rPr>
        <w:rFonts w:ascii="Wingdings" w:hAnsi="Wingdings" w:hint="default"/>
        <w:sz w:val="20"/>
      </w:rPr>
    </w:lvl>
    <w:lvl w:ilvl="7" w:tplc="2410D29E" w:tentative="1">
      <w:start w:val="1"/>
      <w:numFmt w:val="bullet"/>
      <w:lvlText w:val=""/>
      <w:lvlJc w:val="left"/>
      <w:pPr>
        <w:tabs>
          <w:tab w:val="num" w:pos="5760"/>
        </w:tabs>
        <w:ind w:left="5760" w:hanging="360"/>
      </w:pPr>
      <w:rPr>
        <w:rFonts w:ascii="Wingdings" w:hAnsi="Wingdings" w:hint="default"/>
        <w:sz w:val="20"/>
      </w:rPr>
    </w:lvl>
    <w:lvl w:ilvl="8" w:tplc="8990E936" w:tentative="1">
      <w:start w:val="1"/>
      <w:numFmt w:val="bullet"/>
      <w:lvlText w:val=""/>
      <w:lvlJc w:val="left"/>
      <w:pPr>
        <w:tabs>
          <w:tab w:val="num" w:pos="6480"/>
        </w:tabs>
        <w:ind w:left="6480" w:hanging="360"/>
      </w:pPr>
      <w:rPr>
        <w:rFonts w:ascii="Wingdings" w:hAnsi="Wingdings" w:hint="default"/>
        <w:sz w:val="20"/>
      </w:rPr>
    </w:lvl>
  </w:abstractNum>
  <w:abstractNum w:abstractNumId="7">
    <w:nsid w:val="141400B1"/>
    <w:multiLevelType w:val="hybridMultilevel"/>
    <w:tmpl w:val="835248CA"/>
    <w:lvl w:ilvl="0" w:tplc="D5F6EE70">
      <w:start w:val="1"/>
      <w:numFmt w:val="decimal"/>
      <w:lvlText w:val="%1."/>
      <w:lvlJc w:val="left"/>
      <w:pPr>
        <w:tabs>
          <w:tab w:val="num" w:pos="720"/>
        </w:tabs>
        <w:ind w:left="720" w:hanging="360"/>
      </w:pPr>
    </w:lvl>
    <w:lvl w:ilvl="1" w:tplc="F83828D0" w:tentative="1">
      <w:start w:val="1"/>
      <w:numFmt w:val="decimal"/>
      <w:lvlText w:val="%2."/>
      <w:lvlJc w:val="left"/>
      <w:pPr>
        <w:tabs>
          <w:tab w:val="num" w:pos="1440"/>
        </w:tabs>
        <w:ind w:left="1440" w:hanging="360"/>
      </w:pPr>
    </w:lvl>
    <w:lvl w:ilvl="2" w:tplc="126AD3CE" w:tentative="1">
      <w:start w:val="1"/>
      <w:numFmt w:val="decimal"/>
      <w:lvlText w:val="%3."/>
      <w:lvlJc w:val="left"/>
      <w:pPr>
        <w:tabs>
          <w:tab w:val="num" w:pos="2160"/>
        </w:tabs>
        <w:ind w:left="2160" w:hanging="360"/>
      </w:pPr>
    </w:lvl>
    <w:lvl w:ilvl="3" w:tplc="3F78495C" w:tentative="1">
      <w:start w:val="1"/>
      <w:numFmt w:val="decimal"/>
      <w:lvlText w:val="%4."/>
      <w:lvlJc w:val="left"/>
      <w:pPr>
        <w:tabs>
          <w:tab w:val="num" w:pos="2880"/>
        </w:tabs>
        <w:ind w:left="2880" w:hanging="360"/>
      </w:pPr>
    </w:lvl>
    <w:lvl w:ilvl="4" w:tplc="9D241738" w:tentative="1">
      <w:start w:val="1"/>
      <w:numFmt w:val="decimal"/>
      <w:lvlText w:val="%5."/>
      <w:lvlJc w:val="left"/>
      <w:pPr>
        <w:tabs>
          <w:tab w:val="num" w:pos="3600"/>
        </w:tabs>
        <w:ind w:left="3600" w:hanging="360"/>
      </w:pPr>
    </w:lvl>
    <w:lvl w:ilvl="5" w:tplc="3B8A96BE" w:tentative="1">
      <w:start w:val="1"/>
      <w:numFmt w:val="decimal"/>
      <w:lvlText w:val="%6."/>
      <w:lvlJc w:val="left"/>
      <w:pPr>
        <w:tabs>
          <w:tab w:val="num" w:pos="4320"/>
        </w:tabs>
        <w:ind w:left="4320" w:hanging="360"/>
      </w:pPr>
    </w:lvl>
    <w:lvl w:ilvl="6" w:tplc="63EA8570" w:tentative="1">
      <w:start w:val="1"/>
      <w:numFmt w:val="decimal"/>
      <w:lvlText w:val="%7."/>
      <w:lvlJc w:val="left"/>
      <w:pPr>
        <w:tabs>
          <w:tab w:val="num" w:pos="5040"/>
        </w:tabs>
        <w:ind w:left="5040" w:hanging="360"/>
      </w:pPr>
    </w:lvl>
    <w:lvl w:ilvl="7" w:tplc="7E0E5726" w:tentative="1">
      <w:start w:val="1"/>
      <w:numFmt w:val="decimal"/>
      <w:lvlText w:val="%8."/>
      <w:lvlJc w:val="left"/>
      <w:pPr>
        <w:tabs>
          <w:tab w:val="num" w:pos="5760"/>
        </w:tabs>
        <w:ind w:left="5760" w:hanging="360"/>
      </w:pPr>
    </w:lvl>
    <w:lvl w:ilvl="8" w:tplc="ABEC24E2" w:tentative="1">
      <w:start w:val="1"/>
      <w:numFmt w:val="decimal"/>
      <w:lvlText w:val="%9."/>
      <w:lvlJc w:val="left"/>
      <w:pPr>
        <w:tabs>
          <w:tab w:val="num" w:pos="6480"/>
        </w:tabs>
        <w:ind w:left="6480" w:hanging="360"/>
      </w:pPr>
    </w:lvl>
  </w:abstractNum>
  <w:abstractNum w:abstractNumId="8">
    <w:nsid w:val="1F9E36A1"/>
    <w:multiLevelType w:val="hybridMultilevel"/>
    <w:tmpl w:val="151649E6"/>
    <w:lvl w:ilvl="0" w:tplc="7FA67B8A">
      <w:start w:val="1"/>
      <w:numFmt w:val="decimal"/>
      <w:lvlText w:val="%1."/>
      <w:lvlJc w:val="left"/>
      <w:pPr>
        <w:tabs>
          <w:tab w:val="num" w:pos="720"/>
        </w:tabs>
        <w:ind w:left="720" w:hanging="360"/>
      </w:pPr>
    </w:lvl>
    <w:lvl w:ilvl="1" w:tplc="E508E49A" w:tentative="1">
      <w:start w:val="1"/>
      <w:numFmt w:val="decimal"/>
      <w:lvlText w:val="%2."/>
      <w:lvlJc w:val="left"/>
      <w:pPr>
        <w:tabs>
          <w:tab w:val="num" w:pos="1440"/>
        </w:tabs>
        <w:ind w:left="1440" w:hanging="360"/>
      </w:pPr>
    </w:lvl>
    <w:lvl w:ilvl="2" w:tplc="7568B408" w:tentative="1">
      <w:start w:val="1"/>
      <w:numFmt w:val="decimal"/>
      <w:lvlText w:val="%3."/>
      <w:lvlJc w:val="left"/>
      <w:pPr>
        <w:tabs>
          <w:tab w:val="num" w:pos="2160"/>
        </w:tabs>
        <w:ind w:left="2160" w:hanging="360"/>
      </w:pPr>
    </w:lvl>
    <w:lvl w:ilvl="3" w:tplc="2A126096" w:tentative="1">
      <w:start w:val="1"/>
      <w:numFmt w:val="decimal"/>
      <w:lvlText w:val="%4."/>
      <w:lvlJc w:val="left"/>
      <w:pPr>
        <w:tabs>
          <w:tab w:val="num" w:pos="2880"/>
        </w:tabs>
        <w:ind w:left="2880" w:hanging="360"/>
      </w:pPr>
    </w:lvl>
    <w:lvl w:ilvl="4" w:tplc="B48019B8" w:tentative="1">
      <w:start w:val="1"/>
      <w:numFmt w:val="decimal"/>
      <w:lvlText w:val="%5."/>
      <w:lvlJc w:val="left"/>
      <w:pPr>
        <w:tabs>
          <w:tab w:val="num" w:pos="3600"/>
        </w:tabs>
        <w:ind w:left="3600" w:hanging="360"/>
      </w:pPr>
    </w:lvl>
    <w:lvl w:ilvl="5" w:tplc="29C8589C" w:tentative="1">
      <w:start w:val="1"/>
      <w:numFmt w:val="decimal"/>
      <w:lvlText w:val="%6."/>
      <w:lvlJc w:val="left"/>
      <w:pPr>
        <w:tabs>
          <w:tab w:val="num" w:pos="4320"/>
        </w:tabs>
        <w:ind w:left="4320" w:hanging="360"/>
      </w:pPr>
    </w:lvl>
    <w:lvl w:ilvl="6" w:tplc="B17A35B4" w:tentative="1">
      <w:start w:val="1"/>
      <w:numFmt w:val="decimal"/>
      <w:lvlText w:val="%7."/>
      <w:lvlJc w:val="left"/>
      <w:pPr>
        <w:tabs>
          <w:tab w:val="num" w:pos="5040"/>
        </w:tabs>
        <w:ind w:left="5040" w:hanging="360"/>
      </w:pPr>
    </w:lvl>
    <w:lvl w:ilvl="7" w:tplc="A82AF64C" w:tentative="1">
      <w:start w:val="1"/>
      <w:numFmt w:val="decimal"/>
      <w:lvlText w:val="%8."/>
      <w:lvlJc w:val="left"/>
      <w:pPr>
        <w:tabs>
          <w:tab w:val="num" w:pos="5760"/>
        </w:tabs>
        <w:ind w:left="5760" w:hanging="360"/>
      </w:pPr>
    </w:lvl>
    <w:lvl w:ilvl="8" w:tplc="85360A32" w:tentative="1">
      <w:start w:val="1"/>
      <w:numFmt w:val="decimal"/>
      <w:lvlText w:val="%9."/>
      <w:lvlJc w:val="left"/>
      <w:pPr>
        <w:tabs>
          <w:tab w:val="num" w:pos="6480"/>
        </w:tabs>
        <w:ind w:left="6480" w:hanging="360"/>
      </w:pPr>
    </w:lvl>
  </w:abstractNum>
  <w:abstractNum w:abstractNumId="9">
    <w:nsid w:val="236A4F52"/>
    <w:multiLevelType w:val="hybridMultilevel"/>
    <w:tmpl w:val="A528930A"/>
    <w:lvl w:ilvl="0" w:tplc="7B7CAB78">
      <w:start w:val="1"/>
      <w:numFmt w:val="bullet"/>
      <w:lvlText w:val=""/>
      <w:lvlJc w:val="left"/>
      <w:pPr>
        <w:tabs>
          <w:tab w:val="num" w:pos="720"/>
        </w:tabs>
        <w:ind w:left="720" w:hanging="360"/>
      </w:pPr>
      <w:rPr>
        <w:rFonts w:ascii="Symbol" w:hAnsi="Symbol" w:hint="default"/>
        <w:sz w:val="20"/>
      </w:rPr>
    </w:lvl>
    <w:lvl w:ilvl="1" w:tplc="B122E702" w:tentative="1">
      <w:start w:val="1"/>
      <w:numFmt w:val="bullet"/>
      <w:lvlText w:val="o"/>
      <w:lvlJc w:val="left"/>
      <w:pPr>
        <w:tabs>
          <w:tab w:val="num" w:pos="1440"/>
        </w:tabs>
        <w:ind w:left="1440" w:hanging="360"/>
      </w:pPr>
      <w:rPr>
        <w:rFonts w:ascii="Courier New" w:hAnsi="Courier New" w:hint="default"/>
        <w:sz w:val="20"/>
      </w:rPr>
    </w:lvl>
    <w:lvl w:ilvl="2" w:tplc="E8B870A8" w:tentative="1">
      <w:start w:val="1"/>
      <w:numFmt w:val="bullet"/>
      <w:lvlText w:val=""/>
      <w:lvlJc w:val="left"/>
      <w:pPr>
        <w:tabs>
          <w:tab w:val="num" w:pos="2160"/>
        </w:tabs>
        <w:ind w:left="2160" w:hanging="360"/>
      </w:pPr>
      <w:rPr>
        <w:rFonts w:ascii="Wingdings" w:hAnsi="Wingdings" w:hint="default"/>
        <w:sz w:val="20"/>
      </w:rPr>
    </w:lvl>
    <w:lvl w:ilvl="3" w:tplc="4738C714" w:tentative="1">
      <w:start w:val="1"/>
      <w:numFmt w:val="bullet"/>
      <w:lvlText w:val=""/>
      <w:lvlJc w:val="left"/>
      <w:pPr>
        <w:tabs>
          <w:tab w:val="num" w:pos="2880"/>
        </w:tabs>
        <w:ind w:left="2880" w:hanging="360"/>
      </w:pPr>
      <w:rPr>
        <w:rFonts w:ascii="Wingdings" w:hAnsi="Wingdings" w:hint="default"/>
        <w:sz w:val="20"/>
      </w:rPr>
    </w:lvl>
    <w:lvl w:ilvl="4" w:tplc="033A0086" w:tentative="1">
      <w:start w:val="1"/>
      <w:numFmt w:val="bullet"/>
      <w:lvlText w:val=""/>
      <w:lvlJc w:val="left"/>
      <w:pPr>
        <w:tabs>
          <w:tab w:val="num" w:pos="3600"/>
        </w:tabs>
        <w:ind w:left="3600" w:hanging="360"/>
      </w:pPr>
      <w:rPr>
        <w:rFonts w:ascii="Wingdings" w:hAnsi="Wingdings" w:hint="default"/>
        <w:sz w:val="20"/>
      </w:rPr>
    </w:lvl>
    <w:lvl w:ilvl="5" w:tplc="68924256" w:tentative="1">
      <w:start w:val="1"/>
      <w:numFmt w:val="bullet"/>
      <w:lvlText w:val=""/>
      <w:lvlJc w:val="left"/>
      <w:pPr>
        <w:tabs>
          <w:tab w:val="num" w:pos="4320"/>
        </w:tabs>
        <w:ind w:left="4320" w:hanging="360"/>
      </w:pPr>
      <w:rPr>
        <w:rFonts w:ascii="Wingdings" w:hAnsi="Wingdings" w:hint="default"/>
        <w:sz w:val="20"/>
      </w:rPr>
    </w:lvl>
    <w:lvl w:ilvl="6" w:tplc="6FDE3B48" w:tentative="1">
      <w:start w:val="1"/>
      <w:numFmt w:val="bullet"/>
      <w:lvlText w:val=""/>
      <w:lvlJc w:val="left"/>
      <w:pPr>
        <w:tabs>
          <w:tab w:val="num" w:pos="5040"/>
        </w:tabs>
        <w:ind w:left="5040" w:hanging="360"/>
      </w:pPr>
      <w:rPr>
        <w:rFonts w:ascii="Wingdings" w:hAnsi="Wingdings" w:hint="default"/>
        <w:sz w:val="20"/>
      </w:rPr>
    </w:lvl>
    <w:lvl w:ilvl="7" w:tplc="C0AC2264" w:tentative="1">
      <w:start w:val="1"/>
      <w:numFmt w:val="bullet"/>
      <w:lvlText w:val=""/>
      <w:lvlJc w:val="left"/>
      <w:pPr>
        <w:tabs>
          <w:tab w:val="num" w:pos="5760"/>
        </w:tabs>
        <w:ind w:left="5760" w:hanging="360"/>
      </w:pPr>
      <w:rPr>
        <w:rFonts w:ascii="Wingdings" w:hAnsi="Wingdings" w:hint="default"/>
        <w:sz w:val="20"/>
      </w:rPr>
    </w:lvl>
    <w:lvl w:ilvl="8" w:tplc="A75042E6" w:tentative="1">
      <w:start w:val="1"/>
      <w:numFmt w:val="bullet"/>
      <w:lvlText w:val=""/>
      <w:lvlJc w:val="left"/>
      <w:pPr>
        <w:tabs>
          <w:tab w:val="num" w:pos="6480"/>
        </w:tabs>
        <w:ind w:left="6480" w:hanging="360"/>
      </w:pPr>
      <w:rPr>
        <w:rFonts w:ascii="Wingdings" w:hAnsi="Wingdings" w:hint="default"/>
        <w:sz w:val="20"/>
      </w:rPr>
    </w:lvl>
  </w:abstractNum>
  <w:abstractNum w:abstractNumId="10">
    <w:nsid w:val="2AA9482F"/>
    <w:multiLevelType w:val="hybridMultilevel"/>
    <w:tmpl w:val="CA8E3F02"/>
    <w:lvl w:ilvl="0" w:tplc="AD4CC048">
      <w:start w:val="1"/>
      <w:numFmt w:val="bullet"/>
      <w:lvlText w:val=""/>
      <w:lvlJc w:val="left"/>
      <w:pPr>
        <w:tabs>
          <w:tab w:val="num" w:pos="720"/>
        </w:tabs>
        <w:ind w:left="720" w:hanging="360"/>
      </w:pPr>
      <w:rPr>
        <w:rFonts w:ascii="Symbol" w:hAnsi="Symbol" w:hint="default"/>
        <w:sz w:val="20"/>
      </w:rPr>
    </w:lvl>
    <w:lvl w:ilvl="1" w:tplc="3078B92C" w:tentative="1">
      <w:start w:val="1"/>
      <w:numFmt w:val="bullet"/>
      <w:lvlText w:val="o"/>
      <w:lvlJc w:val="left"/>
      <w:pPr>
        <w:tabs>
          <w:tab w:val="num" w:pos="1440"/>
        </w:tabs>
        <w:ind w:left="1440" w:hanging="360"/>
      </w:pPr>
      <w:rPr>
        <w:rFonts w:ascii="Courier New" w:hAnsi="Courier New" w:hint="default"/>
        <w:sz w:val="20"/>
      </w:rPr>
    </w:lvl>
    <w:lvl w:ilvl="2" w:tplc="6BB8F60C" w:tentative="1">
      <w:start w:val="1"/>
      <w:numFmt w:val="bullet"/>
      <w:lvlText w:val=""/>
      <w:lvlJc w:val="left"/>
      <w:pPr>
        <w:tabs>
          <w:tab w:val="num" w:pos="2160"/>
        </w:tabs>
        <w:ind w:left="2160" w:hanging="360"/>
      </w:pPr>
      <w:rPr>
        <w:rFonts w:ascii="Wingdings" w:hAnsi="Wingdings" w:hint="default"/>
        <w:sz w:val="20"/>
      </w:rPr>
    </w:lvl>
    <w:lvl w:ilvl="3" w:tplc="B4E41682" w:tentative="1">
      <w:start w:val="1"/>
      <w:numFmt w:val="bullet"/>
      <w:lvlText w:val=""/>
      <w:lvlJc w:val="left"/>
      <w:pPr>
        <w:tabs>
          <w:tab w:val="num" w:pos="2880"/>
        </w:tabs>
        <w:ind w:left="2880" w:hanging="360"/>
      </w:pPr>
      <w:rPr>
        <w:rFonts w:ascii="Wingdings" w:hAnsi="Wingdings" w:hint="default"/>
        <w:sz w:val="20"/>
      </w:rPr>
    </w:lvl>
    <w:lvl w:ilvl="4" w:tplc="BE682C72" w:tentative="1">
      <w:start w:val="1"/>
      <w:numFmt w:val="bullet"/>
      <w:lvlText w:val=""/>
      <w:lvlJc w:val="left"/>
      <w:pPr>
        <w:tabs>
          <w:tab w:val="num" w:pos="3600"/>
        </w:tabs>
        <w:ind w:left="3600" w:hanging="360"/>
      </w:pPr>
      <w:rPr>
        <w:rFonts w:ascii="Wingdings" w:hAnsi="Wingdings" w:hint="default"/>
        <w:sz w:val="20"/>
      </w:rPr>
    </w:lvl>
    <w:lvl w:ilvl="5" w:tplc="835265E4" w:tentative="1">
      <w:start w:val="1"/>
      <w:numFmt w:val="bullet"/>
      <w:lvlText w:val=""/>
      <w:lvlJc w:val="left"/>
      <w:pPr>
        <w:tabs>
          <w:tab w:val="num" w:pos="4320"/>
        </w:tabs>
        <w:ind w:left="4320" w:hanging="360"/>
      </w:pPr>
      <w:rPr>
        <w:rFonts w:ascii="Wingdings" w:hAnsi="Wingdings" w:hint="default"/>
        <w:sz w:val="20"/>
      </w:rPr>
    </w:lvl>
    <w:lvl w:ilvl="6" w:tplc="35B846CA" w:tentative="1">
      <w:start w:val="1"/>
      <w:numFmt w:val="bullet"/>
      <w:lvlText w:val=""/>
      <w:lvlJc w:val="left"/>
      <w:pPr>
        <w:tabs>
          <w:tab w:val="num" w:pos="5040"/>
        </w:tabs>
        <w:ind w:left="5040" w:hanging="360"/>
      </w:pPr>
      <w:rPr>
        <w:rFonts w:ascii="Wingdings" w:hAnsi="Wingdings" w:hint="default"/>
        <w:sz w:val="20"/>
      </w:rPr>
    </w:lvl>
    <w:lvl w:ilvl="7" w:tplc="03264A64" w:tentative="1">
      <w:start w:val="1"/>
      <w:numFmt w:val="bullet"/>
      <w:lvlText w:val=""/>
      <w:lvlJc w:val="left"/>
      <w:pPr>
        <w:tabs>
          <w:tab w:val="num" w:pos="5760"/>
        </w:tabs>
        <w:ind w:left="5760" w:hanging="360"/>
      </w:pPr>
      <w:rPr>
        <w:rFonts w:ascii="Wingdings" w:hAnsi="Wingdings" w:hint="default"/>
        <w:sz w:val="20"/>
      </w:rPr>
    </w:lvl>
    <w:lvl w:ilvl="8" w:tplc="45ECD934"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384C03"/>
    <w:multiLevelType w:val="hybridMultilevel"/>
    <w:tmpl w:val="86D8801A"/>
    <w:lvl w:ilvl="0" w:tplc="D22800AE">
      <w:start w:val="1"/>
      <w:numFmt w:val="bullet"/>
      <w:lvlText w:val=""/>
      <w:lvlJc w:val="left"/>
      <w:pPr>
        <w:tabs>
          <w:tab w:val="num" w:pos="720"/>
        </w:tabs>
        <w:ind w:left="720" w:hanging="360"/>
      </w:pPr>
      <w:rPr>
        <w:rFonts w:ascii="Symbol" w:hAnsi="Symbol" w:hint="default"/>
        <w:sz w:val="20"/>
      </w:rPr>
    </w:lvl>
    <w:lvl w:ilvl="1" w:tplc="8AE879EA" w:tentative="1">
      <w:start w:val="1"/>
      <w:numFmt w:val="bullet"/>
      <w:lvlText w:val="o"/>
      <w:lvlJc w:val="left"/>
      <w:pPr>
        <w:tabs>
          <w:tab w:val="num" w:pos="1440"/>
        </w:tabs>
        <w:ind w:left="1440" w:hanging="360"/>
      </w:pPr>
      <w:rPr>
        <w:rFonts w:ascii="Courier New" w:hAnsi="Courier New" w:hint="default"/>
        <w:sz w:val="20"/>
      </w:rPr>
    </w:lvl>
    <w:lvl w:ilvl="2" w:tplc="700E2FDE" w:tentative="1">
      <w:start w:val="1"/>
      <w:numFmt w:val="bullet"/>
      <w:lvlText w:val=""/>
      <w:lvlJc w:val="left"/>
      <w:pPr>
        <w:tabs>
          <w:tab w:val="num" w:pos="2160"/>
        </w:tabs>
        <w:ind w:left="2160" w:hanging="360"/>
      </w:pPr>
      <w:rPr>
        <w:rFonts w:ascii="Wingdings" w:hAnsi="Wingdings" w:hint="default"/>
        <w:sz w:val="20"/>
      </w:rPr>
    </w:lvl>
    <w:lvl w:ilvl="3" w:tplc="C7465622" w:tentative="1">
      <w:start w:val="1"/>
      <w:numFmt w:val="bullet"/>
      <w:lvlText w:val=""/>
      <w:lvlJc w:val="left"/>
      <w:pPr>
        <w:tabs>
          <w:tab w:val="num" w:pos="2880"/>
        </w:tabs>
        <w:ind w:left="2880" w:hanging="360"/>
      </w:pPr>
      <w:rPr>
        <w:rFonts w:ascii="Wingdings" w:hAnsi="Wingdings" w:hint="default"/>
        <w:sz w:val="20"/>
      </w:rPr>
    </w:lvl>
    <w:lvl w:ilvl="4" w:tplc="ED649F8E" w:tentative="1">
      <w:start w:val="1"/>
      <w:numFmt w:val="bullet"/>
      <w:lvlText w:val=""/>
      <w:lvlJc w:val="left"/>
      <w:pPr>
        <w:tabs>
          <w:tab w:val="num" w:pos="3600"/>
        </w:tabs>
        <w:ind w:left="3600" w:hanging="360"/>
      </w:pPr>
      <w:rPr>
        <w:rFonts w:ascii="Wingdings" w:hAnsi="Wingdings" w:hint="default"/>
        <w:sz w:val="20"/>
      </w:rPr>
    </w:lvl>
    <w:lvl w:ilvl="5" w:tplc="AF9224FA" w:tentative="1">
      <w:start w:val="1"/>
      <w:numFmt w:val="bullet"/>
      <w:lvlText w:val=""/>
      <w:lvlJc w:val="left"/>
      <w:pPr>
        <w:tabs>
          <w:tab w:val="num" w:pos="4320"/>
        </w:tabs>
        <w:ind w:left="4320" w:hanging="360"/>
      </w:pPr>
      <w:rPr>
        <w:rFonts w:ascii="Wingdings" w:hAnsi="Wingdings" w:hint="default"/>
        <w:sz w:val="20"/>
      </w:rPr>
    </w:lvl>
    <w:lvl w:ilvl="6" w:tplc="D7C8B518" w:tentative="1">
      <w:start w:val="1"/>
      <w:numFmt w:val="bullet"/>
      <w:lvlText w:val=""/>
      <w:lvlJc w:val="left"/>
      <w:pPr>
        <w:tabs>
          <w:tab w:val="num" w:pos="5040"/>
        </w:tabs>
        <w:ind w:left="5040" w:hanging="360"/>
      </w:pPr>
      <w:rPr>
        <w:rFonts w:ascii="Wingdings" w:hAnsi="Wingdings" w:hint="default"/>
        <w:sz w:val="20"/>
      </w:rPr>
    </w:lvl>
    <w:lvl w:ilvl="7" w:tplc="EACC1648" w:tentative="1">
      <w:start w:val="1"/>
      <w:numFmt w:val="bullet"/>
      <w:lvlText w:val=""/>
      <w:lvlJc w:val="left"/>
      <w:pPr>
        <w:tabs>
          <w:tab w:val="num" w:pos="5760"/>
        </w:tabs>
        <w:ind w:left="5760" w:hanging="360"/>
      </w:pPr>
      <w:rPr>
        <w:rFonts w:ascii="Wingdings" w:hAnsi="Wingdings" w:hint="default"/>
        <w:sz w:val="20"/>
      </w:rPr>
    </w:lvl>
    <w:lvl w:ilvl="8" w:tplc="32E4DA8E"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457661"/>
    <w:multiLevelType w:val="hybridMultilevel"/>
    <w:tmpl w:val="7C1A9304"/>
    <w:lvl w:ilvl="0" w:tplc="9216ECEA">
      <w:start w:val="1"/>
      <w:numFmt w:val="decimal"/>
      <w:lvlText w:val="%1."/>
      <w:lvlJc w:val="left"/>
      <w:pPr>
        <w:tabs>
          <w:tab w:val="num" w:pos="720"/>
        </w:tabs>
        <w:ind w:left="720" w:hanging="360"/>
      </w:pPr>
    </w:lvl>
    <w:lvl w:ilvl="1" w:tplc="8D162E16" w:tentative="1">
      <w:start w:val="1"/>
      <w:numFmt w:val="decimal"/>
      <w:lvlText w:val="%2."/>
      <w:lvlJc w:val="left"/>
      <w:pPr>
        <w:tabs>
          <w:tab w:val="num" w:pos="1440"/>
        </w:tabs>
        <w:ind w:left="1440" w:hanging="360"/>
      </w:pPr>
    </w:lvl>
    <w:lvl w:ilvl="2" w:tplc="8C4EFF4C" w:tentative="1">
      <w:start w:val="1"/>
      <w:numFmt w:val="decimal"/>
      <w:lvlText w:val="%3."/>
      <w:lvlJc w:val="left"/>
      <w:pPr>
        <w:tabs>
          <w:tab w:val="num" w:pos="2160"/>
        </w:tabs>
        <w:ind w:left="2160" w:hanging="360"/>
      </w:pPr>
    </w:lvl>
    <w:lvl w:ilvl="3" w:tplc="A5706320" w:tentative="1">
      <w:start w:val="1"/>
      <w:numFmt w:val="decimal"/>
      <w:lvlText w:val="%4."/>
      <w:lvlJc w:val="left"/>
      <w:pPr>
        <w:tabs>
          <w:tab w:val="num" w:pos="2880"/>
        </w:tabs>
        <w:ind w:left="2880" w:hanging="360"/>
      </w:pPr>
    </w:lvl>
    <w:lvl w:ilvl="4" w:tplc="196A54A0" w:tentative="1">
      <w:start w:val="1"/>
      <w:numFmt w:val="decimal"/>
      <w:lvlText w:val="%5."/>
      <w:lvlJc w:val="left"/>
      <w:pPr>
        <w:tabs>
          <w:tab w:val="num" w:pos="3600"/>
        </w:tabs>
        <w:ind w:left="3600" w:hanging="360"/>
      </w:pPr>
    </w:lvl>
    <w:lvl w:ilvl="5" w:tplc="17A0D86A" w:tentative="1">
      <w:start w:val="1"/>
      <w:numFmt w:val="decimal"/>
      <w:lvlText w:val="%6."/>
      <w:lvlJc w:val="left"/>
      <w:pPr>
        <w:tabs>
          <w:tab w:val="num" w:pos="4320"/>
        </w:tabs>
        <w:ind w:left="4320" w:hanging="360"/>
      </w:pPr>
    </w:lvl>
    <w:lvl w:ilvl="6" w:tplc="D6A630BC" w:tentative="1">
      <w:start w:val="1"/>
      <w:numFmt w:val="decimal"/>
      <w:lvlText w:val="%7."/>
      <w:lvlJc w:val="left"/>
      <w:pPr>
        <w:tabs>
          <w:tab w:val="num" w:pos="5040"/>
        </w:tabs>
        <w:ind w:left="5040" w:hanging="360"/>
      </w:pPr>
    </w:lvl>
    <w:lvl w:ilvl="7" w:tplc="01765484" w:tentative="1">
      <w:start w:val="1"/>
      <w:numFmt w:val="decimal"/>
      <w:lvlText w:val="%8."/>
      <w:lvlJc w:val="left"/>
      <w:pPr>
        <w:tabs>
          <w:tab w:val="num" w:pos="5760"/>
        </w:tabs>
        <w:ind w:left="5760" w:hanging="360"/>
      </w:pPr>
    </w:lvl>
    <w:lvl w:ilvl="8" w:tplc="BF68960C" w:tentative="1">
      <w:start w:val="1"/>
      <w:numFmt w:val="decimal"/>
      <w:lvlText w:val="%9."/>
      <w:lvlJc w:val="left"/>
      <w:pPr>
        <w:tabs>
          <w:tab w:val="num" w:pos="6480"/>
        </w:tabs>
        <w:ind w:left="6480" w:hanging="360"/>
      </w:pPr>
    </w:lvl>
  </w:abstractNum>
  <w:abstractNum w:abstractNumId="13">
    <w:nsid w:val="347B7EA4"/>
    <w:multiLevelType w:val="hybridMultilevel"/>
    <w:tmpl w:val="60424332"/>
    <w:lvl w:ilvl="0" w:tplc="4D0EAB5A">
      <w:start w:val="1"/>
      <w:numFmt w:val="decimal"/>
      <w:lvlText w:val="%1."/>
      <w:lvlJc w:val="left"/>
      <w:pPr>
        <w:tabs>
          <w:tab w:val="num" w:pos="720"/>
        </w:tabs>
        <w:ind w:left="720" w:hanging="360"/>
      </w:pPr>
    </w:lvl>
    <w:lvl w:ilvl="1" w:tplc="2A0EE32E" w:tentative="1">
      <w:start w:val="1"/>
      <w:numFmt w:val="decimal"/>
      <w:lvlText w:val="%2."/>
      <w:lvlJc w:val="left"/>
      <w:pPr>
        <w:tabs>
          <w:tab w:val="num" w:pos="1440"/>
        </w:tabs>
        <w:ind w:left="1440" w:hanging="360"/>
      </w:pPr>
    </w:lvl>
    <w:lvl w:ilvl="2" w:tplc="F7669A90" w:tentative="1">
      <w:start w:val="1"/>
      <w:numFmt w:val="decimal"/>
      <w:lvlText w:val="%3."/>
      <w:lvlJc w:val="left"/>
      <w:pPr>
        <w:tabs>
          <w:tab w:val="num" w:pos="2160"/>
        </w:tabs>
        <w:ind w:left="2160" w:hanging="360"/>
      </w:pPr>
    </w:lvl>
    <w:lvl w:ilvl="3" w:tplc="18A02244" w:tentative="1">
      <w:start w:val="1"/>
      <w:numFmt w:val="decimal"/>
      <w:lvlText w:val="%4."/>
      <w:lvlJc w:val="left"/>
      <w:pPr>
        <w:tabs>
          <w:tab w:val="num" w:pos="2880"/>
        </w:tabs>
        <w:ind w:left="2880" w:hanging="360"/>
      </w:pPr>
    </w:lvl>
    <w:lvl w:ilvl="4" w:tplc="04A813EA" w:tentative="1">
      <w:start w:val="1"/>
      <w:numFmt w:val="decimal"/>
      <w:lvlText w:val="%5."/>
      <w:lvlJc w:val="left"/>
      <w:pPr>
        <w:tabs>
          <w:tab w:val="num" w:pos="3600"/>
        </w:tabs>
        <w:ind w:left="3600" w:hanging="360"/>
      </w:pPr>
    </w:lvl>
    <w:lvl w:ilvl="5" w:tplc="3F76097A" w:tentative="1">
      <w:start w:val="1"/>
      <w:numFmt w:val="decimal"/>
      <w:lvlText w:val="%6."/>
      <w:lvlJc w:val="left"/>
      <w:pPr>
        <w:tabs>
          <w:tab w:val="num" w:pos="4320"/>
        </w:tabs>
        <w:ind w:left="4320" w:hanging="360"/>
      </w:pPr>
    </w:lvl>
    <w:lvl w:ilvl="6" w:tplc="004A7FE2" w:tentative="1">
      <w:start w:val="1"/>
      <w:numFmt w:val="decimal"/>
      <w:lvlText w:val="%7."/>
      <w:lvlJc w:val="left"/>
      <w:pPr>
        <w:tabs>
          <w:tab w:val="num" w:pos="5040"/>
        </w:tabs>
        <w:ind w:left="5040" w:hanging="360"/>
      </w:pPr>
    </w:lvl>
    <w:lvl w:ilvl="7" w:tplc="87D0C328" w:tentative="1">
      <w:start w:val="1"/>
      <w:numFmt w:val="decimal"/>
      <w:lvlText w:val="%8."/>
      <w:lvlJc w:val="left"/>
      <w:pPr>
        <w:tabs>
          <w:tab w:val="num" w:pos="5760"/>
        </w:tabs>
        <w:ind w:left="5760" w:hanging="360"/>
      </w:pPr>
    </w:lvl>
    <w:lvl w:ilvl="8" w:tplc="55BEB2C2" w:tentative="1">
      <w:start w:val="1"/>
      <w:numFmt w:val="decimal"/>
      <w:lvlText w:val="%9."/>
      <w:lvlJc w:val="left"/>
      <w:pPr>
        <w:tabs>
          <w:tab w:val="num" w:pos="6480"/>
        </w:tabs>
        <w:ind w:left="6480" w:hanging="360"/>
      </w:pPr>
    </w:lvl>
  </w:abstractNum>
  <w:abstractNum w:abstractNumId="14">
    <w:nsid w:val="364F2419"/>
    <w:multiLevelType w:val="hybridMultilevel"/>
    <w:tmpl w:val="1ED066D4"/>
    <w:lvl w:ilvl="0" w:tplc="302430BE">
      <w:start w:val="1"/>
      <w:numFmt w:val="bullet"/>
      <w:lvlText w:val=""/>
      <w:lvlJc w:val="left"/>
      <w:pPr>
        <w:tabs>
          <w:tab w:val="num" w:pos="720"/>
        </w:tabs>
        <w:ind w:left="720" w:hanging="360"/>
      </w:pPr>
      <w:rPr>
        <w:rFonts w:ascii="Symbol" w:hAnsi="Symbol" w:hint="default"/>
        <w:sz w:val="20"/>
      </w:rPr>
    </w:lvl>
    <w:lvl w:ilvl="1" w:tplc="5C34C578" w:tentative="1">
      <w:start w:val="1"/>
      <w:numFmt w:val="bullet"/>
      <w:lvlText w:val="o"/>
      <w:lvlJc w:val="left"/>
      <w:pPr>
        <w:tabs>
          <w:tab w:val="num" w:pos="1440"/>
        </w:tabs>
        <w:ind w:left="1440" w:hanging="360"/>
      </w:pPr>
      <w:rPr>
        <w:rFonts w:ascii="Courier New" w:hAnsi="Courier New" w:hint="default"/>
        <w:sz w:val="20"/>
      </w:rPr>
    </w:lvl>
    <w:lvl w:ilvl="2" w:tplc="08FAB272" w:tentative="1">
      <w:start w:val="1"/>
      <w:numFmt w:val="bullet"/>
      <w:lvlText w:val=""/>
      <w:lvlJc w:val="left"/>
      <w:pPr>
        <w:tabs>
          <w:tab w:val="num" w:pos="2160"/>
        </w:tabs>
        <w:ind w:left="2160" w:hanging="360"/>
      </w:pPr>
      <w:rPr>
        <w:rFonts w:ascii="Wingdings" w:hAnsi="Wingdings" w:hint="default"/>
        <w:sz w:val="20"/>
      </w:rPr>
    </w:lvl>
    <w:lvl w:ilvl="3" w:tplc="3092C086" w:tentative="1">
      <w:start w:val="1"/>
      <w:numFmt w:val="bullet"/>
      <w:lvlText w:val=""/>
      <w:lvlJc w:val="left"/>
      <w:pPr>
        <w:tabs>
          <w:tab w:val="num" w:pos="2880"/>
        </w:tabs>
        <w:ind w:left="2880" w:hanging="360"/>
      </w:pPr>
      <w:rPr>
        <w:rFonts w:ascii="Wingdings" w:hAnsi="Wingdings" w:hint="default"/>
        <w:sz w:val="20"/>
      </w:rPr>
    </w:lvl>
    <w:lvl w:ilvl="4" w:tplc="62E0AA02" w:tentative="1">
      <w:start w:val="1"/>
      <w:numFmt w:val="bullet"/>
      <w:lvlText w:val=""/>
      <w:lvlJc w:val="left"/>
      <w:pPr>
        <w:tabs>
          <w:tab w:val="num" w:pos="3600"/>
        </w:tabs>
        <w:ind w:left="3600" w:hanging="360"/>
      </w:pPr>
      <w:rPr>
        <w:rFonts w:ascii="Wingdings" w:hAnsi="Wingdings" w:hint="default"/>
        <w:sz w:val="20"/>
      </w:rPr>
    </w:lvl>
    <w:lvl w:ilvl="5" w:tplc="941207E8" w:tentative="1">
      <w:start w:val="1"/>
      <w:numFmt w:val="bullet"/>
      <w:lvlText w:val=""/>
      <w:lvlJc w:val="left"/>
      <w:pPr>
        <w:tabs>
          <w:tab w:val="num" w:pos="4320"/>
        </w:tabs>
        <w:ind w:left="4320" w:hanging="360"/>
      </w:pPr>
      <w:rPr>
        <w:rFonts w:ascii="Wingdings" w:hAnsi="Wingdings" w:hint="default"/>
        <w:sz w:val="20"/>
      </w:rPr>
    </w:lvl>
    <w:lvl w:ilvl="6" w:tplc="CB8419B8" w:tentative="1">
      <w:start w:val="1"/>
      <w:numFmt w:val="bullet"/>
      <w:lvlText w:val=""/>
      <w:lvlJc w:val="left"/>
      <w:pPr>
        <w:tabs>
          <w:tab w:val="num" w:pos="5040"/>
        </w:tabs>
        <w:ind w:left="5040" w:hanging="360"/>
      </w:pPr>
      <w:rPr>
        <w:rFonts w:ascii="Wingdings" w:hAnsi="Wingdings" w:hint="default"/>
        <w:sz w:val="20"/>
      </w:rPr>
    </w:lvl>
    <w:lvl w:ilvl="7" w:tplc="E8F0DBB4" w:tentative="1">
      <w:start w:val="1"/>
      <w:numFmt w:val="bullet"/>
      <w:lvlText w:val=""/>
      <w:lvlJc w:val="left"/>
      <w:pPr>
        <w:tabs>
          <w:tab w:val="num" w:pos="5760"/>
        </w:tabs>
        <w:ind w:left="5760" w:hanging="360"/>
      </w:pPr>
      <w:rPr>
        <w:rFonts w:ascii="Wingdings" w:hAnsi="Wingdings" w:hint="default"/>
        <w:sz w:val="20"/>
      </w:rPr>
    </w:lvl>
    <w:lvl w:ilvl="8" w:tplc="2E62D70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93C79E7"/>
    <w:multiLevelType w:val="hybridMultilevel"/>
    <w:tmpl w:val="CC205C2A"/>
    <w:lvl w:ilvl="0" w:tplc="3D3A42EC">
      <w:start w:val="1"/>
      <w:numFmt w:val="bullet"/>
      <w:lvlText w:val=""/>
      <w:lvlJc w:val="left"/>
      <w:pPr>
        <w:tabs>
          <w:tab w:val="num" w:pos="720"/>
        </w:tabs>
        <w:ind w:left="720" w:hanging="360"/>
      </w:pPr>
      <w:rPr>
        <w:rFonts w:ascii="Symbol" w:hAnsi="Symbol" w:hint="default"/>
        <w:sz w:val="20"/>
      </w:rPr>
    </w:lvl>
    <w:lvl w:ilvl="1" w:tplc="ED6CD652" w:tentative="1">
      <w:start w:val="1"/>
      <w:numFmt w:val="bullet"/>
      <w:lvlText w:val="o"/>
      <w:lvlJc w:val="left"/>
      <w:pPr>
        <w:tabs>
          <w:tab w:val="num" w:pos="1440"/>
        </w:tabs>
        <w:ind w:left="1440" w:hanging="360"/>
      </w:pPr>
      <w:rPr>
        <w:rFonts w:ascii="Courier New" w:hAnsi="Courier New" w:hint="default"/>
        <w:sz w:val="20"/>
      </w:rPr>
    </w:lvl>
    <w:lvl w:ilvl="2" w:tplc="AD925EBA" w:tentative="1">
      <w:start w:val="1"/>
      <w:numFmt w:val="bullet"/>
      <w:lvlText w:val=""/>
      <w:lvlJc w:val="left"/>
      <w:pPr>
        <w:tabs>
          <w:tab w:val="num" w:pos="2160"/>
        </w:tabs>
        <w:ind w:left="2160" w:hanging="360"/>
      </w:pPr>
      <w:rPr>
        <w:rFonts w:ascii="Wingdings" w:hAnsi="Wingdings" w:hint="default"/>
        <w:sz w:val="20"/>
      </w:rPr>
    </w:lvl>
    <w:lvl w:ilvl="3" w:tplc="8A1A816C" w:tentative="1">
      <w:start w:val="1"/>
      <w:numFmt w:val="bullet"/>
      <w:lvlText w:val=""/>
      <w:lvlJc w:val="left"/>
      <w:pPr>
        <w:tabs>
          <w:tab w:val="num" w:pos="2880"/>
        </w:tabs>
        <w:ind w:left="2880" w:hanging="360"/>
      </w:pPr>
      <w:rPr>
        <w:rFonts w:ascii="Wingdings" w:hAnsi="Wingdings" w:hint="default"/>
        <w:sz w:val="20"/>
      </w:rPr>
    </w:lvl>
    <w:lvl w:ilvl="4" w:tplc="8AC05A30" w:tentative="1">
      <w:start w:val="1"/>
      <w:numFmt w:val="bullet"/>
      <w:lvlText w:val=""/>
      <w:lvlJc w:val="left"/>
      <w:pPr>
        <w:tabs>
          <w:tab w:val="num" w:pos="3600"/>
        </w:tabs>
        <w:ind w:left="3600" w:hanging="360"/>
      </w:pPr>
      <w:rPr>
        <w:rFonts w:ascii="Wingdings" w:hAnsi="Wingdings" w:hint="default"/>
        <w:sz w:val="20"/>
      </w:rPr>
    </w:lvl>
    <w:lvl w:ilvl="5" w:tplc="5D0ADD48" w:tentative="1">
      <w:start w:val="1"/>
      <w:numFmt w:val="bullet"/>
      <w:lvlText w:val=""/>
      <w:lvlJc w:val="left"/>
      <w:pPr>
        <w:tabs>
          <w:tab w:val="num" w:pos="4320"/>
        </w:tabs>
        <w:ind w:left="4320" w:hanging="360"/>
      </w:pPr>
      <w:rPr>
        <w:rFonts w:ascii="Wingdings" w:hAnsi="Wingdings" w:hint="default"/>
        <w:sz w:val="20"/>
      </w:rPr>
    </w:lvl>
    <w:lvl w:ilvl="6" w:tplc="BD34E43C" w:tentative="1">
      <w:start w:val="1"/>
      <w:numFmt w:val="bullet"/>
      <w:lvlText w:val=""/>
      <w:lvlJc w:val="left"/>
      <w:pPr>
        <w:tabs>
          <w:tab w:val="num" w:pos="5040"/>
        </w:tabs>
        <w:ind w:left="5040" w:hanging="360"/>
      </w:pPr>
      <w:rPr>
        <w:rFonts w:ascii="Wingdings" w:hAnsi="Wingdings" w:hint="default"/>
        <w:sz w:val="20"/>
      </w:rPr>
    </w:lvl>
    <w:lvl w:ilvl="7" w:tplc="6282871E" w:tentative="1">
      <w:start w:val="1"/>
      <w:numFmt w:val="bullet"/>
      <w:lvlText w:val=""/>
      <w:lvlJc w:val="left"/>
      <w:pPr>
        <w:tabs>
          <w:tab w:val="num" w:pos="5760"/>
        </w:tabs>
        <w:ind w:left="5760" w:hanging="360"/>
      </w:pPr>
      <w:rPr>
        <w:rFonts w:ascii="Wingdings" w:hAnsi="Wingdings" w:hint="default"/>
        <w:sz w:val="20"/>
      </w:rPr>
    </w:lvl>
    <w:lvl w:ilvl="8" w:tplc="23B64C5A" w:tentative="1">
      <w:start w:val="1"/>
      <w:numFmt w:val="bullet"/>
      <w:lvlText w:val=""/>
      <w:lvlJc w:val="left"/>
      <w:pPr>
        <w:tabs>
          <w:tab w:val="num" w:pos="6480"/>
        </w:tabs>
        <w:ind w:left="6480" w:hanging="360"/>
      </w:pPr>
      <w:rPr>
        <w:rFonts w:ascii="Wingdings" w:hAnsi="Wingdings" w:hint="default"/>
        <w:sz w:val="20"/>
      </w:rPr>
    </w:lvl>
  </w:abstractNum>
  <w:abstractNum w:abstractNumId="16">
    <w:nsid w:val="3AD242F1"/>
    <w:multiLevelType w:val="hybridMultilevel"/>
    <w:tmpl w:val="A010F152"/>
    <w:lvl w:ilvl="0" w:tplc="7758F2B2">
      <w:start w:val="1"/>
      <w:numFmt w:val="decimal"/>
      <w:lvlText w:val="%1."/>
      <w:lvlJc w:val="left"/>
      <w:pPr>
        <w:tabs>
          <w:tab w:val="num" w:pos="720"/>
        </w:tabs>
        <w:ind w:left="720" w:hanging="360"/>
      </w:pPr>
    </w:lvl>
    <w:lvl w:ilvl="1" w:tplc="523410F6" w:tentative="1">
      <w:start w:val="1"/>
      <w:numFmt w:val="decimal"/>
      <w:lvlText w:val="%2."/>
      <w:lvlJc w:val="left"/>
      <w:pPr>
        <w:tabs>
          <w:tab w:val="num" w:pos="1440"/>
        </w:tabs>
        <w:ind w:left="1440" w:hanging="360"/>
      </w:pPr>
    </w:lvl>
    <w:lvl w:ilvl="2" w:tplc="F014CA40" w:tentative="1">
      <w:start w:val="1"/>
      <w:numFmt w:val="decimal"/>
      <w:lvlText w:val="%3."/>
      <w:lvlJc w:val="left"/>
      <w:pPr>
        <w:tabs>
          <w:tab w:val="num" w:pos="2160"/>
        </w:tabs>
        <w:ind w:left="2160" w:hanging="360"/>
      </w:pPr>
    </w:lvl>
    <w:lvl w:ilvl="3" w:tplc="8C52CE84" w:tentative="1">
      <w:start w:val="1"/>
      <w:numFmt w:val="decimal"/>
      <w:lvlText w:val="%4."/>
      <w:lvlJc w:val="left"/>
      <w:pPr>
        <w:tabs>
          <w:tab w:val="num" w:pos="2880"/>
        </w:tabs>
        <w:ind w:left="2880" w:hanging="360"/>
      </w:pPr>
    </w:lvl>
    <w:lvl w:ilvl="4" w:tplc="1C2AFEDA" w:tentative="1">
      <w:start w:val="1"/>
      <w:numFmt w:val="decimal"/>
      <w:lvlText w:val="%5."/>
      <w:lvlJc w:val="left"/>
      <w:pPr>
        <w:tabs>
          <w:tab w:val="num" w:pos="3600"/>
        </w:tabs>
        <w:ind w:left="3600" w:hanging="360"/>
      </w:pPr>
    </w:lvl>
    <w:lvl w:ilvl="5" w:tplc="B4AA6FF4" w:tentative="1">
      <w:start w:val="1"/>
      <w:numFmt w:val="decimal"/>
      <w:lvlText w:val="%6."/>
      <w:lvlJc w:val="left"/>
      <w:pPr>
        <w:tabs>
          <w:tab w:val="num" w:pos="4320"/>
        </w:tabs>
        <w:ind w:left="4320" w:hanging="360"/>
      </w:pPr>
    </w:lvl>
    <w:lvl w:ilvl="6" w:tplc="859C5370" w:tentative="1">
      <w:start w:val="1"/>
      <w:numFmt w:val="decimal"/>
      <w:lvlText w:val="%7."/>
      <w:lvlJc w:val="left"/>
      <w:pPr>
        <w:tabs>
          <w:tab w:val="num" w:pos="5040"/>
        </w:tabs>
        <w:ind w:left="5040" w:hanging="360"/>
      </w:pPr>
    </w:lvl>
    <w:lvl w:ilvl="7" w:tplc="85908FC8" w:tentative="1">
      <w:start w:val="1"/>
      <w:numFmt w:val="decimal"/>
      <w:lvlText w:val="%8."/>
      <w:lvlJc w:val="left"/>
      <w:pPr>
        <w:tabs>
          <w:tab w:val="num" w:pos="5760"/>
        </w:tabs>
        <w:ind w:left="5760" w:hanging="360"/>
      </w:pPr>
    </w:lvl>
    <w:lvl w:ilvl="8" w:tplc="53205314" w:tentative="1">
      <w:start w:val="1"/>
      <w:numFmt w:val="decimal"/>
      <w:lvlText w:val="%9."/>
      <w:lvlJc w:val="left"/>
      <w:pPr>
        <w:tabs>
          <w:tab w:val="num" w:pos="6480"/>
        </w:tabs>
        <w:ind w:left="6480" w:hanging="360"/>
      </w:pPr>
    </w:lvl>
  </w:abstractNum>
  <w:abstractNum w:abstractNumId="17">
    <w:nsid w:val="3D37210B"/>
    <w:multiLevelType w:val="hybridMultilevel"/>
    <w:tmpl w:val="983CC642"/>
    <w:lvl w:ilvl="0" w:tplc="7E9A467E">
      <w:start w:val="1"/>
      <w:numFmt w:val="bullet"/>
      <w:lvlText w:val=""/>
      <w:lvlJc w:val="left"/>
      <w:pPr>
        <w:tabs>
          <w:tab w:val="num" w:pos="720"/>
        </w:tabs>
        <w:ind w:left="720" w:hanging="360"/>
      </w:pPr>
      <w:rPr>
        <w:rFonts w:ascii="Symbol" w:hAnsi="Symbol" w:hint="default"/>
        <w:sz w:val="20"/>
      </w:rPr>
    </w:lvl>
    <w:lvl w:ilvl="1" w:tplc="D76C0224" w:tentative="1">
      <w:start w:val="1"/>
      <w:numFmt w:val="bullet"/>
      <w:lvlText w:val="o"/>
      <w:lvlJc w:val="left"/>
      <w:pPr>
        <w:tabs>
          <w:tab w:val="num" w:pos="1440"/>
        </w:tabs>
        <w:ind w:left="1440" w:hanging="360"/>
      </w:pPr>
      <w:rPr>
        <w:rFonts w:ascii="Courier New" w:hAnsi="Courier New" w:hint="default"/>
        <w:sz w:val="20"/>
      </w:rPr>
    </w:lvl>
    <w:lvl w:ilvl="2" w:tplc="68A4D5D4" w:tentative="1">
      <w:start w:val="1"/>
      <w:numFmt w:val="bullet"/>
      <w:lvlText w:val=""/>
      <w:lvlJc w:val="left"/>
      <w:pPr>
        <w:tabs>
          <w:tab w:val="num" w:pos="2160"/>
        </w:tabs>
        <w:ind w:left="2160" w:hanging="360"/>
      </w:pPr>
      <w:rPr>
        <w:rFonts w:ascii="Wingdings" w:hAnsi="Wingdings" w:hint="default"/>
        <w:sz w:val="20"/>
      </w:rPr>
    </w:lvl>
    <w:lvl w:ilvl="3" w:tplc="D8CE0944" w:tentative="1">
      <w:start w:val="1"/>
      <w:numFmt w:val="bullet"/>
      <w:lvlText w:val=""/>
      <w:lvlJc w:val="left"/>
      <w:pPr>
        <w:tabs>
          <w:tab w:val="num" w:pos="2880"/>
        </w:tabs>
        <w:ind w:left="2880" w:hanging="360"/>
      </w:pPr>
      <w:rPr>
        <w:rFonts w:ascii="Wingdings" w:hAnsi="Wingdings" w:hint="default"/>
        <w:sz w:val="20"/>
      </w:rPr>
    </w:lvl>
    <w:lvl w:ilvl="4" w:tplc="F808D9E8" w:tentative="1">
      <w:start w:val="1"/>
      <w:numFmt w:val="bullet"/>
      <w:lvlText w:val=""/>
      <w:lvlJc w:val="left"/>
      <w:pPr>
        <w:tabs>
          <w:tab w:val="num" w:pos="3600"/>
        </w:tabs>
        <w:ind w:left="3600" w:hanging="360"/>
      </w:pPr>
      <w:rPr>
        <w:rFonts w:ascii="Wingdings" w:hAnsi="Wingdings" w:hint="default"/>
        <w:sz w:val="20"/>
      </w:rPr>
    </w:lvl>
    <w:lvl w:ilvl="5" w:tplc="3528C9D6" w:tentative="1">
      <w:start w:val="1"/>
      <w:numFmt w:val="bullet"/>
      <w:lvlText w:val=""/>
      <w:lvlJc w:val="left"/>
      <w:pPr>
        <w:tabs>
          <w:tab w:val="num" w:pos="4320"/>
        </w:tabs>
        <w:ind w:left="4320" w:hanging="360"/>
      </w:pPr>
      <w:rPr>
        <w:rFonts w:ascii="Wingdings" w:hAnsi="Wingdings" w:hint="default"/>
        <w:sz w:val="20"/>
      </w:rPr>
    </w:lvl>
    <w:lvl w:ilvl="6" w:tplc="A7340FEC" w:tentative="1">
      <w:start w:val="1"/>
      <w:numFmt w:val="bullet"/>
      <w:lvlText w:val=""/>
      <w:lvlJc w:val="left"/>
      <w:pPr>
        <w:tabs>
          <w:tab w:val="num" w:pos="5040"/>
        </w:tabs>
        <w:ind w:left="5040" w:hanging="360"/>
      </w:pPr>
      <w:rPr>
        <w:rFonts w:ascii="Wingdings" w:hAnsi="Wingdings" w:hint="default"/>
        <w:sz w:val="20"/>
      </w:rPr>
    </w:lvl>
    <w:lvl w:ilvl="7" w:tplc="3704F680" w:tentative="1">
      <w:start w:val="1"/>
      <w:numFmt w:val="bullet"/>
      <w:lvlText w:val=""/>
      <w:lvlJc w:val="left"/>
      <w:pPr>
        <w:tabs>
          <w:tab w:val="num" w:pos="5760"/>
        </w:tabs>
        <w:ind w:left="5760" w:hanging="360"/>
      </w:pPr>
      <w:rPr>
        <w:rFonts w:ascii="Wingdings" w:hAnsi="Wingdings" w:hint="default"/>
        <w:sz w:val="20"/>
      </w:rPr>
    </w:lvl>
    <w:lvl w:ilvl="8" w:tplc="25440B2E" w:tentative="1">
      <w:start w:val="1"/>
      <w:numFmt w:val="bullet"/>
      <w:lvlText w:val=""/>
      <w:lvlJc w:val="left"/>
      <w:pPr>
        <w:tabs>
          <w:tab w:val="num" w:pos="6480"/>
        </w:tabs>
        <w:ind w:left="6480" w:hanging="360"/>
      </w:pPr>
      <w:rPr>
        <w:rFonts w:ascii="Wingdings" w:hAnsi="Wingdings" w:hint="default"/>
        <w:sz w:val="20"/>
      </w:rPr>
    </w:lvl>
  </w:abstractNum>
  <w:abstractNum w:abstractNumId="18">
    <w:nsid w:val="403D194A"/>
    <w:multiLevelType w:val="hybridMultilevel"/>
    <w:tmpl w:val="DBAAA7CE"/>
    <w:lvl w:ilvl="0" w:tplc="F300D6CE">
      <w:start w:val="1"/>
      <w:numFmt w:val="bullet"/>
      <w:lvlText w:val=""/>
      <w:lvlJc w:val="left"/>
      <w:pPr>
        <w:tabs>
          <w:tab w:val="num" w:pos="720"/>
        </w:tabs>
        <w:ind w:left="720" w:hanging="360"/>
      </w:pPr>
      <w:rPr>
        <w:rFonts w:ascii="Symbol" w:hAnsi="Symbol" w:hint="default"/>
        <w:sz w:val="20"/>
      </w:rPr>
    </w:lvl>
    <w:lvl w:ilvl="1" w:tplc="1EDAD2FE" w:tentative="1">
      <w:start w:val="1"/>
      <w:numFmt w:val="bullet"/>
      <w:lvlText w:val="o"/>
      <w:lvlJc w:val="left"/>
      <w:pPr>
        <w:tabs>
          <w:tab w:val="num" w:pos="1440"/>
        </w:tabs>
        <w:ind w:left="1440" w:hanging="360"/>
      </w:pPr>
      <w:rPr>
        <w:rFonts w:ascii="Courier New" w:hAnsi="Courier New" w:hint="default"/>
        <w:sz w:val="20"/>
      </w:rPr>
    </w:lvl>
    <w:lvl w:ilvl="2" w:tplc="D1DA0D94" w:tentative="1">
      <w:start w:val="1"/>
      <w:numFmt w:val="bullet"/>
      <w:lvlText w:val=""/>
      <w:lvlJc w:val="left"/>
      <w:pPr>
        <w:tabs>
          <w:tab w:val="num" w:pos="2160"/>
        </w:tabs>
        <w:ind w:left="2160" w:hanging="360"/>
      </w:pPr>
      <w:rPr>
        <w:rFonts w:ascii="Wingdings" w:hAnsi="Wingdings" w:hint="default"/>
        <w:sz w:val="20"/>
      </w:rPr>
    </w:lvl>
    <w:lvl w:ilvl="3" w:tplc="5636D942" w:tentative="1">
      <w:start w:val="1"/>
      <w:numFmt w:val="bullet"/>
      <w:lvlText w:val=""/>
      <w:lvlJc w:val="left"/>
      <w:pPr>
        <w:tabs>
          <w:tab w:val="num" w:pos="2880"/>
        </w:tabs>
        <w:ind w:left="2880" w:hanging="360"/>
      </w:pPr>
      <w:rPr>
        <w:rFonts w:ascii="Wingdings" w:hAnsi="Wingdings" w:hint="default"/>
        <w:sz w:val="20"/>
      </w:rPr>
    </w:lvl>
    <w:lvl w:ilvl="4" w:tplc="370889A6" w:tentative="1">
      <w:start w:val="1"/>
      <w:numFmt w:val="bullet"/>
      <w:lvlText w:val=""/>
      <w:lvlJc w:val="left"/>
      <w:pPr>
        <w:tabs>
          <w:tab w:val="num" w:pos="3600"/>
        </w:tabs>
        <w:ind w:left="3600" w:hanging="360"/>
      </w:pPr>
      <w:rPr>
        <w:rFonts w:ascii="Wingdings" w:hAnsi="Wingdings" w:hint="default"/>
        <w:sz w:val="20"/>
      </w:rPr>
    </w:lvl>
    <w:lvl w:ilvl="5" w:tplc="2630626E" w:tentative="1">
      <w:start w:val="1"/>
      <w:numFmt w:val="bullet"/>
      <w:lvlText w:val=""/>
      <w:lvlJc w:val="left"/>
      <w:pPr>
        <w:tabs>
          <w:tab w:val="num" w:pos="4320"/>
        </w:tabs>
        <w:ind w:left="4320" w:hanging="360"/>
      </w:pPr>
      <w:rPr>
        <w:rFonts w:ascii="Wingdings" w:hAnsi="Wingdings" w:hint="default"/>
        <w:sz w:val="20"/>
      </w:rPr>
    </w:lvl>
    <w:lvl w:ilvl="6" w:tplc="727A5616" w:tentative="1">
      <w:start w:val="1"/>
      <w:numFmt w:val="bullet"/>
      <w:lvlText w:val=""/>
      <w:lvlJc w:val="left"/>
      <w:pPr>
        <w:tabs>
          <w:tab w:val="num" w:pos="5040"/>
        </w:tabs>
        <w:ind w:left="5040" w:hanging="360"/>
      </w:pPr>
      <w:rPr>
        <w:rFonts w:ascii="Wingdings" w:hAnsi="Wingdings" w:hint="default"/>
        <w:sz w:val="20"/>
      </w:rPr>
    </w:lvl>
    <w:lvl w:ilvl="7" w:tplc="23F842E8" w:tentative="1">
      <w:start w:val="1"/>
      <w:numFmt w:val="bullet"/>
      <w:lvlText w:val=""/>
      <w:lvlJc w:val="left"/>
      <w:pPr>
        <w:tabs>
          <w:tab w:val="num" w:pos="5760"/>
        </w:tabs>
        <w:ind w:left="5760" w:hanging="360"/>
      </w:pPr>
      <w:rPr>
        <w:rFonts w:ascii="Wingdings" w:hAnsi="Wingdings" w:hint="default"/>
        <w:sz w:val="20"/>
      </w:rPr>
    </w:lvl>
    <w:lvl w:ilvl="8" w:tplc="4B1A7E7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04F6638"/>
    <w:multiLevelType w:val="hybridMultilevel"/>
    <w:tmpl w:val="9AEA9BCC"/>
    <w:lvl w:ilvl="0" w:tplc="7C707916">
      <w:start w:val="1"/>
      <w:numFmt w:val="bullet"/>
      <w:lvlText w:val=""/>
      <w:lvlJc w:val="left"/>
      <w:pPr>
        <w:tabs>
          <w:tab w:val="num" w:pos="720"/>
        </w:tabs>
        <w:ind w:left="720" w:hanging="360"/>
      </w:pPr>
      <w:rPr>
        <w:rFonts w:ascii="Symbol" w:hAnsi="Symbol" w:hint="default"/>
        <w:sz w:val="20"/>
      </w:rPr>
    </w:lvl>
    <w:lvl w:ilvl="1" w:tplc="E348D37A" w:tentative="1">
      <w:start w:val="1"/>
      <w:numFmt w:val="bullet"/>
      <w:lvlText w:val="o"/>
      <w:lvlJc w:val="left"/>
      <w:pPr>
        <w:tabs>
          <w:tab w:val="num" w:pos="1440"/>
        </w:tabs>
        <w:ind w:left="1440" w:hanging="360"/>
      </w:pPr>
      <w:rPr>
        <w:rFonts w:ascii="Courier New" w:hAnsi="Courier New" w:hint="default"/>
        <w:sz w:val="20"/>
      </w:rPr>
    </w:lvl>
    <w:lvl w:ilvl="2" w:tplc="A83A5A50" w:tentative="1">
      <w:start w:val="1"/>
      <w:numFmt w:val="bullet"/>
      <w:lvlText w:val=""/>
      <w:lvlJc w:val="left"/>
      <w:pPr>
        <w:tabs>
          <w:tab w:val="num" w:pos="2160"/>
        </w:tabs>
        <w:ind w:left="2160" w:hanging="360"/>
      </w:pPr>
      <w:rPr>
        <w:rFonts w:ascii="Wingdings" w:hAnsi="Wingdings" w:hint="default"/>
        <w:sz w:val="20"/>
      </w:rPr>
    </w:lvl>
    <w:lvl w:ilvl="3" w:tplc="01046ACE" w:tentative="1">
      <w:start w:val="1"/>
      <w:numFmt w:val="bullet"/>
      <w:lvlText w:val=""/>
      <w:lvlJc w:val="left"/>
      <w:pPr>
        <w:tabs>
          <w:tab w:val="num" w:pos="2880"/>
        </w:tabs>
        <w:ind w:left="2880" w:hanging="360"/>
      </w:pPr>
      <w:rPr>
        <w:rFonts w:ascii="Wingdings" w:hAnsi="Wingdings" w:hint="default"/>
        <w:sz w:val="20"/>
      </w:rPr>
    </w:lvl>
    <w:lvl w:ilvl="4" w:tplc="F9D4E5AE" w:tentative="1">
      <w:start w:val="1"/>
      <w:numFmt w:val="bullet"/>
      <w:lvlText w:val=""/>
      <w:lvlJc w:val="left"/>
      <w:pPr>
        <w:tabs>
          <w:tab w:val="num" w:pos="3600"/>
        </w:tabs>
        <w:ind w:left="3600" w:hanging="360"/>
      </w:pPr>
      <w:rPr>
        <w:rFonts w:ascii="Wingdings" w:hAnsi="Wingdings" w:hint="default"/>
        <w:sz w:val="20"/>
      </w:rPr>
    </w:lvl>
    <w:lvl w:ilvl="5" w:tplc="E2F8C578" w:tentative="1">
      <w:start w:val="1"/>
      <w:numFmt w:val="bullet"/>
      <w:lvlText w:val=""/>
      <w:lvlJc w:val="left"/>
      <w:pPr>
        <w:tabs>
          <w:tab w:val="num" w:pos="4320"/>
        </w:tabs>
        <w:ind w:left="4320" w:hanging="360"/>
      </w:pPr>
      <w:rPr>
        <w:rFonts w:ascii="Wingdings" w:hAnsi="Wingdings" w:hint="default"/>
        <w:sz w:val="20"/>
      </w:rPr>
    </w:lvl>
    <w:lvl w:ilvl="6" w:tplc="34BC731C" w:tentative="1">
      <w:start w:val="1"/>
      <w:numFmt w:val="bullet"/>
      <w:lvlText w:val=""/>
      <w:lvlJc w:val="left"/>
      <w:pPr>
        <w:tabs>
          <w:tab w:val="num" w:pos="5040"/>
        </w:tabs>
        <w:ind w:left="5040" w:hanging="360"/>
      </w:pPr>
      <w:rPr>
        <w:rFonts w:ascii="Wingdings" w:hAnsi="Wingdings" w:hint="default"/>
        <w:sz w:val="20"/>
      </w:rPr>
    </w:lvl>
    <w:lvl w:ilvl="7" w:tplc="8F6CB4AC" w:tentative="1">
      <w:start w:val="1"/>
      <w:numFmt w:val="bullet"/>
      <w:lvlText w:val=""/>
      <w:lvlJc w:val="left"/>
      <w:pPr>
        <w:tabs>
          <w:tab w:val="num" w:pos="5760"/>
        </w:tabs>
        <w:ind w:left="5760" w:hanging="360"/>
      </w:pPr>
      <w:rPr>
        <w:rFonts w:ascii="Wingdings" w:hAnsi="Wingdings" w:hint="default"/>
        <w:sz w:val="20"/>
      </w:rPr>
    </w:lvl>
    <w:lvl w:ilvl="8" w:tplc="D0B06D2E" w:tentative="1">
      <w:start w:val="1"/>
      <w:numFmt w:val="bullet"/>
      <w:lvlText w:val=""/>
      <w:lvlJc w:val="left"/>
      <w:pPr>
        <w:tabs>
          <w:tab w:val="num" w:pos="6480"/>
        </w:tabs>
        <w:ind w:left="6480" w:hanging="360"/>
      </w:pPr>
      <w:rPr>
        <w:rFonts w:ascii="Wingdings" w:hAnsi="Wingdings" w:hint="default"/>
        <w:sz w:val="20"/>
      </w:rPr>
    </w:lvl>
  </w:abstractNum>
  <w:abstractNum w:abstractNumId="20">
    <w:nsid w:val="45DC5C2E"/>
    <w:multiLevelType w:val="hybridMultilevel"/>
    <w:tmpl w:val="2F8ECCFA"/>
    <w:lvl w:ilvl="0" w:tplc="0B6226D2">
      <w:start w:val="1"/>
      <w:numFmt w:val="bullet"/>
      <w:lvlText w:val=""/>
      <w:lvlJc w:val="left"/>
      <w:pPr>
        <w:tabs>
          <w:tab w:val="num" w:pos="720"/>
        </w:tabs>
        <w:ind w:left="720" w:hanging="360"/>
      </w:pPr>
      <w:rPr>
        <w:rFonts w:ascii="Symbol" w:hAnsi="Symbol" w:hint="default"/>
        <w:sz w:val="20"/>
      </w:rPr>
    </w:lvl>
    <w:lvl w:ilvl="1" w:tplc="C5E8CD68" w:tentative="1">
      <w:start w:val="1"/>
      <w:numFmt w:val="bullet"/>
      <w:lvlText w:val="o"/>
      <w:lvlJc w:val="left"/>
      <w:pPr>
        <w:tabs>
          <w:tab w:val="num" w:pos="1440"/>
        </w:tabs>
        <w:ind w:left="1440" w:hanging="360"/>
      </w:pPr>
      <w:rPr>
        <w:rFonts w:ascii="Courier New" w:hAnsi="Courier New" w:hint="default"/>
        <w:sz w:val="20"/>
      </w:rPr>
    </w:lvl>
    <w:lvl w:ilvl="2" w:tplc="9C142F3A" w:tentative="1">
      <w:start w:val="1"/>
      <w:numFmt w:val="bullet"/>
      <w:lvlText w:val=""/>
      <w:lvlJc w:val="left"/>
      <w:pPr>
        <w:tabs>
          <w:tab w:val="num" w:pos="2160"/>
        </w:tabs>
        <w:ind w:left="2160" w:hanging="360"/>
      </w:pPr>
      <w:rPr>
        <w:rFonts w:ascii="Wingdings" w:hAnsi="Wingdings" w:hint="default"/>
        <w:sz w:val="20"/>
      </w:rPr>
    </w:lvl>
    <w:lvl w:ilvl="3" w:tplc="1910BC50" w:tentative="1">
      <w:start w:val="1"/>
      <w:numFmt w:val="bullet"/>
      <w:lvlText w:val=""/>
      <w:lvlJc w:val="left"/>
      <w:pPr>
        <w:tabs>
          <w:tab w:val="num" w:pos="2880"/>
        </w:tabs>
        <w:ind w:left="2880" w:hanging="360"/>
      </w:pPr>
      <w:rPr>
        <w:rFonts w:ascii="Wingdings" w:hAnsi="Wingdings" w:hint="default"/>
        <w:sz w:val="20"/>
      </w:rPr>
    </w:lvl>
    <w:lvl w:ilvl="4" w:tplc="C3E48B84" w:tentative="1">
      <w:start w:val="1"/>
      <w:numFmt w:val="bullet"/>
      <w:lvlText w:val=""/>
      <w:lvlJc w:val="left"/>
      <w:pPr>
        <w:tabs>
          <w:tab w:val="num" w:pos="3600"/>
        </w:tabs>
        <w:ind w:left="3600" w:hanging="360"/>
      </w:pPr>
      <w:rPr>
        <w:rFonts w:ascii="Wingdings" w:hAnsi="Wingdings" w:hint="default"/>
        <w:sz w:val="20"/>
      </w:rPr>
    </w:lvl>
    <w:lvl w:ilvl="5" w:tplc="CBD08D62" w:tentative="1">
      <w:start w:val="1"/>
      <w:numFmt w:val="bullet"/>
      <w:lvlText w:val=""/>
      <w:lvlJc w:val="left"/>
      <w:pPr>
        <w:tabs>
          <w:tab w:val="num" w:pos="4320"/>
        </w:tabs>
        <w:ind w:left="4320" w:hanging="360"/>
      </w:pPr>
      <w:rPr>
        <w:rFonts w:ascii="Wingdings" w:hAnsi="Wingdings" w:hint="default"/>
        <w:sz w:val="20"/>
      </w:rPr>
    </w:lvl>
    <w:lvl w:ilvl="6" w:tplc="6DFA7626" w:tentative="1">
      <w:start w:val="1"/>
      <w:numFmt w:val="bullet"/>
      <w:lvlText w:val=""/>
      <w:lvlJc w:val="left"/>
      <w:pPr>
        <w:tabs>
          <w:tab w:val="num" w:pos="5040"/>
        </w:tabs>
        <w:ind w:left="5040" w:hanging="360"/>
      </w:pPr>
      <w:rPr>
        <w:rFonts w:ascii="Wingdings" w:hAnsi="Wingdings" w:hint="default"/>
        <w:sz w:val="20"/>
      </w:rPr>
    </w:lvl>
    <w:lvl w:ilvl="7" w:tplc="24261C6A" w:tentative="1">
      <w:start w:val="1"/>
      <w:numFmt w:val="bullet"/>
      <w:lvlText w:val=""/>
      <w:lvlJc w:val="left"/>
      <w:pPr>
        <w:tabs>
          <w:tab w:val="num" w:pos="5760"/>
        </w:tabs>
        <w:ind w:left="5760" w:hanging="360"/>
      </w:pPr>
      <w:rPr>
        <w:rFonts w:ascii="Wingdings" w:hAnsi="Wingdings" w:hint="default"/>
        <w:sz w:val="20"/>
      </w:rPr>
    </w:lvl>
    <w:lvl w:ilvl="8" w:tplc="5D8C1B5C" w:tentative="1">
      <w:start w:val="1"/>
      <w:numFmt w:val="bullet"/>
      <w:lvlText w:val=""/>
      <w:lvlJc w:val="left"/>
      <w:pPr>
        <w:tabs>
          <w:tab w:val="num" w:pos="6480"/>
        </w:tabs>
        <w:ind w:left="6480" w:hanging="360"/>
      </w:pPr>
      <w:rPr>
        <w:rFonts w:ascii="Wingdings" w:hAnsi="Wingdings" w:hint="default"/>
        <w:sz w:val="20"/>
      </w:rPr>
    </w:lvl>
  </w:abstractNum>
  <w:abstractNum w:abstractNumId="21">
    <w:nsid w:val="4AF97A4D"/>
    <w:multiLevelType w:val="hybridMultilevel"/>
    <w:tmpl w:val="4580A804"/>
    <w:lvl w:ilvl="0" w:tplc="3C4232C4">
      <w:start w:val="1"/>
      <w:numFmt w:val="bullet"/>
      <w:lvlText w:val=""/>
      <w:lvlJc w:val="left"/>
      <w:pPr>
        <w:tabs>
          <w:tab w:val="num" w:pos="720"/>
        </w:tabs>
        <w:ind w:left="720" w:hanging="360"/>
      </w:pPr>
      <w:rPr>
        <w:rFonts w:ascii="Symbol" w:hAnsi="Symbol" w:hint="default"/>
        <w:sz w:val="20"/>
      </w:rPr>
    </w:lvl>
    <w:lvl w:ilvl="1" w:tplc="06E285E8" w:tentative="1">
      <w:start w:val="1"/>
      <w:numFmt w:val="bullet"/>
      <w:lvlText w:val="o"/>
      <w:lvlJc w:val="left"/>
      <w:pPr>
        <w:tabs>
          <w:tab w:val="num" w:pos="1440"/>
        </w:tabs>
        <w:ind w:left="1440" w:hanging="360"/>
      </w:pPr>
      <w:rPr>
        <w:rFonts w:ascii="Courier New" w:hAnsi="Courier New" w:hint="default"/>
        <w:sz w:val="20"/>
      </w:rPr>
    </w:lvl>
    <w:lvl w:ilvl="2" w:tplc="B674EE26" w:tentative="1">
      <w:start w:val="1"/>
      <w:numFmt w:val="bullet"/>
      <w:lvlText w:val=""/>
      <w:lvlJc w:val="left"/>
      <w:pPr>
        <w:tabs>
          <w:tab w:val="num" w:pos="2160"/>
        </w:tabs>
        <w:ind w:left="2160" w:hanging="360"/>
      </w:pPr>
      <w:rPr>
        <w:rFonts w:ascii="Wingdings" w:hAnsi="Wingdings" w:hint="default"/>
        <w:sz w:val="20"/>
      </w:rPr>
    </w:lvl>
    <w:lvl w:ilvl="3" w:tplc="BB10DB0E" w:tentative="1">
      <w:start w:val="1"/>
      <w:numFmt w:val="bullet"/>
      <w:lvlText w:val=""/>
      <w:lvlJc w:val="left"/>
      <w:pPr>
        <w:tabs>
          <w:tab w:val="num" w:pos="2880"/>
        </w:tabs>
        <w:ind w:left="2880" w:hanging="360"/>
      </w:pPr>
      <w:rPr>
        <w:rFonts w:ascii="Wingdings" w:hAnsi="Wingdings" w:hint="default"/>
        <w:sz w:val="20"/>
      </w:rPr>
    </w:lvl>
    <w:lvl w:ilvl="4" w:tplc="4AE2157C" w:tentative="1">
      <w:start w:val="1"/>
      <w:numFmt w:val="bullet"/>
      <w:lvlText w:val=""/>
      <w:lvlJc w:val="left"/>
      <w:pPr>
        <w:tabs>
          <w:tab w:val="num" w:pos="3600"/>
        </w:tabs>
        <w:ind w:left="3600" w:hanging="360"/>
      </w:pPr>
      <w:rPr>
        <w:rFonts w:ascii="Wingdings" w:hAnsi="Wingdings" w:hint="default"/>
        <w:sz w:val="20"/>
      </w:rPr>
    </w:lvl>
    <w:lvl w:ilvl="5" w:tplc="803C15C4" w:tentative="1">
      <w:start w:val="1"/>
      <w:numFmt w:val="bullet"/>
      <w:lvlText w:val=""/>
      <w:lvlJc w:val="left"/>
      <w:pPr>
        <w:tabs>
          <w:tab w:val="num" w:pos="4320"/>
        </w:tabs>
        <w:ind w:left="4320" w:hanging="360"/>
      </w:pPr>
      <w:rPr>
        <w:rFonts w:ascii="Wingdings" w:hAnsi="Wingdings" w:hint="default"/>
        <w:sz w:val="20"/>
      </w:rPr>
    </w:lvl>
    <w:lvl w:ilvl="6" w:tplc="5CD6FCEC" w:tentative="1">
      <w:start w:val="1"/>
      <w:numFmt w:val="bullet"/>
      <w:lvlText w:val=""/>
      <w:lvlJc w:val="left"/>
      <w:pPr>
        <w:tabs>
          <w:tab w:val="num" w:pos="5040"/>
        </w:tabs>
        <w:ind w:left="5040" w:hanging="360"/>
      </w:pPr>
      <w:rPr>
        <w:rFonts w:ascii="Wingdings" w:hAnsi="Wingdings" w:hint="default"/>
        <w:sz w:val="20"/>
      </w:rPr>
    </w:lvl>
    <w:lvl w:ilvl="7" w:tplc="A4EECD70" w:tentative="1">
      <w:start w:val="1"/>
      <w:numFmt w:val="bullet"/>
      <w:lvlText w:val=""/>
      <w:lvlJc w:val="left"/>
      <w:pPr>
        <w:tabs>
          <w:tab w:val="num" w:pos="5760"/>
        </w:tabs>
        <w:ind w:left="5760" w:hanging="360"/>
      </w:pPr>
      <w:rPr>
        <w:rFonts w:ascii="Wingdings" w:hAnsi="Wingdings" w:hint="default"/>
        <w:sz w:val="20"/>
      </w:rPr>
    </w:lvl>
    <w:lvl w:ilvl="8" w:tplc="F8E2B53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B57026F"/>
    <w:multiLevelType w:val="hybridMultilevel"/>
    <w:tmpl w:val="0CDA55BC"/>
    <w:lvl w:ilvl="0" w:tplc="8A988D9C">
      <w:start w:val="1"/>
      <w:numFmt w:val="bullet"/>
      <w:lvlText w:val=""/>
      <w:lvlJc w:val="left"/>
      <w:pPr>
        <w:tabs>
          <w:tab w:val="num" w:pos="720"/>
        </w:tabs>
        <w:ind w:left="720" w:hanging="360"/>
      </w:pPr>
      <w:rPr>
        <w:rFonts w:ascii="Symbol" w:hAnsi="Symbol" w:hint="default"/>
        <w:sz w:val="20"/>
      </w:rPr>
    </w:lvl>
    <w:lvl w:ilvl="1" w:tplc="31C0F688" w:tentative="1">
      <w:start w:val="1"/>
      <w:numFmt w:val="bullet"/>
      <w:lvlText w:val="o"/>
      <w:lvlJc w:val="left"/>
      <w:pPr>
        <w:tabs>
          <w:tab w:val="num" w:pos="1440"/>
        </w:tabs>
        <w:ind w:left="1440" w:hanging="360"/>
      </w:pPr>
      <w:rPr>
        <w:rFonts w:ascii="Courier New" w:hAnsi="Courier New" w:hint="default"/>
        <w:sz w:val="20"/>
      </w:rPr>
    </w:lvl>
    <w:lvl w:ilvl="2" w:tplc="7BFCDDD0" w:tentative="1">
      <w:start w:val="1"/>
      <w:numFmt w:val="bullet"/>
      <w:lvlText w:val=""/>
      <w:lvlJc w:val="left"/>
      <w:pPr>
        <w:tabs>
          <w:tab w:val="num" w:pos="2160"/>
        </w:tabs>
        <w:ind w:left="2160" w:hanging="360"/>
      </w:pPr>
      <w:rPr>
        <w:rFonts w:ascii="Wingdings" w:hAnsi="Wingdings" w:hint="default"/>
        <w:sz w:val="20"/>
      </w:rPr>
    </w:lvl>
    <w:lvl w:ilvl="3" w:tplc="1C9834F8" w:tentative="1">
      <w:start w:val="1"/>
      <w:numFmt w:val="bullet"/>
      <w:lvlText w:val=""/>
      <w:lvlJc w:val="left"/>
      <w:pPr>
        <w:tabs>
          <w:tab w:val="num" w:pos="2880"/>
        </w:tabs>
        <w:ind w:left="2880" w:hanging="360"/>
      </w:pPr>
      <w:rPr>
        <w:rFonts w:ascii="Wingdings" w:hAnsi="Wingdings" w:hint="default"/>
        <w:sz w:val="20"/>
      </w:rPr>
    </w:lvl>
    <w:lvl w:ilvl="4" w:tplc="5A304C1A" w:tentative="1">
      <w:start w:val="1"/>
      <w:numFmt w:val="bullet"/>
      <w:lvlText w:val=""/>
      <w:lvlJc w:val="left"/>
      <w:pPr>
        <w:tabs>
          <w:tab w:val="num" w:pos="3600"/>
        </w:tabs>
        <w:ind w:left="3600" w:hanging="360"/>
      </w:pPr>
      <w:rPr>
        <w:rFonts w:ascii="Wingdings" w:hAnsi="Wingdings" w:hint="default"/>
        <w:sz w:val="20"/>
      </w:rPr>
    </w:lvl>
    <w:lvl w:ilvl="5" w:tplc="D80A79B2" w:tentative="1">
      <w:start w:val="1"/>
      <w:numFmt w:val="bullet"/>
      <w:lvlText w:val=""/>
      <w:lvlJc w:val="left"/>
      <w:pPr>
        <w:tabs>
          <w:tab w:val="num" w:pos="4320"/>
        </w:tabs>
        <w:ind w:left="4320" w:hanging="360"/>
      </w:pPr>
      <w:rPr>
        <w:rFonts w:ascii="Wingdings" w:hAnsi="Wingdings" w:hint="default"/>
        <w:sz w:val="20"/>
      </w:rPr>
    </w:lvl>
    <w:lvl w:ilvl="6" w:tplc="1A162F12" w:tentative="1">
      <w:start w:val="1"/>
      <w:numFmt w:val="bullet"/>
      <w:lvlText w:val=""/>
      <w:lvlJc w:val="left"/>
      <w:pPr>
        <w:tabs>
          <w:tab w:val="num" w:pos="5040"/>
        </w:tabs>
        <w:ind w:left="5040" w:hanging="360"/>
      </w:pPr>
      <w:rPr>
        <w:rFonts w:ascii="Wingdings" w:hAnsi="Wingdings" w:hint="default"/>
        <w:sz w:val="20"/>
      </w:rPr>
    </w:lvl>
    <w:lvl w:ilvl="7" w:tplc="13920A7C" w:tentative="1">
      <w:start w:val="1"/>
      <w:numFmt w:val="bullet"/>
      <w:lvlText w:val=""/>
      <w:lvlJc w:val="left"/>
      <w:pPr>
        <w:tabs>
          <w:tab w:val="num" w:pos="5760"/>
        </w:tabs>
        <w:ind w:left="5760" w:hanging="360"/>
      </w:pPr>
      <w:rPr>
        <w:rFonts w:ascii="Wingdings" w:hAnsi="Wingdings" w:hint="default"/>
        <w:sz w:val="20"/>
      </w:rPr>
    </w:lvl>
    <w:lvl w:ilvl="8" w:tplc="88E0928C" w:tentative="1">
      <w:start w:val="1"/>
      <w:numFmt w:val="bullet"/>
      <w:lvlText w:val=""/>
      <w:lvlJc w:val="left"/>
      <w:pPr>
        <w:tabs>
          <w:tab w:val="num" w:pos="6480"/>
        </w:tabs>
        <w:ind w:left="6480" w:hanging="360"/>
      </w:pPr>
      <w:rPr>
        <w:rFonts w:ascii="Wingdings" w:hAnsi="Wingdings" w:hint="default"/>
        <w:sz w:val="20"/>
      </w:rPr>
    </w:lvl>
  </w:abstractNum>
  <w:abstractNum w:abstractNumId="23">
    <w:nsid w:val="4B7747DA"/>
    <w:multiLevelType w:val="hybridMultilevel"/>
    <w:tmpl w:val="7482229A"/>
    <w:lvl w:ilvl="0" w:tplc="DDA2127E">
      <w:start w:val="1"/>
      <w:numFmt w:val="bullet"/>
      <w:lvlText w:val=""/>
      <w:lvlJc w:val="left"/>
      <w:pPr>
        <w:tabs>
          <w:tab w:val="num" w:pos="720"/>
        </w:tabs>
        <w:ind w:left="720" w:hanging="360"/>
      </w:pPr>
      <w:rPr>
        <w:rFonts w:ascii="Symbol" w:hAnsi="Symbol" w:hint="default"/>
        <w:sz w:val="20"/>
      </w:rPr>
    </w:lvl>
    <w:lvl w:ilvl="1" w:tplc="D7EC0104" w:tentative="1">
      <w:start w:val="1"/>
      <w:numFmt w:val="bullet"/>
      <w:lvlText w:val="o"/>
      <w:lvlJc w:val="left"/>
      <w:pPr>
        <w:tabs>
          <w:tab w:val="num" w:pos="1440"/>
        </w:tabs>
        <w:ind w:left="1440" w:hanging="360"/>
      </w:pPr>
      <w:rPr>
        <w:rFonts w:ascii="Courier New" w:hAnsi="Courier New" w:hint="default"/>
        <w:sz w:val="20"/>
      </w:rPr>
    </w:lvl>
    <w:lvl w:ilvl="2" w:tplc="3294E2D4" w:tentative="1">
      <w:start w:val="1"/>
      <w:numFmt w:val="bullet"/>
      <w:lvlText w:val=""/>
      <w:lvlJc w:val="left"/>
      <w:pPr>
        <w:tabs>
          <w:tab w:val="num" w:pos="2160"/>
        </w:tabs>
        <w:ind w:left="2160" w:hanging="360"/>
      </w:pPr>
      <w:rPr>
        <w:rFonts w:ascii="Wingdings" w:hAnsi="Wingdings" w:hint="default"/>
        <w:sz w:val="20"/>
      </w:rPr>
    </w:lvl>
    <w:lvl w:ilvl="3" w:tplc="850EF1EE" w:tentative="1">
      <w:start w:val="1"/>
      <w:numFmt w:val="bullet"/>
      <w:lvlText w:val=""/>
      <w:lvlJc w:val="left"/>
      <w:pPr>
        <w:tabs>
          <w:tab w:val="num" w:pos="2880"/>
        </w:tabs>
        <w:ind w:left="2880" w:hanging="360"/>
      </w:pPr>
      <w:rPr>
        <w:rFonts w:ascii="Wingdings" w:hAnsi="Wingdings" w:hint="default"/>
        <w:sz w:val="20"/>
      </w:rPr>
    </w:lvl>
    <w:lvl w:ilvl="4" w:tplc="CF72F718" w:tentative="1">
      <w:start w:val="1"/>
      <w:numFmt w:val="bullet"/>
      <w:lvlText w:val=""/>
      <w:lvlJc w:val="left"/>
      <w:pPr>
        <w:tabs>
          <w:tab w:val="num" w:pos="3600"/>
        </w:tabs>
        <w:ind w:left="3600" w:hanging="360"/>
      </w:pPr>
      <w:rPr>
        <w:rFonts w:ascii="Wingdings" w:hAnsi="Wingdings" w:hint="default"/>
        <w:sz w:val="20"/>
      </w:rPr>
    </w:lvl>
    <w:lvl w:ilvl="5" w:tplc="12604B94" w:tentative="1">
      <w:start w:val="1"/>
      <w:numFmt w:val="bullet"/>
      <w:lvlText w:val=""/>
      <w:lvlJc w:val="left"/>
      <w:pPr>
        <w:tabs>
          <w:tab w:val="num" w:pos="4320"/>
        </w:tabs>
        <w:ind w:left="4320" w:hanging="360"/>
      </w:pPr>
      <w:rPr>
        <w:rFonts w:ascii="Wingdings" w:hAnsi="Wingdings" w:hint="default"/>
        <w:sz w:val="20"/>
      </w:rPr>
    </w:lvl>
    <w:lvl w:ilvl="6" w:tplc="D4F41692" w:tentative="1">
      <w:start w:val="1"/>
      <w:numFmt w:val="bullet"/>
      <w:lvlText w:val=""/>
      <w:lvlJc w:val="left"/>
      <w:pPr>
        <w:tabs>
          <w:tab w:val="num" w:pos="5040"/>
        </w:tabs>
        <w:ind w:left="5040" w:hanging="360"/>
      </w:pPr>
      <w:rPr>
        <w:rFonts w:ascii="Wingdings" w:hAnsi="Wingdings" w:hint="default"/>
        <w:sz w:val="20"/>
      </w:rPr>
    </w:lvl>
    <w:lvl w:ilvl="7" w:tplc="49001610" w:tentative="1">
      <w:start w:val="1"/>
      <w:numFmt w:val="bullet"/>
      <w:lvlText w:val=""/>
      <w:lvlJc w:val="left"/>
      <w:pPr>
        <w:tabs>
          <w:tab w:val="num" w:pos="5760"/>
        </w:tabs>
        <w:ind w:left="5760" w:hanging="360"/>
      </w:pPr>
      <w:rPr>
        <w:rFonts w:ascii="Wingdings" w:hAnsi="Wingdings" w:hint="default"/>
        <w:sz w:val="20"/>
      </w:rPr>
    </w:lvl>
    <w:lvl w:ilvl="8" w:tplc="AFC0F70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CC034DA"/>
    <w:multiLevelType w:val="hybridMultilevel"/>
    <w:tmpl w:val="8ED03A56"/>
    <w:lvl w:ilvl="0" w:tplc="5626564E">
      <w:start w:val="1"/>
      <w:numFmt w:val="bullet"/>
      <w:lvlText w:val=""/>
      <w:lvlJc w:val="left"/>
      <w:pPr>
        <w:tabs>
          <w:tab w:val="num" w:pos="720"/>
        </w:tabs>
        <w:ind w:left="720" w:hanging="360"/>
      </w:pPr>
      <w:rPr>
        <w:rFonts w:ascii="Symbol" w:hAnsi="Symbol" w:hint="default"/>
        <w:sz w:val="20"/>
      </w:rPr>
    </w:lvl>
    <w:lvl w:ilvl="1" w:tplc="4E4E632E" w:tentative="1">
      <w:start w:val="1"/>
      <w:numFmt w:val="bullet"/>
      <w:lvlText w:val="o"/>
      <w:lvlJc w:val="left"/>
      <w:pPr>
        <w:tabs>
          <w:tab w:val="num" w:pos="1440"/>
        </w:tabs>
        <w:ind w:left="1440" w:hanging="360"/>
      </w:pPr>
      <w:rPr>
        <w:rFonts w:ascii="Courier New" w:hAnsi="Courier New" w:hint="default"/>
        <w:sz w:val="20"/>
      </w:rPr>
    </w:lvl>
    <w:lvl w:ilvl="2" w:tplc="4254E808" w:tentative="1">
      <w:start w:val="1"/>
      <w:numFmt w:val="bullet"/>
      <w:lvlText w:val=""/>
      <w:lvlJc w:val="left"/>
      <w:pPr>
        <w:tabs>
          <w:tab w:val="num" w:pos="2160"/>
        </w:tabs>
        <w:ind w:left="2160" w:hanging="360"/>
      </w:pPr>
      <w:rPr>
        <w:rFonts w:ascii="Wingdings" w:hAnsi="Wingdings" w:hint="default"/>
        <w:sz w:val="20"/>
      </w:rPr>
    </w:lvl>
    <w:lvl w:ilvl="3" w:tplc="31E8EE36" w:tentative="1">
      <w:start w:val="1"/>
      <w:numFmt w:val="bullet"/>
      <w:lvlText w:val=""/>
      <w:lvlJc w:val="left"/>
      <w:pPr>
        <w:tabs>
          <w:tab w:val="num" w:pos="2880"/>
        </w:tabs>
        <w:ind w:left="2880" w:hanging="360"/>
      </w:pPr>
      <w:rPr>
        <w:rFonts w:ascii="Wingdings" w:hAnsi="Wingdings" w:hint="default"/>
        <w:sz w:val="20"/>
      </w:rPr>
    </w:lvl>
    <w:lvl w:ilvl="4" w:tplc="3A16A788" w:tentative="1">
      <w:start w:val="1"/>
      <w:numFmt w:val="bullet"/>
      <w:lvlText w:val=""/>
      <w:lvlJc w:val="left"/>
      <w:pPr>
        <w:tabs>
          <w:tab w:val="num" w:pos="3600"/>
        </w:tabs>
        <w:ind w:left="3600" w:hanging="360"/>
      </w:pPr>
      <w:rPr>
        <w:rFonts w:ascii="Wingdings" w:hAnsi="Wingdings" w:hint="default"/>
        <w:sz w:val="20"/>
      </w:rPr>
    </w:lvl>
    <w:lvl w:ilvl="5" w:tplc="7BBEAE98" w:tentative="1">
      <w:start w:val="1"/>
      <w:numFmt w:val="bullet"/>
      <w:lvlText w:val=""/>
      <w:lvlJc w:val="left"/>
      <w:pPr>
        <w:tabs>
          <w:tab w:val="num" w:pos="4320"/>
        </w:tabs>
        <w:ind w:left="4320" w:hanging="360"/>
      </w:pPr>
      <w:rPr>
        <w:rFonts w:ascii="Wingdings" w:hAnsi="Wingdings" w:hint="default"/>
        <w:sz w:val="20"/>
      </w:rPr>
    </w:lvl>
    <w:lvl w:ilvl="6" w:tplc="6F9C4A0A" w:tentative="1">
      <w:start w:val="1"/>
      <w:numFmt w:val="bullet"/>
      <w:lvlText w:val=""/>
      <w:lvlJc w:val="left"/>
      <w:pPr>
        <w:tabs>
          <w:tab w:val="num" w:pos="5040"/>
        </w:tabs>
        <w:ind w:left="5040" w:hanging="360"/>
      </w:pPr>
      <w:rPr>
        <w:rFonts w:ascii="Wingdings" w:hAnsi="Wingdings" w:hint="default"/>
        <w:sz w:val="20"/>
      </w:rPr>
    </w:lvl>
    <w:lvl w:ilvl="7" w:tplc="B002B438" w:tentative="1">
      <w:start w:val="1"/>
      <w:numFmt w:val="bullet"/>
      <w:lvlText w:val=""/>
      <w:lvlJc w:val="left"/>
      <w:pPr>
        <w:tabs>
          <w:tab w:val="num" w:pos="5760"/>
        </w:tabs>
        <w:ind w:left="5760" w:hanging="360"/>
      </w:pPr>
      <w:rPr>
        <w:rFonts w:ascii="Wingdings" w:hAnsi="Wingdings" w:hint="default"/>
        <w:sz w:val="20"/>
      </w:rPr>
    </w:lvl>
    <w:lvl w:ilvl="8" w:tplc="7924B83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05F11D1"/>
    <w:multiLevelType w:val="hybridMultilevel"/>
    <w:tmpl w:val="69404E38"/>
    <w:lvl w:ilvl="0" w:tplc="2E4A458C">
      <w:start w:val="1"/>
      <w:numFmt w:val="bullet"/>
      <w:lvlText w:val=""/>
      <w:lvlJc w:val="left"/>
      <w:pPr>
        <w:tabs>
          <w:tab w:val="num" w:pos="720"/>
        </w:tabs>
        <w:ind w:left="720" w:hanging="360"/>
      </w:pPr>
      <w:rPr>
        <w:rFonts w:ascii="Symbol" w:hAnsi="Symbol" w:hint="default"/>
        <w:sz w:val="20"/>
      </w:rPr>
    </w:lvl>
    <w:lvl w:ilvl="1" w:tplc="85F8FC34" w:tentative="1">
      <w:start w:val="1"/>
      <w:numFmt w:val="bullet"/>
      <w:lvlText w:val="o"/>
      <w:lvlJc w:val="left"/>
      <w:pPr>
        <w:tabs>
          <w:tab w:val="num" w:pos="1440"/>
        </w:tabs>
        <w:ind w:left="1440" w:hanging="360"/>
      </w:pPr>
      <w:rPr>
        <w:rFonts w:ascii="Courier New" w:hAnsi="Courier New" w:hint="default"/>
        <w:sz w:val="20"/>
      </w:rPr>
    </w:lvl>
    <w:lvl w:ilvl="2" w:tplc="0A84D09E" w:tentative="1">
      <w:start w:val="1"/>
      <w:numFmt w:val="bullet"/>
      <w:lvlText w:val=""/>
      <w:lvlJc w:val="left"/>
      <w:pPr>
        <w:tabs>
          <w:tab w:val="num" w:pos="2160"/>
        </w:tabs>
        <w:ind w:left="2160" w:hanging="360"/>
      </w:pPr>
      <w:rPr>
        <w:rFonts w:ascii="Wingdings" w:hAnsi="Wingdings" w:hint="default"/>
        <w:sz w:val="20"/>
      </w:rPr>
    </w:lvl>
    <w:lvl w:ilvl="3" w:tplc="CFDA873E" w:tentative="1">
      <w:start w:val="1"/>
      <w:numFmt w:val="bullet"/>
      <w:lvlText w:val=""/>
      <w:lvlJc w:val="left"/>
      <w:pPr>
        <w:tabs>
          <w:tab w:val="num" w:pos="2880"/>
        </w:tabs>
        <w:ind w:left="2880" w:hanging="360"/>
      </w:pPr>
      <w:rPr>
        <w:rFonts w:ascii="Wingdings" w:hAnsi="Wingdings" w:hint="default"/>
        <w:sz w:val="20"/>
      </w:rPr>
    </w:lvl>
    <w:lvl w:ilvl="4" w:tplc="F7E6BDA8" w:tentative="1">
      <w:start w:val="1"/>
      <w:numFmt w:val="bullet"/>
      <w:lvlText w:val=""/>
      <w:lvlJc w:val="left"/>
      <w:pPr>
        <w:tabs>
          <w:tab w:val="num" w:pos="3600"/>
        </w:tabs>
        <w:ind w:left="3600" w:hanging="360"/>
      </w:pPr>
      <w:rPr>
        <w:rFonts w:ascii="Wingdings" w:hAnsi="Wingdings" w:hint="default"/>
        <w:sz w:val="20"/>
      </w:rPr>
    </w:lvl>
    <w:lvl w:ilvl="5" w:tplc="6C8815E8" w:tentative="1">
      <w:start w:val="1"/>
      <w:numFmt w:val="bullet"/>
      <w:lvlText w:val=""/>
      <w:lvlJc w:val="left"/>
      <w:pPr>
        <w:tabs>
          <w:tab w:val="num" w:pos="4320"/>
        </w:tabs>
        <w:ind w:left="4320" w:hanging="360"/>
      </w:pPr>
      <w:rPr>
        <w:rFonts w:ascii="Wingdings" w:hAnsi="Wingdings" w:hint="default"/>
        <w:sz w:val="20"/>
      </w:rPr>
    </w:lvl>
    <w:lvl w:ilvl="6" w:tplc="D9BEEBBE" w:tentative="1">
      <w:start w:val="1"/>
      <w:numFmt w:val="bullet"/>
      <w:lvlText w:val=""/>
      <w:lvlJc w:val="left"/>
      <w:pPr>
        <w:tabs>
          <w:tab w:val="num" w:pos="5040"/>
        </w:tabs>
        <w:ind w:left="5040" w:hanging="360"/>
      </w:pPr>
      <w:rPr>
        <w:rFonts w:ascii="Wingdings" w:hAnsi="Wingdings" w:hint="default"/>
        <w:sz w:val="20"/>
      </w:rPr>
    </w:lvl>
    <w:lvl w:ilvl="7" w:tplc="9EE68ED6" w:tentative="1">
      <w:start w:val="1"/>
      <w:numFmt w:val="bullet"/>
      <w:lvlText w:val=""/>
      <w:lvlJc w:val="left"/>
      <w:pPr>
        <w:tabs>
          <w:tab w:val="num" w:pos="5760"/>
        </w:tabs>
        <w:ind w:left="5760" w:hanging="360"/>
      </w:pPr>
      <w:rPr>
        <w:rFonts w:ascii="Wingdings" w:hAnsi="Wingdings" w:hint="default"/>
        <w:sz w:val="20"/>
      </w:rPr>
    </w:lvl>
    <w:lvl w:ilvl="8" w:tplc="4B00B94E" w:tentative="1">
      <w:start w:val="1"/>
      <w:numFmt w:val="bullet"/>
      <w:lvlText w:val=""/>
      <w:lvlJc w:val="left"/>
      <w:pPr>
        <w:tabs>
          <w:tab w:val="num" w:pos="6480"/>
        </w:tabs>
        <w:ind w:left="6480" w:hanging="360"/>
      </w:pPr>
      <w:rPr>
        <w:rFonts w:ascii="Wingdings" w:hAnsi="Wingdings" w:hint="default"/>
        <w:sz w:val="20"/>
      </w:rPr>
    </w:lvl>
  </w:abstractNum>
  <w:abstractNum w:abstractNumId="26">
    <w:nsid w:val="54A46151"/>
    <w:multiLevelType w:val="hybridMultilevel"/>
    <w:tmpl w:val="4DE25E9E"/>
    <w:lvl w:ilvl="0" w:tplc="4388382A">
      <w:start w:val="1"/>
      <w:numFmt w:val="decimal"/>
      <w:lvlText w:val="%1."/>
      <w:lvlJc w:val="left"/>
      <w:pPr>
        <w:tabs>
          <w:tab w:val="num" w:pos="720"/>
        </w:tabs>
        <w:ind w:left="720" w:hanging="360"/>
      </w:pPr>
    </w:lvl>
    <w:lvl w:ilvl="1" w:tplc="30A2370A" w:tentative="1">
      <w:start w:val="1"/>
      <w:numFmt w:val="decimal"/>
      <w:lvlText w:val="%2."/>
      <w:lvlJc w:val="left"/>
      <w:pPr>
        <w:tabs>
          <w:tab w:val="num" w:pos="1440"/>
        </w:tabs>
        <w:ind w:left="1440" w:hanging="360"/>
      </w:pPr>
    </w:lvl>
    <w:lvl w:ilvl="2" w:tplc="D55EF438" w:tentative="1">
      <w:start w:val="1"/>
      <w:numFmt w:val="decimal"/>
      <w:lvlText w:val="%3."/>
      <w:lvlJc w:val="left"/>
      <w:pPr>
        <w:tabs>
          <w:tab w:val="num" w:pos="2160"/>
        </w:tabs>
        <w:ind w:left="2160" w:hanging="360"/>
      </w:pPr>
    </w:lvl>
    <w:lvl w:ilvl="3" w:tplc="9A729208" w:tentative="1">
      <w:start w:val="1"/>
      <w:numFmt w:val="decimal"/>
      <w:lvlText w:val="%4."/>
      <w:lvlJc w:val="left"/>
      <w:pPr>
        <w:tabs>
          <w:tab w:val="num" w:pos="2880"/>
        </w:tabs>
        <w:ind w:left="2880" w:hanging="360"/>
      </w:pPr>
    </w:lvl>
    <w:lvl w:ilvl="4" w:tplc="E754120C" w:tentative="1">
      <w:start w:val="1"/>
      <w:numFmt w:val="decimal"/>
      <w:lvlText w:val="%5."/>
      <w:lvlJc w:val="left"/>
      <w:pPr>
        <w:tabs>
          <w:tab w:val="num" w:pos="3600"/>
        </w:tabs>
        <w:ind w:left="3600" w:hanging="360"/>
      </w:pPr>
    </w:lvl>
    <w:lvl w:ilvl="5" w:tplc="CE60E0DC" w:tentative="1">
      <w:start w:val="1"/>
      <w:numFmt w:val="decimal"/>
      <w:lvlText w:val="%6."/>
      <w:lvlJc w:val="left"/>
      <w:pPr>
        <w:tabs>
          <w:tab w:val="num" w:pos="4320"/>
        </w:tabs>
        <w:ind w:left="4320" w:hanging="360"/>
      </w:pPr>
    </w:lvl>
    <w:lvl w:ilvl="6" w:tplc="E0C0E568" w:tentative="1">
      <w:start w:val="1"/>
      <w:numFmt w:val="decimal"/>
      <w:lvlText w:val="%7."/>
      <w:lvlJc w:val="left"/>
      <w:pPr>
        <w:tabs>
          <w:tab w:val="num" w:pos="5040"/>
        </w:tabs>
        <w:ind w:left="5040" w:hanging="360"/>
      </w:pPr>
    </w:lvl>
    <w:lvl w:ilvl="7" w:tplc="46187F4E" w:tentative="1">
      <w:start w:val="1"/>
      <w:numFmt w:val="decimal"/>
      <w:lvlText w:val="%8."/>
      <w:lvlJc w:val="left"/>
      <w:pPr>
        <w:tabs>
          <w:tab w:val="num" w:pos="5760"/>
        </w:tabs>
        <w:ind w:left="5760" w:hanging="360"/>
      </w:pPr>
    </w:lvl>
    <w:lvl w:ilvl="8" w:tplc="47FE369E" w:tentative="1">
      <w:start w:val="1"/>
      <w:numFmt w:val="decimal"/>
      <w:lvlText w:val="%9."/>
      <w:lvlJc w:val="left"/>
      <w:pPr>
        <w:tabs>
          <w:tab w:val="num" w:pos="6480"/>
        </w:tabs>
        <w:ind w:left="6480" w:hanging="360"/>
      </w:pPr>
    </w:lvl>
  </w:abstractNum>
  <w:abstractNum w:abstractNumId="27">
    <w:nsid w:val="59154D6D"/>
    <w:multiLevelType w:val="hybridMultilevel"/>
    <w:tmpl w:val="47481DB0"/>
    <w:lvl w:ilvl="0" w:tplc="6C4AF442">
      <w:start w:val="1"/>
      <w:numFmt w:val="bullet"/>
      <w:lvlText w:val=""/>
      <w:lvlJc w:val="left"/>
      <w:pPr>
        <w:tabs>
          <w:tab w:val="num" w:pos="720"/>
        </w:tabs>
        <w:ind w:left="720" w:hanging="360"/>
      </w:pPr>
      <w:rPr>
        <w:rFonts w:ascii="Symbol" w:hAnsi="Symbol" w:hint="default"/>
        <w:sz w:val="20"/>
      </w:rPr>
    </w:lvl>
    <w:lvl w:ilvl="1" w:tplc="3F3062D6" w:tentative="1">
      <w:start w:val="1"/>
      <w:numFmt w:val="bullet"/>
      <w:lvlText w:val="o"/>
      <w:lvlJc w:val="left"/>
      <w:pPr>
        <w:tabs>
          <w:tab w:val="num" w:pos="1440"/>
        </w:tabs>
        <w:ind w:left="1440" w:hanging="360"/>
      </w:pPr>
      <w:rPr>
        <w:rFonts w:ascii="Courier New" w:hAnsi="Courier New" w:hint="default"/>
        <w:sz w:val="20"/>
      </w:rPr>
    </w:lvl>
    <w:lvl w:ilvl="2" w:tplc="398056A0" w:tentative="1">
      <w:start w:val="1"/>
      <w:numFmt w:val="bullet"/>
      <w:lvlText w:val=""/>
      <w:lvlJc w:val="left"/>
      <w:pPr>
        <w:tabs>
          <w:tab w:val="num" w:pos="2160"/>
        </w:tabs>
        <w:ind w:left="2160" w:hanging="360"/>
      </w:pPr>
      <w:rPr>
        <w:rFonts w:ascii="Wingdings" w:hAnsi="Wingdings" w:hint="default"/>
        <w:sz w:val="20"/>
      </w:rPr>
    </w:lvl>
    <w:lvl w:ilvl="3" w:tplc="CA18A77A" w:tentative="1">
      <w:start w:val="1"/>
      <w:numFmt w:val="bullet"/>
      <w:lvlText w:val=""/>
      <w:lvlJc w:val="left"/>
      <w:pPr>
        <w:tabs>
          <w:tab w:val="num" w:pos="2880"/>
        </w:tabs>
        <w:ind w:left="2880" w:hanging="360"/>
      </w:pPr>
      <w:rPr>
        <w:rFonts w:ascii="Wingdings" w:hAnsi="Wingdings" w:hint="default"/>
        <w:sz w:val="20"/>
      </w:rPr>
    </w:lvl>
    <w:lvl w:ilvl="4" w:tplc="903021BA" w:tentative="1">
      <w:start w:val="1"/>
      <w:numFmt w:val="bullet"/>
      <w:lvlText w:val=""/>
      <w:lvlJc w:val="left"/>
      <w:pPr>
        <w:tabs>
          <w:tab w:val="num" w:pos="3600"/>
        </w:tabs>
        <w:ind w:left="3600" w:hanging="360"/>
      </w:pPr>
      <w:rPr>
        <w:rFonts w:ascii="Wingdings" w:hAnsi="Wingdings" w:hint="default"/>
        <w:sz w:val="20"/>
      </w:rPr>
    </w:lvl>
    <w:lvl w:ilvl="5" w:tplc="41363E26" w:tentative="1">
      <w:start w:val="1"/>
      <w:numFmt w:val="bullet"/>
      <w:lvlText w:val=""/>
      <w:lvlJc w:val="left"/>
      <w:pPr>
        <w:tabs>
          <w:tab w:val="num" w:pos="4320"/>
        </w:tabs>
        <w:ind w:left="4320" w:hanging="360"/>
      </w:pPr>
      <w:rPr>
        <w:rFonts w:ascii="Wingdings" w:hAnsi="Wingdings" w:hint="default"/>
        <w:sz w:val="20"/>
      </w:rPr>
    </w:lvl>
    <w:lvl w:ilvl="6" w:tplc="AFA4BB0A" w:tentative="1">
      <w:start w:val="1"/>
      <w:numFmt w:val="bullet"/>
      <w:lvlText w:val=""/>
      <w:lvlJc w:val="left"/>
      <w:pPr>
        <w:tabs>
          <w:tab w:val="num" w:pos="5040"/>
        </w:tabs>
        <w:ind w:left="5040" w:hanging="360"/>
      </w:pPr>
      <w:rPr>
        <w:rFonts w:ascii="Wingdings" w:hAnsi="Wingdings" w:hint="default"/>
        <w:sz w:val="20"/>
      </w:rPr>
    </w:lvl>
    <w:lvl w:ilvl="7" w:tplc="1EC03224" w:tentative="1">
      <w:start w:val="1"/>
      <w:numFmt w:val="bullet"/>
      <w:lvlText w:val=""/>
      <w:lvlJc w:val="left"/>
      <w:pPr>
        <w:tabs>
          <w:tab w:val="num" w:pos="5760"/>
        </w:tabs>
        <w:ind w:left="5760" w:hanging="360"/>
      </w:pPr>
      <w:rPr>
        <w:rFonts w:ascii="Wingdings" w:hAnsi="Wingdings" w:hint="default"/>
        <w:sz w:val="20"/>
      </w:rPr>
    </w:lvl>
    <w:lvl w:ilvl="8" w:tplc="F232EE86" w:tentative="1">
      <w:start w:val="1"/>
      <w:numFmt w:val="bullet"/>
      <w:lvlText w:val=""/>
      <w:lvlJc w:val="left"/>
      <w:pPr>
        <w:tabs>
          <w:tab w:val="num" w:pos="6480"/>
        </w:tabs>
        <w:ind w:left="6480" w:hanging="360"/>
      </w:pPr>
      <w:rPr>
        <w:rFonts w:ascii="Wingdings" w:hAnsi="Wingdings" w:hint="default"/>
        <w:sz w:val="20"/>
      </w:rPr>
    </w:lvl>
  </w:abstractNum>
  <w:abstractNum w:abstractNumId="28">
    <w:nsid w:val="61902877"/>
    <w:multiLevelType w:val="hybridMultilevel"/>
    <w:tmpl w:val="11068068"/>
    <w:lvl w:ilvl="0" w:tplc="BDF86336">
      <w:start w:val="1"/>
      <w:numFmt w:val="bullet"/>
      <w:lvlText w:val=""/>
      <w:lvlJc w:val="left"/>
      <w:pPr>
        <w:tabs>
          <w:tab w:val="num" w:pos="720"/>
        </w:tabs>
        <w:ind w:left="720" w:hanging="360"/>
      </w:pPr>
      <w:rPr>
        <w:rFonts w:ascii="Symbol" w:hAnsi="Symbol" w:hint="default"/>
        <w:sz w:val="20"/>
      </w:rPr>
    </w:lvl>
    <w:lvl w:ilvl="1" w:tplc="A4DC1132" w:tentative="1">
      <w:start w:val="1"/>
      <w:numFmt w:val="bullet"/>
      <w:lvlText w:val="o"/>
      <w:lvlJc w:val="left"/>
      <w:pPr>
        <w:tabs>
          <w:tab w:val="num" w:pos="1440"/>
        </w:tabs>
        <w:ind w:left="1440" w:hanging="360"/>
      </w:pPr>
      <w:rPr>
        <w:rFonts w:ascii="Courier New" w:hAnsi="Courier New" w:hint="default"/>
        <w:sz w:val="20"/>
      </w:rPr>
    </w:lvl>
    <w:lvl w:ilvl="2" w:tplc="2320C3D4" w:tentative="1">
      <w:start w:val="1"/>
      <w:numFmt w:val="bullet"/>
      <w:lvlText w:val=""/>
      <w:lvlJc w:val="left"/>
      <w:pPr>
        <w:tabs>
          <w:tab w:val="num" w:pos="2160"/>
        </w:tabs>
        <w:ind w:left="2160" w:hanging="360"/>
      </w:pPr>
      <w:rPr>
        <w:rFonts w:ascii="Wingdings" w:hAnsi="Wingdings" w:hint="default"/>
        <w:sz w:val="20"/>
      </w:rPr>
    </w:lvl>
    <w:lvl w:ilvl="3" w:tplc="265053F8" w:tentative="1">
      <w:start w:val="1"/>
      <w:numFmt w:val="bullet"/>
      <w:lvlText w:val=""/>
      <w:lvlJc w:val="left"/>
      <w:pPr>
        <w:tabs>
          <w:tab w:val="num" w:pos="2880"/>
        </w:tabs>
        <w:ind w:left="2880" w:hanging="360"/>
      </w:pPr>
      <w:rPr>
        <w:rFonts w:ascii="Wingdings" w:hAnsi="Wingdings" w:hint="default"/>
        <w:sz w:val="20"/>
      </w:rPr>
    </w:lvl>
    <w:lvl w:ilvl="4" w:tplc="ECBA31E8" w:tentative="1">
      <w:start w:val="1"/>
      <w:numFmt w:val="bullet"/>
      <w:lvlText w:val=""/>
      <w:lvlJc w:val="left"/>
      <w:pPr>
        <w:tabs>
          <w:tab w:val="num" w:pos="3600"/>
        </w:tabs>
        <w:ind w:left="3600" w:hanging="360"/>
      </w:pPr>
      <w:rPr>
        <w:rFonts w:ascii="Wingdings" w:hAnsi="Wingdings" w:hint="default"/>
        <w:sz w:val="20"/>
      </w:rPr>
    </w:lvl>
    <w:lvl w:ilvl="5" w:tplc="03D20DC0" w:tentative="1">
      <w:start w:val="1"/>
      <w:numFmt w:val="bullet"/>
      <w:lvlText w:val=""/>
      <w:lvlJc w:val="left"/>
      <w:pPr>
        <w:tabs>
          <w:tab w:val="num" w:pos="4320"/>
        </w:tabs>
        <w:ind w:left="4320" w:hanging="360"/>
      </w:pPr>
      <w:rPr>
        <w:rFonts w:ascii="Wingdings" w:hAnsi="Wingdings" w:hint="default"/>
        <w:sz w:val="20"/>
      </w:rPr>
    </w:lvl>
    <w:lvl w:ilvl="6" w:tplc="E96A4E5A" w:tentative="1">
      <w:start w:val="1"/>
      <w:numFmt w:val="bullet"/>
      <w:lvlText w:val=""/>
      <w:lvlJc w:val="left"/>
      <w:pPr>
        <w:tabs>
          <w:tab w:val="num" w:pos="5040"/>
        </w:tabs>
        <w:ind w:left="5040" w:hanging="360"/>
      </w:pPr>
      <w:rPr>
        <w:rFonts w:ascii="Wingdings" w:hAnsi="Wingdings" w:hint="default"/>
        <w:sz w:val="20"/>
      </w:rPr>
    </w:lvl>
    <w:lvl w:ilvl="7" w:tplc="3E826000" w:tentative="1">
      <w:start w:val="1"/>
      <w:numFmt w:val="bullet"/>
      <w:lvlText w:val=""/>
      <w:lvlJc w:val="left"/>
      <w:pPr>
        <w:tabs>
          <w:tab w:val="num" w:pos="5760"/>
        </w:tabs>
        <w:ind w:left="5760" w:hanging="360"/>
      </w:pPr>
      <w:rPr>
        <w:rFonts w:ascii="Wingdings" w:hAnsi="Wingdings" w:hint="default"/>
        <w:sz w:val="20"/>
      </w:rPr>
    </w:lvl>
    <w:lvl w:ilvl="8" w:tplc="3AEE35E6" w:tentative="1">
      <w:start w:val="1"/>
      <w:numFmt w:val="bullet"/>
      <w:lvlText w:val=""/>
      <w:lvlJc w:val="left"/>
      <w:pPr>
        <w:tabs>
          <w:tab w:val="num" w:pos="6480"/>
        </w:tabs>
        <w:ind w:left="6480" w:hanging="360"/>
      </w:pPr>
      <w:rPr>
        <w:rFonts w:ascii="Wingdings" w:hAnsi="Wingdings" w:hint="default"/>
        <w:sz w:val="20"/>
      </w:rPr>
    </w:lvl>
  </w:abstractNum>
  <w:abstractNum w:abstractNumId="29">
    <w:nsid w:val="69C324B6"/>
    <w:multiLevelType w:val="hybridMultilevel"/>
    <w:tmpl w:val="018EE446"/>
    <w:lvl w:ilvl="0" w:tplc="035C18E8">
      <w:start w:val="1"/>
      <w:numFmt w:val="bullet"/>
      <w:lvlText w:val=""/>
      <w:lvlJc w:val="left"/>
      <w:pPr>
        <w:tabs>
          <w:tab w:val="num" w:pos="720"/>
        </w:tabs>
        <w:ind w:left="720" w:hanging="360"/>
      </w:pPr>
      <w:rPr>
        <w:rFonts w:ascii="Symbol" w:hAnsi="Symbol" w:hint="default"/>
        <w:sz w:val="20"/>
      </w:rPr>
    </w:lvl>
    <w:lvl w:ilvl="1" w:tplc="C1FEC9A4" w:tentative="1">
      <w:start w:val="1"/>
      <w:numFmt w:val="bullet"/>
      <w:lvlText w:val="o"/>
      <w:lvlJc w:val="left"/>
      <w:pPr>
        <w:tabs>
          <w:tab w:val="num" w:pos="1440"/>
        </w:tabs>
        <w:ind w:left="1440" w:hanging="360"/>
      </w:pPr>
      <w:rPr>
        <w:rFonts w:ascii="Courier New" w:hAnsi="Courier New" w:hint="default"/>
        <w:sz w:val="20"/>
      </w:rPr>
    </w:lvl>
    <w:lvl w:ilvl="2" w:tplc="1A847B14" w:tentative="1">
      <w:start w:val="1"/>
      <w:numFmt w:val="bullet"/>
      <w:lvlText w:val=""/>
      <w:lvlJc w:val="left"/>
      <w:pPr>
        <w:tabs>
          <w:tab w:val="num" w:pos="2160"/>
        </w:tabs>
        <w:ind w:left="2160" w:hanging="360"/>
      </w:pPr>
      <w:rPr>
        <w:rFonts w:ascii="Wingdings" w:hAnsi="Wingdings" w:hint="default"/>
        <w:sz w:val="20"/>
      </w:rPr>
    </w:lvl>
    <w:lvl w:ilvl="3" w:tplc="1492702A" w:tentative="1">
      <w:start w:val="1"/>
      <w:numFmt w:val="bullet"/>
      <w:lvlText w:val=""/>
      <w:lvlJc w:val="left"/>
      <w:pPr>
        <w:tabs>
          <w:tab w:val="num" w:pos="2880"/>
        </w:tabs>
        <w:ind w:left="2880" w:hanging="360"/>
      </w:pPr>
      <w:rPr>
        <w:rFonts w:ascii="Wingdings" w:hAnsi="Wingdings" w:hint="default"/>
        <w:sz w:val="20"/>
      </w:rPr>
    </w:lvl>
    <w:lvl w:ilvl="4" w:tplc="7DFA6B24" w:tentative="1">
      <w:start w:val="1"/>
      <w:numFmt w:val="bullet"/>
      <w:lvlText w:val=""/>
      <w:lvlJc w:val="left"/>
      <w:pPr>
        <w:tabs>
          <w:tab w:val="num" w:pos="3600"/>
        </w:tabs>
        <w:ind w:left="3600" w:hanging="360"/>
      </w:pPr>
      <w:rPr>
        <w:rFonts w:ascii="Wingdings" w:hAnsi="Wingdings" w:hint="default"/>
        <w:sz w:val="20"/>
      </w:rPr>
    </w:lvl>
    <w:lvl w:ilvl="5" w:tplc="BC20C844" w:tentative="1">
      <w:start w:val="1"/>
      <w:numFmt w:val="bullet"/>
      <w:lvlText w:val=""/>
      <w:lvlJc w:val="left"/>
      <w:pPr>
        <w:tabs>
          <w:tab w:val="num" w:pos="4320"/>
        </w:tabs>
        <w:ind w:left="4320" w:hanging="360"/>
      </w:pPr>
      <w:rPr>
        <w:rFonts w:ascii="Wingdings" w:hAnsi="Wingdings" w:hint="default"/>
        <w:sz w:val="20"/>
      </w:rPr>
    </w:lvl>
    <w:lvl w:ilvl="6" w:tplc="80525BC4" w:tentative="1">
      <w:start w:val="1"/>
      <w:numFmt w:val="bullet"/>
      <w:lvlText w:val=""/>
      <w:lvlJc w:val="left"/>
      <w:pPr>
        <w:tabs>
          <w:tab w:val="num" w:pos="5040"/>
        </w:tabs>
        <w:ind w:left="5040" w:hanging="360"/>
      </w:pPr>
      <w:rPr>
        <w:rFonts w:ascii="Wingdings" w:hAnsi="Wingdings" w:hint="default"/>
        <w:sz w:val="20"/>
      </w:rPr>
    </w:lvl>
    <w:lvl w:ilvl="7" w:tplc="0AA6F074" w:tentative="1">
      <w:start w:val="1"/>
      <w:numFmt w:val="bullet"/>
      <w:lvlText w:val=""/>
      <w:lvlJc w:val="left"/>
      <w:pPr>
        <w:tabs>
          <w:tab w:val="num" w:pos="5760"/>
        </w:tabs>
        <w:ind w:left="5760" w:hanging="360"/>
      </w:pPr>
      <w:rPr>
        <w:rFonts w:ascii="Wingdings" w:hAnsi="Wingdings" w:hint="default"/>
        <w:sz w:val="20"/>
      </w:rPr>
    </w:lvl>
    <w:lvl w:ilvl="8" w:tplc="19D2DF2E" w:tentative="1">
      <w:start w:val="1"/>
      <w:numFmt w:val="bullet"/>
      <w:lvlText w:val=""/>
      <w:lvlJc w:val="left"/>
      <w:pPr>
        <w:tabs>
          <w:tab w:val="num" w:pos="6480"/>
        </w:tabs>
        <w:ind w:left="6480" w:hanging="360"/>
      </w:pPr>
      <w:rPr>
        <w:rFonts w:ascii="Wingdings" w:hAnsi="Wingdings" w:hint="default"/>
        <w:sz w:val="20"/>
      </w:rPr>
    </w:lvl>
  </w:abstractNum>
  <w:abstractNum w:abstractNumId="30">
    <w:nsid w:val="737938D5"/>
    <w:multiLevelType w:val="hybridMultilevel"/>
    <w:tmpl w:val="FA4006B8"/>
    <w:lvl w:ilvl="0" w:tplc="2A101326">
      <w:start w:val="1"/>
      <w:numFmt w:val="decimal"/>
      <w:lvlText w:val="%1."/>
      <w:lvlJc w:val="left"/>
      <w:pPr>
        <w:tabs>
          <w:tab w:val="num" w:pos="720"/>
        </w:tabs>
        <w:ind w:left="720" w:hanging="360"/>
      </w:pPr>
    </w:lvl>
    <w:lvl w:ilvl="1" w:tplc="E064D86C" w:tentative="1">
      <w:start w:val="1"/>
      <w:numFmt w:val="decimal"/>
      <w:lvlText w:val="%2."/>
      <w:lvlJc w:val="left"/>
      <w:pPr>
        <w:tabs>
          <w:tab w:val="num" w:pos="1440"/>
        </w:tabs>
        <w:ind w:left="1440" w:hanging="360"/>
      </w:pPr>
    </w:lvl>
    <w:lvl w:ilvl="2" w:tplc="2AE05A24" w:tentative="1">
      <w:start w:val="1"/>
      <w:numFmt w:val="decimal"/>
      <w:lvlText w:val="%3."/>
      <w:lvlJc w:val="left"/>
      <w:pPr>
        <w:tabs>
          <w:tab w:val="num" w:pos="2160"/>
        </w:tabs>
        <w:ind w:left="2160" w:hanging="360"/>
      </w:pPr>
    </w:lvl>
    <w:lvl w:ilvl="3" w:tplc="8A2A0A1A" w:tentative="1">
      <w:start w:val="1"/>
      <w:numFmt w:val="decimal"/>
      <w:lvlText w:val="%4."/>
      <w:lvlJc w:val="left"/>
      <w:pPr>
        <w:tabs>
          <w:tab w:val="num" w:pos="2880"/>
        </w:tabs>
        <w:ind w:left="2880" w:hanging="360"/>
      </w:pPr>
    </w:lvl>
    <w:lvl w:ilvl="4" w:tplc="FB767FCC" w:tentative="1">
      <w:start w:val="1"/>
      <w:numFmt w:val="decimal"/>
      <w:lvlText w:val="%5."/>
      <w:lvlJc w:val="left"/>
      <w:pPr>
        <w:tabs>
          <w:tab w:val="num" w:pos="3600"/>
        </w:tabs>
        <w:ind w:left="3600" w:hanging="360"/>
      </w:pPr>
    </w:lvl>
    <w:lvl w:ilvl="5" w:tplc="3BB4F406" w:tentative="1">
      <w:start w:val="1"/>
      <w:numFmt w:val="decimal"/>
      <w:lvlText w:val="%6."/>
      <w:lvlJc w:val="left"/>
      <w:pPr>
        <w:tabs>
          <w:tab w:val="num" w:pos="4320"/>
        </w:tabs>
        <w:ind w:left="4320" w:hanging="360"/>
      </w:pPr>
    </w:lvl>
    <w:lvl w:ilvl="6" w:tplc="4738B296" w:tentative="1">
      <w:start w:val="1"/>
      <w:numFmt w:val="decimal"/>
      <w:lvlText w:val="%7."/>
      <w:lvlJc w:val="left"/>
      <w:pPr>
        <w:tabs>
          <w:tab w:val="num" w:pos="5040"/>
        </w:tabs>
        <w:ind w:left="5040" w:hanging="360"/>
      </w:pPr>
    </w:lvl>
    <w:lvl w:ilvl="7" w:tplc="B97679F0" w:tentative="1">
      <w:start w:val="1"/>
      <w:numFmt w:val="decimal"/>
      <w:lvlText w:val="%8."/>
      <w:lvlJc w:val="left"/>
      <w:pPr>
        <w:tabs>
          <w:tab w:val="num" w:pos="5760"/>
        </w:tabs>
        <w:ind w:left="5760" w:hanging="360"/>
      </w:pPr>
    </w:lvl>
    <w:lvl w:ilvl="8" w:tplc="4DDA0126" w:tentative="1">
      <w:start w:val="1"/>
      <w:numFmt w:val="decimal"/>
      <w:lvlText w:val="%9."/>
      <w:lvlJc w:val="left"/>
      <w:pPr>
        <w:tabs>
          <w:tab w:val="num" w:pos="6480"/>
        </w:tabs>
        <w:ind w:left="6480" w:hanging="360"/>
      </w:pPr>
    </w:lvl>
  </w:abstractNum>
  <w:abstractNum w:abstractNumId="31">
    <w:nsid w:val="750C1CAD"/>
    <w:multiLevelType w:val="hybridMultilevel"/>
    <w:tmpl w:val="A8EAA208"/>
    <w:lvl w:ilvl="0" w:tplc="82686D3E">
      <w:start w:val="1"/>
      <w:numFmt w:val="decimal"/>
      <w:lvlText w:val="%1."/>
      <w:lvlJc w:val="left"/>
      <w:pPr>
        <w:tabs>
          <w:tab w:val="num" w:pos="720"/>
        </w:tabs>
        <w:ind w:left="720" w:hanging="360"/>
      </w:pPr>
    </w:lvl>
    <w:lvl w:ilvl="1" w:tplc="59BCFAB8" w:tentative="1">
      <w:start w:val="1"/>
      <w:numFmt w:val="decimal"/>
      <w:lvlText w:val="%2."/>
      <w:lvlJc w:val="left"/>
      <w:pPr>
        <w:tabs>
          <w:tab w:val="num" w:pos="1440"/>
        </w:tabs>
        <w:ind w:left="1440" w:hanging="360"/>
      </w:pPr>
    </w:lvl>
    <w:lvl w:ilvl="2" w:tplc="010A4F4E" w:tentative="1">
      <w:start w:val="1"/>
      <w:numFmt w:val="decimal"/>
      <w:lvlText w:val="%3."/>
      <w:lvlJc w:val="left"/>
      <w:pPr>
        <w:tabs>
          <w:tab w:val="num" w:pos="2160"/>
        </w:tabs>
        <w:ind w:left="2160" w:hanging="360"/>
      </w:pPr>
    </w:lvl>
    <w:lvl w:ilvl="3" w:tplc="BB7AC9E4" w:tentative="1">
      <w:start w:val="1"/>
      <w:numFmt w:val="decimal"/>
      <w:lvlText w:val="%4."/>
      <w:lvlJc w:val="left"/>
      <w:pPr>
        <w:tabs>
          <w:tab w:val="num" w:pos="2880"/>
        </w:tabs>
        <w:ind w:left="2880" w:hanging="360"/>
      </w:pPr>
    </w:lvl>
    <w:lvl w:ilvl="4" w:tplc="B5CA8914" w:tentative="1">
      <w:start w:val="1"/>
      <w:numFmt w:val="decimal"/>
      <w:lvlText w:val="%5."/>
      <w:lvlJc w:val="left"/>
      <w:pPr>
        <w:tabs>
          <w:tab w:val="num" w:pos="3600"/>
        </w:tabs>
        <w:ind w:left="3600" w:hanging="360"/>
      </w:pPr>
    </w:lvl>
    <w:lvl w:ilvl="5" w:tplc="2B84DE30" w:tentative="1">
      <w:start w:val="1"/>
      <w:numFmt w:val="decimal"/>
      <w:lvlText w:val="%6."/>
      <w:lvlJc w:val="left"/>
      <w:pPr>
        <w:tabs>
          <w:tab w:val="num" w:pos="4320"/>
        </w:tabs>
        <w:ind w:left="4320" w:hanging="360"/>
      </w:pPr>
    </w:lvl>
    <w:lvl w:ilvl="6" w:tplc="83608386" w:tentative="1">
      <w:start w:val="1"/>
      <w:numFmt w:val="decimal"/>
      <w:lvlText w:val="%7."/>
      <w:lvlJc w:val="left"/>
      <w:pPr>
        <w:tabs>
          <w:tab w:val="num" w:pos="5040"/>
        </w:tabs>
        <w:ind w:left="5040" w:hanging="360"/>
      </w:pPr>
    </w:lvl>
    <w:lvl w:ilvl="7" w:tplc="2870BEBE" w:tentative="1">
      <w:start w:val="1"/>
      <w:numFmt w:val="decimal"/>
      <w:lvlText w:val="%8."/>
      <w:lvlJc w:val="left"/>
      <w:pPr>
        <w:tabs>
          <w:tab w:val="num" w:pos="5760"/>
        </w:tabs>
        <w:ind w:left="5760" w:hanging="360"/>
      </w:pPr>
    </w:lvl>
    <w:lvl w:ilvl="8" w:tplc="2E247C4C" w:tentative="1">
      <w:start w:val="1"/>
      <w:numFmt w:val="decimal"/>
      <w:lvlText w:val="%9."/>
      <w:lvlJc w:val="left"/>
      <w:pPr>
        <w:tabs>
          <w:tab w:val="num" w:pos="6480"/>
        </w:tabs>
        <w:ind w:left="6480" w:hanging="360"/>
      </w:pPr>
    </w:lvl>
  </w:abstractNum>
  <w:num w:numId="1">
    <w:abstractNumId w:val="13"/>
  </w:num>
  <w:num w:numId="2">
    <w:abstractNumId w:val="15"/>
  </w:num>
  <w:num w:numId="3">
    <w:abstractNumId w:val="20"/>
  </w:num>
  <w:num w:numId="4">
    <w:abstractNumId w:val="31"/>
  </w:num>
  <w:num w:numId="5">
    <w:abstractNumId w:val="30"/>
  </w:num>
  <w:num w:numId="6">
    <w:abstractNumId w:val="10"/>
  </w:num>
  <w:num w:numId="7">
    <w:abstractNumId w:val="11"/>
  </w:num>
  <w:num w:numId="8">
    <w:abstractNumId w:val="4"/>
  </w:num>
  <w:num w:numId="9">
    <w:abstractNumId w:val="1"/>
  </w:num>
  <w:num w:numId="10">
    <w:abstractNumId w:val="6"/>
  </w:num>
  <w:num w:numId="11">
    <w:abstractNumId w:val="14"/>
  </w:num>
  <w:num w:numId="12">
    <w:abstractNumId w:val="2"/>
  </w:num>
  <w:num w:numId="13">
    <w:abstractNumId w:val="19"/>
  </w:num>
  <w:num w:numId="14">
    <w:abstractNumId w:val="3"/>
  </w:num>
  <w:num w:numId="15">
    <w:abstractNumId w:val="22"/>
  </w:num>
  <w:num w:numId="16">
    <w:abstractNumId w:val="25"/>
  </w:num>
  <w:num w:numId="17">
    <w:abstractNumId w:val="21"/>
  </w:num>
  <w:num w:numId="18">
    <w:abstractNumId w:val="24"/>
  </w:num>
  <w:num w:numId="19">
    <w:abstractNumId w:val="27"/>
  </w:num>
  <w:num w:numId="20">
    <w:abstractNumId w:val="9"/>
  </w:num>
  <w:num w:numId="21">
    <w:abstractNumId w:val="29"/>
  </w:num>
  <w:num w:numId="22">
    <w:abstractNumId w:val="16"/>
  </w:num>
  <w:num w:numId="23">
    <w:abstractNumId w:val="18"/>
  </w:num>
  <w:num w:numId="24">
    <w:abstractNumId w:val="7"/>
  </w:num>
  <w:num w:numId="25">
    <w:abstractNumId w:val="17"/>
  </w:num>
  <w:num w:numId="26">
    <w:abstractNumId w:val="8"/>
  </w:num>
  <w:num w:numId="27">
    <w:abstractNumId w:val="23"/>
  </w:num>
  <w:num w:numId="28">
    <w:abstractNumId w:val="26"/>
  </w:num>
  <w:num w:numId="29">
    <w:abstractNumId w:val="28"/>
  </w:num>
  <w:num w:numId="30">
    <w:abstractNumId w:val="5"/>
  </w:num>
  <w:num w:numId="31">
    <w:abstractNumId w:val="0"/>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35DF"/>
    <w:rsid w:val="006B1885"/>
    <w:rsid w:val="00974125"/>
    <w:rsid w:val="00EB35DF"/>
    <w:rsid w:val="00FD64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7"/>
    <o:shapelayout v:ext="edit">
      <o:idmap v:ext="edit" data="1"/>
    </o:shapelayout>
  </w:shapeDefaults>
  <w:decimalSymbol w:val=","/>
  <w:listSeparator w:val=";"/>
  <w15:chartTrackingRefBased/>
  <w15:docId w15:val="{B99BDDA9-8546-4ECF-B91A-0FBAE330B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qFormat/>
    <w:pPr>
      <w:spacing w:before="100" w:beforeAutospacing="1" w:after="100" w:afterAutospacing="1"/>
      <w:outlineLvl w:val="0"/>
    </w:pPr>
    <w:rPr>
      <w:rFonts w:ascii="Arial" w:eastAsia="Arial Unicode MS" w:hAnsi="Arial" w:cs="Arial"/>
      <w:b/>
      <w:bCs/>
      <w:color w:val="000000"/>
      <w:kern w:val="36"/>
      <w:sz w:val="32"/>
      <w:szCs w:val="32"/>
    </w:rPr>
  </w:style>
  <w:style w:type="paragraph" w:styleId="2">
    <w:name w:val="heading 2"/>
    <w:basedOn w:val="a"/>
    <w:qFormat/>
    <w:pPr>
      <w:spacing w:before="100" w:beforeAutospacing="1" w:after="100" w:afterAutospacing="1"/>
      <w:outlineLvl w:val="1"/>
    </w:pPr>
    <w:rPr>
      <w:rFonts w:ascii="Arial" w:eastAsia="Arial Unicode MS" w:hAnsi="Arial" w:cs="Arial"/>
      <w:b/>
      <w:bCs/>
      <w:color w:val="000000"/>
    </w:rPr>
  </w:style>
  <w:style w:type="paragraph" w:styleId="4">
    <w:name w:val="heading 4"/>
    <w:basedOn w:val="a"/>
    <w:qFormat/>
    <w:pPr>
      <w:spacing w:before="100" w:beforeAutospacing="1" w:after="100" w:afterAutospacing="1"/>
      <w:outlineLvl w:val="3"/>
    </w:pPr>
    <w:rPr>
      <w:rFonts w:ascii="Arial Unicode MS" w:eastAsia="Arial Unicode MS" w:hAnsi="Arial Unicode MS" w:cs="Arial Unicode MS"/>
      <w:b/>
      <w:bCs/>
      <w:color w:val="000000"/>
    </w:rPr>
  </w:style>
  <w:style w:type="paragraph" w:styleId="5">
    <w:name w:val="heading 5"/>
    <w:basedOn w:val="a"/>
    <w:qFormat/>
    <w:pPr>
      <w:ind w:left="268" w:right="134" w:hanging="134"/>
      <w:jc w:val="both"/>
      <w:outlineLvl w:val="4"/>
    </w:pPr>
    <w:rPr>
      <w:rFonts w:ascii="Tahoma" w:eastAsia="Arial Unicode MS" w:hAnsi="Tahoma" w:cs="Tahoma"/>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rPr>
      <w:rFonts w:ascii="Arial Unicode MS" w:eastAsia="Arial Unicode MS" w:hAnsi="Arial Unicode MS" w:cs="Arial Unicode MS"/>
      <w:color w:val="005151"/>
    </w:rPr>
  </w:style>
  <w:style w:type="paragraph" w:styleId="a4">
    <w:name w:val="Body Text"/>
    <w:basedOn w:val="a"/>
    <w:semiHidden/>
    <w:pPr>
      <w:jc w:val="both"/>
    </w:pPr>
  </w:style>
  <w:style w:type="character" w:styleId="a5">
    <w:name w:val="Hyperlink"/>
    <w:semiHidden/>
    <w:rPr>
      <w:b/>
      <w:bCs/>
      <w:strike w:val="0"/>
      <w:dstrike w:val="0"/>
      <w:color w:val="0066CC"/>
      <w:u w:val="none"/>
      <w:effect w:val="none"/>
    </w:rPr>
  </w:style>
  <w:style w:type="paragraph" w:styleId="20">
    <w:name w:val="Body Text 2"/>
    <w:basedOn w:val="a"/>
    <w:semiHidden/>
    <w:rPr>
      <w:u w:val="single"/>
    </w:rPr>
  </w:style>
  <w:style w:type="paragraph" w:styleId="3">
    <w:name w:val="Body Text 3"/>
    <w:basedOn w:val="a"/>
    <w:semiHidden/>
    <w:rPr>
      <w:b/>
      <w:bCs/>
      <w:u w:val="single"/>
    </w:rPr>
  </w:style>
  <w:style w:type="paragraph" w:customStyle="1" w:styleId="p2">
    <w:name w:val="p2"/>
    <w:basedOn w:val="a"/>
    <w:pPr>
      <w:ind w:firstLine="600"/>
      <w:jc w:val="both"/>
    </w:pPr>
    <w:rPr>
      <w:rFonts w:ascii="Arial Unicode MS" w:eastAsia="Arial Unicode MS" w:hAnsi="Arial Unicode MS" w:cs="Arial Unicode MS"/>
    </w:rPr>
  </w:style>
  <w:style w:type="paragraph" w:customStyle="1" w:styleId="p3">
    <w:name w:val="p3"/>
    <w:basedOn w:val="a"/>
    <w:pPr>
      <w:spacing w:before="120" w:after="120"/>
      <w:ind w:left="120" w:right="120" w:firstLine="600"/>
      <w:jc w:val="both"/>
    </w:pPr>
    <w:rPr>
      <w:rFonts w:ascii="Arial Unicode MS" w:eastAsia="Arial Unicode MS" w:hAnsi="Arial Unicode MS" w:cs="Arial Unicode MS"/>
      <w:b/>
      <w:bCs/>
      <w:color w:val="004761"/>
    </w:rPr>
  </w:style>
  <w:style w:type="paragraph" w:customStyle="1" w:styleId="p1">
    <w:name w:val="p1"/>
    <w:basedOn w:val="a"/>
    <w:pPr>
      <w:jc w:val="center"/>
    </w:pPr>
    <w:rPr>
      <w:rFonts w:ascii="Arial Unicode MS" w:eastAsia="Arial Unicode MS" w:hAnsi="Arial Unicode MS" w:cs="Arial Unicode MS"/>
      <w:b/>
      <w:bCs/>
      <w:color w:val="004761"/>
    </w:rPr>
  </w:style>
  <w:style w:type="paragraph" w:customStyle="1" w:styleId="txtcolor">
    <w:name w:val="txtcolor"/>
    <w:basedOn w:val="a"/>
    <w:pPr>
      <w:spacing w:before="100" w:beforeAutospacing="1" w:after="100" w:afterAutospacing="1"/>
      <w:jc w:val="center"/>
    </w:pPr>
    <w:rPr>
      <w:rFonts w:ascii="Arial Unicode MS" w:eastAsia="Arial Unicode MS" w:hAnsi="Arial Unicode MS" w:cs="Arial Unicode MS"/>
      <w:b/>
      <w:bCs/>
      <w:color w:val="003FB3"/>
    </w:rPr>
  </w:style>
  <w:style w:type="character" w:styleId="a6">
    <w:name w:val="Strong"/>
    <w:qFormat/>
    <w:rPr>
      <w:b/>
      <w:bCs/>
    </w:rPr>
  </w:style>
  <w:style w:type="character" w:styleId="a7">
    <w:name w:val="Emphasis"/>
    <w:qFormat/>
    <w:rPr>
      <w:i/>
      <w:iCs/>
    </w:rPr>
  </w:style>
  <w:style w:type="paragraph" w:customStyle="1" w:styleId="text2">
    <w:name w:val="text2"/>
    <w:basedOn w:val="a"/>
    <w:pPr>
      <w:spacing w:before="502" w:after="502"/>
      <w:ind w:left="837" w:right="837"/>
      <w:jc w:val="both"/>
    </w:pPr>
    <w:rPr>
      <w:rFonts w:ascii="Arial" w:eastAsia="Arial Unicode MS" w:hAnsi="Arial" w:cs="Arial"/>
      <w:color w:val="000000"/>
      <w:sz w:val="20"/>
      <w:szCs w:val="20"/>
    </w:rPr>
  </w:style>
  <w:style w:type="character" w:customStyle="1" w:styleId="liltitle1">
    <w:name w:val="lil_title1"/>
    <w:rPr>
      <w:rFonts w:ascii="Verdana" w:hAnsi="Verdana" w:hint="default"/>
      <w:b/>
      <w:bCs/>
      <w:i w:val="0"/>
      <w:iCs w:val="0"/>
      <w:sz w:val="20"/>
      <w:szCs w:val="20"/>
    </w:rPr>
  </w:style>
  <w:style w:type="character" w:customStyle="1" w:styleId="liltitle21">
    <w:name w:val="lil_title21"/>
    <w:rPr>
      <w:rFonts w:ascii="Verdana" w:hAnsi="Verdana" w:hint="default"/>
      <w:b/>
      <w:bCs/>
      <w:i w:val="0"/>
      <w:iCs w:val="0"/>
      <w:color w:val="9933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52986</Words>
  <Characters>302023</Characters>
  <Application>Microsoft Office Word</Application>
  <DocSecurity>0</DocSecurity>
  <Lines>2516</Lines>
  <Paragraphs>708</Paragraphs>
  <ScaleCrop>false</ScaleCrop>
  <HeadingPairs>
    <vt:vector size="2" baseType="variant">
      <vt:variant>
        <vt:lpstr>Название</vt:lpstr>
      </vt:variant>
      <vt:variant>
        <vt:i4>1</vt:i4>
      </vt:variant>
    </vt:vector>
  </HeadingPairs>
  <TitlesOfParts>
    <vt:vector size="1" baseType="lpstr">
      <vt:lpstr>1</vt:lpstr>
    </vt:vector>
  </TitlesOfParts>
  <Company>##HOME#</Company>
  <LinksUpToDate>false</LinksUpToDate>
  <CharactersWithSpaces>354301</CharactersWithSpaces>
  <SharedDoc>false</SharedDoc>
  <HLinks>
    <vt:vector size="36" baseType="variant">
      <vt:variant>
        <vt:i4>458820</vt:i4>
      </vt:variant>
      <vt:variant>
        <vt:i4>331614</vt:i4>
      </vt:variant>
      <vt:variant>
        <vt:i4>1035</vt:i4>
      </vt:variant>
      <vt:variant>
        <vt:i4>4</vt:i4>
      </vt:variant>
      <vt:variant>
        <vt:lpwstr>10064072-016.htm</vt:lpwstr>
      </vt:variant>
      <vt:variant>
        <vt:lpwstr/>
      </vt:variant>
      <vt:variant>
        <vt:i4>69</vt:i4>
      </vt:variant>
      <vt:variant>
        <vt:i4>331618</vt:i4>
      </vt:variant>
      <vt:variant>
        <vt:i4>1034</vt:i4>
      </vt:variant>
      <vt:variant>
        <vt:i4>4</vt:i4>
      </vt:variant>
      <vt:variant>
        <vt:lpwstr>10064072-001.htm</vt:lpwstr>
      </vt:variant>
      <vt:variant>
        <vt:lpwstr/>
      </vt:variant>
      <vt:variant>
        <vt:i4>589892</vt:i4>
      </vt:variant>
      <vt:variant>
        <vt:i4>331622</vt:i4>
      </vt:variant>
      <vt:variant>
        <vt:i4>1033</vt:i4>
      </vt:variant>
      <vt:variant>
        <vt:i4>4</vt:i4>
      </vt:variant>
      <vt:variant>
        <vt:lpwstr>10064072-018.htm</vt:lpwstr>
      </vt:variant>
      <vt:variant>
        <vt:lpwstr/>
      </vt:variant>
      <vt:variant>
        <vt:i4>458820</vt:i4>
      </vt:variant>
      <vt:variant>
        <vt:i4>331634</vt:i4>
      </vt:variant>
      <vt:variant>
        <vt:i4>1032</vt:i4>
      </vt:variant>
      <vt:variant>
        <vt:i4>4</vt:i4>
      </vt:variant>
      <vt:variant>
        <vt:lpwstr>10064072-016.htm</vt:lpwstr>
      </vt:variant>
      <vt:variant>
        <vt:lpwstr/>
      </vt:variant>
      <vt:variant>
        <vt:i4>69</vt:i4>
      </vt:variant>
      <vt:variant>
        <vt:i4>331638</vt:i4>
      </vt:variant>
      <vt:variant>
        <vt:i4>1031</vt:i4>
      </vt:variant>
      <vt:variant>
        <vt:i4>4</vt:i4>
      </vt:variant>
      <vt:variant>
        <vt:lpwstr>10064072-001.htm</vt:lpwstr>
      </vt:variant>
      <vt:variant>
        <vt:lpwstr/>
      </vt:variant>
      <vt:variant>
        <vt:i4>589892</vt:i4>
      </vt:variant>
      <vt:variant>
        <vt:i4>331642</vt:i4>
      </vt:variant>
      <vt:variant>
        <vt:i4>1030</vt:i4>
      </vt:variant>
      <vt:variant>
        <vt:i4>4</vt:i4>
      </vt:variant>
      <vt:variant>
        <vt:lpwstr>10064072-018.htm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Evgenia</dc:creator>
  <cp:keywords/>
  <dc:description/>
  <cp:lastModifiedBy>Irina</cp:lastModifiedBy>
  <cp:revision>2</cp:revision>
  <dcterms:created xsi:type="dcterms:W3CDTF">2014-08-03T12:16:00Z</dcterms:created>
  <dcterms:modified xsi:type="dcterms:W3CDTF">2014-08-03T12:16:00Z</dcterms:modified>
</cp:coreProperties>
</file>