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  <w:bookmarkStart w:id="0" w:name="_Toc62978884"/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5351DA" w:rsidRDefault="005351DA" w:rsidP="00493678">
      <w:pPr>
        <w:pStyle w:val="2"/>
        <w:spacing w:line="360" w:lineRule="auto"/>
        <w:rPr>
          <w:rFonts w:ascii="Times New Roman" w:hAnsi="Times New Roman" w:cs="Times New Roman"/>
          <w:lang w:val="uk-UA"/>
        </w:rPr>
      </w:pPr>
    </w:p>
    <w:p w:rsidR="00493678" w:rsidRPr="003849FC" w:rsidRDefault="005351DA" w:rsidP="00493678">
      <w:pPr>
        <w:pStyle w:val="2"/>
        <w:spacing w:line="360" w:lineRule="auto"/>
        <w:rPr>
          <w:rFonts w:ascii="Times New Roman" w:hAnsi="Times New Roman" w:cs="Times New Roman"/>
        </w:rPr>
      </w:pPr>
      <w:r w:rsidRPr="003849FC">
        <w:rPr>
          <w:rFonts w:ascii="Times New Roman" w:hAnsi="Times New Roman" w:cs="Times New Roman"/>
        </w:rPr>
        <w:t>Правово</w:t>
      </w:r>
      <w:r>
        <w:rPr>
          <w:rFonts w:ascii="Times New Roman" w:hAnsi="Times New Roman" w:cs="Times New Roman"/>
        </w:rPr>
        <w:t>й</w:t>
      </w:r>
      <w:r w:rsidRPr="003849FC">
        <w:rPr>
          <w:rFonts w:ascii="Times New Roman" w:hAnsi="Times New Roman" w:cs="Times New Roman"/>
        </w:rPr>
        <w:t xml:space="preserve"> режим имущества предпринимательских структур</w:t>
      </w:r>
      <w:bookmarkEnd w:id="0"/>
    </w:p>
    <w:p w:rsidR="00493678" w:rsidRPr="003849FC" w:rsidRDefault="005351DA" w:rsidP="004936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93678" w:rsidRPr="005351DA">
        <w:rPr>
          <w:sz w:val="28"/>
          <w:szCs w:val="28"/>
        </w:rPr>
        <w:t>Понятие правового режима имущества в юридической литературе определяется как совокупность прав и обязанностей хозяйственных органов в отношении принадлежащего им имущества,</w:t>
      </w:r>
      <w:r w:rsidR="00493678" w:rsidRPr="003849FC">
        <w:rPr>
          <w:sz w:val="28"/>
          <w:szCs w:val="28"/>
        </w:rPr>
        <w:t xml:space="preserve"> т.е. по существу сводится к правам и обязанностям по владению, пользованию и распоряжению имуществом. В этом определении не учтено, что вышестоящие государственные и муниципальные организации в силу своей компетенции тоже наделены определенными правами по отношению к тому же имуществу, ибо действует единый фонд государственного или муниципального имущества.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Объем их прав по такому распоряжению в соотношении с правами хозорганов, за которыми имущество закреплено на началах права хозяйственного ведения или оперативного управления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важный элемент правового режима имущества хозяйственных органов.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Кроме того, в понятии правового режима должен присутствовать порядок формирования имущества и наделения им хозорганов. Таким образом, правовой режим имущества хозяйственных органов можно определить как установленный в правовых нормах порядок формирования имущества и наделения им хозорганов, и порядок управления (владения, пользования и распоряжения) им этими хозорганами и другими звеньями экономики.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Правовой режим имущества каждой хозяйственной организации предопределяется характером и целями ее деятельности, местом в общей системе народного хозяйства, выполняемыми ею функциями.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 этой точки зрения следует различать правовой режим имущества предприятий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хозорганов первичного звена; имущества подразделений хозорганов (цехов, филиалов, представительств); имущества органов хозяйственного руководства (министерства).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Хозяйственные органы наделяются имуществом, как правило, путем предоставления в их распоряжение определенной суммы денежных средств.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За счет этих средств хозорганы возводят производственные здания и сооружения, жилые дома и объекты соцкультбыта, приобретают оборудование, сырье, материалы, образуют производственные запасы, осуществляют все необходимые затраты для производства и реализации продукции.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Внутри предприятий значительная часть имущества в натуре или денежные средства распределяются между их подразделениями для непосредственного производственного использования.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Поскольку подразделения предприятий не вступают во внешние отношения и функционируют только во внутрипроизводственной сфере, круг закрепляемого за ними имущества ограничивается в основном средствами производства для непосредственного производительного использования и денежными средствами для премирования работников.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Состав имущества, закрепляемого за внутренними подразделениями, порядок наделения их материальными и финансовыми ресурсами, права и обязанности в отношении этого имущества, взаимоотношения с другими подразделениями и предприятием в целом определяются самим предприятием в положениях о подразделениях, внутреннем хозрасчете и других локальных нормативных актах.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Имущественный статус филиалов, представительств регламентируется иначе.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Правовой режим их имущества определяется не только на базе локальных норм, но и в первую очередь путем общенормативного регулирования. В состав имущества этих единиц входит и такое, которое позволяет им вступать в отношения с другими организациями.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Здания, сооружения, сами предприятия занимают особое место в составе основных средств имущества хозорганов.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Долгое время в нашей стране передача предприятий, зданий и сооружений в отношениях между государственными организациями основывалась на безвозмездных началах. Объяснялось это наличием единственного собственника государственного имущества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государства. Источниками образования имущества предприятий, организаций были не их собственные средства, а бюджетные ассигнования. Если хозорган на приобретение материальных ценностей собственных средств не затратил, он не вправе был рассчитывать и на возмещение их стоимости при передаче (предприятий, зданий и сооружений). В новых условиях хозяйствования, самофинансирования и самоокупаемости на строительство, реконструкцию и расширение предприятий будут затрачиваться собственные средства предприятий, в том числе и кредиты банков. Бюджетных средств на подобные цели выделяться больше не будет, либо лишь только с разрешения правительства. При таких способах формирования основных средств, в частности предприятий, зданий и сооружений, безвозмездная передача указанных объектов себя изжила.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рыночной экономике наделение предпринимательских организаций, учреждений возможно только за счет собственника, который передает создаваемому предприятию или учреждению имущество в хозяйственное ведение или оперативное управление. При этом имущество как правило передается в виде учредительской доли в уставный капитал, либо передается в пользование и владение для осуществления предпринимательской или иной деятельности. На случай нарушения прав предпринимателя на имущество, являющееся его собственностью или находящееся у него на праве хозяйственного ведения или оперативного управления, законодательство предусматривает</w:t>
      </w:r>
      <w:r w:rsidRPr="003849FC">
        <w:rPr>
          <w:b/>
          <w:bCs/>
          <w:sz w:val="28"/>
          <w:szCs w:val="28"/>
        </w:rPr>
        <w:t xml:space="preserve"> </w:t>
      </w:r>
      <w:r w:rsidRPr="00EC3434">
        <w:rPr>
          <w:sz w:val="28"/>
          <w:szCs w:val="28"/>
        </w:rPr>
        <w:t>несколько способов защиты:</w:t>
      </w:r>
      <w:r w:rsidRPr="003849FC">
        <w:rPr>
          <w:noProof/>
          <w:sz w:val="28"/>
          <w:szCs w:val="28"/>
        </w:rPr>
        <w:t xml:space="preserve"> 1)</w:t>
      </w:r>
      <w:r w:rsidRPr="003849FC">
        <w:rPr>
          <w:sz w:val="28"/>
          <w:szCs w:val="28"/>
        </w:rPr>
        <w:t xml:space="preserve"> обращение в суд с иском о признании прав собственности (владения) на спорное имущество; об истребовании своего имущества из чужого владения (виндикационный иск); об устранении нарушений, препятствующих пользованию имуществом (негаторный иск). Обращение в судебные органы с такими исками порождает возникновение экономического спора;</w:t>
      </w:r>
      <w:r w:rsidRPr="003849FC">
        <w:rPr>
          <w:noProof/>
          <w:sz w:val="28"/>
          <w:szCs w:val="28"/>
        </w:rPr>
        <w:t xml:space="preserve"> 2)</w:t>
      </w:r>
      <w:r w:rsidRPr="003849FC">
        <w:rPr>
          <w:sz w:val="28"/>
          <w:szCs w:val="28"/>
        </w:rPr>
        <w:t xml:space="preserve"> при нарушении актами государственных органов власти, органов местного самоуправления и иных органов прав предпринимателя на имущество, обращение в суд с заявлением о признании поименованного акта полностью или частично недействительным. Такое заявление порождает возникновение спора в сфере управления предпринимательством.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Способы защиты гражданских прав определены ст.</w:t>
      </w:r>
      <w:r w:rsidRPr="003849FC">
        <w:rPr>
          <w:noProof/>
          <w:sz w:val="28"/>
          <w:szCs w:val="28"/>
        </w:rPr>
        <w:t xml:space="preserve"> 12</w:t>
      </w:r>
      <w:r w:rsidRPr="003849FC">
        <w:rPr>
          <w:sz w:val="28"/>
          <w:szCs w:val="28"/>
        </w:rPr>
        <w:t xml:space="preserve"> ГК РФ. Выбор способа судебной защиты предоставлен предпринимателю и зависит от конкретных обстоятельств спора.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Правовой режим имущества означает существование внутри основных правовых форм (собственности или производных вещных прав) особых правил реализации правомочий по владению, пользованию и распоряжению имуществом в ходе предпринимательства.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Правовой режим может устанавливаться в отношении отдельных видов имущества, выделяемых по экономическим и</w:t>
      </w:r>
      <w:r w:rsidR="00EC3434">
        <w:rPr>
          <w:sz w:val="28"/>
          <w:szCs w:val="28"/>
          <w:lang w:val="uk-UA"/>
        </w:rPr>
        <w:t xml:space="preserve"> </w:t>
      </w:r>
      <w:r w:rsidRPr="003849FC">
        <w:rPr>
          <w:sz w:val="28"/>
          <w:szCs w:val="28"/>
        </w:rPr>
        <w:t>(или) юридическим признакам. Он может устанавливаться в отношении фондов, когда имущество обособляется и учитывается отдельно по особым правилам. Правовой режим может касаться так называемых резервов предприятия, то есть средств, формируемых в страховых целях, когда закон требует либо допускает их создание.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Применение правового режима имущества не следует рассматривать только с позиций распорядительных полномочий субъекта. В предпринимательской деятельности он проявляется в установлении особых правил учета данного имущества, порядка отнесения стоимости имущества на себестоимость товара, работ, услуг и др.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Эти правила устанавливаются в целях: а) создания однотипного решения вопросов налогообложения; б) формирования единых институтов предпринимательства (например, одинакового правового значения в решении вопроса об уставном капитале, фондах и резервах предприятия); в) ведения бухгалтерского учета на предприятиях по единым правилам (чтобы можно было контролировать исполнение предприятием обязательств перед государством).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 этих позиций мы должны рассмотреть правовой режим имущества, сгруппированного по экономическим и юридическим признакам для всех предприятий независимо от их формы собственности и организационно-правовой формы, выделяя тем не менее особенности правового регулирования там, где они встречаются.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Все имущество хозяйственных органов подразделяется на различные фонды, т.е. группы однородных по экономическим признакам материальных ценностей либо денежных средств, имеющих общее целевое назначение и подчиняющихся установленному для каждой из этих групп правовому режиму.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специальной литературе признак целевого назначения имущества хозорганов обычно используется для определения фондов денежных средств, именуемых «специальными» фондами.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Целевой характер использования материальных и денежных ресурсов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одно из важнейших начал правового режима имущества хозяйственных звеньев.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Правовой режим имущественных фондов предопределяется экономической характеристикой (признаками) каждого конкретного фонда с точки зрения его назначения, роли и функций в процессе расширенного воспроизводства.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составе имущества хозорганов можно выделить основные фонды, оборотные фонды, готовую продукцию, денежные фонды различного целевого назначения.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Основные фонды как экономическая категория представляют собой совокупность материально-вещественных ценностей, действующих в натуральной форме в течение длительного времени и утрачивающих стоимость по частям (по мере износа).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Основные фонды подразделяются на производственные (средства производства) и непроизводственные. К первым относятся объекты, функционирующие в сфере материального производства (производственные здания и сооружения, передаточные устройства, силовые, рабочие и другие машины и оборудование, измерительные и регулирующие приборы и аппаратура, рабочий и продуктивный скот, многолетние насаждения и т.д.).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Создаются они только теми звеньями, которые осуществляют непосредственно производственно-хозяйственную деятельность.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Непроизводственные основные фонды функционируют в непроизводственной сфере, не участвуют в процессе труда и предназначены для непроизводственного потребления. К ним относятся административные здания, бытовые помещения, фонды культурно-бытового назначения, жилищно-коммунального хозяйства, здравоохранения, просвещения и др. Они могут создаваться хозорганами всех уровней.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Оборотные фонды являются тоже средствами производства, функционируют в производственной сфере и создаются лишь в тех органах и подразделениях, которые непосредственно ведут производственно-хозяйственную деятельность.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составе оборотных фондов различают: а) производственные запасы (сырье, материалы, запчасти); б) незавершенное производство. В эту же группу относят некоторые средства труда: специальные инструменты, быстроизнашивающиеся (до года) и малоценные (стоимостью до</w:t>
      </w:r>
      <w:r w:rsidRPr="003849FC">
        <w:rPr>
          <w:noProof/>
          <w:sz w:val="28"/>
          <w:szCs w:val="28"/>
        </w:rPr>
        <w:t xml:space="preserve"> 50</w:t>
      </w:r>
      <w:r w:rsidRPr="003849FC">
        <w:rPr>
          <w:sz w:val="28"/>
          <w:szCs w:val="28"/>
        </w:rPr>
        <w:t xml:space="preserve"> минимальных размеров оплаты труда за единицу) и др.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b/>
          <w:bCs/>
          <w:sz w:val="28"/>
          <w:szCs w:val="28"/>
        </w:rPr>
        <w:t>Готовая продукция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результат труда, предназначенный для реализации потребителям. В промышленности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это законченная обработкой и укомплектованная, принятая аппаратом техконтроля и сданная на склад, либо принятые заказчиком продукция, товары, а также отгруженные потребителям, но еще не оплаченные продукция, товары. В строительстве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законченный строительством объект до принятия его заказчиком. В обслуживающих отраслях такого фонда нет.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b/>
          <w:bCs/>
          <w:sz w:val="28"/>
          <w:szCs w:val="28"/>
        </w:rPr>
        <w:t>Оборотные средства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средства при помощи которых обеспечивается кругооборот фондов и непрерывность процесса производства и реализации готовой продукции. Это финансовые ресурсы, но в процессе оборота они постоянно меняют функциональную форму, принимая то денежную, то производительную, то товарную формы и подчиняясь соответствующему правовому режиму.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хозяйственной практике этот фонд понимают как денежные средства для финансирования основной (эксплуатационной) деятельности, находящиеся в распоряжении хозорганов (на их расчетных счетах).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составе имущества предприятия наряду с основными и оборотными средствами имеются также так называемые нематериальные активы: права пользования землей, водой, другими природными ресурсами, объектами промышленной и интеллектуальной собственности.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 xml:space="preserve">Нематериальные активы отражаются в учете и отчетности в сумме затрат на приобретение и расходов по их доведению до состояния, в котором они пригодны к использованию в запланированных целях. Они переносят свою первоначальную стоимость на продукцию по нормам, определяемым предприятием, исходя из установленного срока их использования. По тем активам, где невозможно определить такой срок, нормы износа устанавливаются в расчете на </w:t>
      </w:r>
      <w:r w:rsidRPr="003849FC">
        <w:rPr>
          <w:noProof/>
          <w:sz w:val="28"/>
          <w:szCs w:val="28"/>
        </w:rPr>
        <w:t>10</w:t>
      </w:r>
      <w:r w:rsidRPr="003849FC">
        <w:rPr>
          <w:sz w:val="28"/>
          <w:szCs w:val="28"/>
        </w:rPr>
        <w:t xml:space="preserve"> лет, но не более срока деятельности предприятия.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Согласно «Положению о бухгалтерском учете» в имуществе предприятия выделяются также готовая продукция и товары, незавершенное производство. Их правовой режим характеризуется особыми правилами бухгалтерского учета. Исходя их данных учета реализации товаров, формируется, в частности, величина налога на добавленную стоимость. По незавершенному производству расходы, произведенные в отчетном периоде, но относящиеся к следующим отчетным периодам, подлежат отнесению на издержки производства или обращения в течение срока, к которому они относятся.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Среди фондов и резервов следует выделять уставный капитал. Он представляет собой совокупность вкладов (в денежном или ином выражении) участников (собственников) в имущество при создании предприятия для обеспечения его деятельности в размерах, определенных учредительными документами.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акционерном обществе уставный капитал в момент учреждения общества должен состоять из оговоренного числа обыкновенных акций, с одинаковой номинальной стоимостью, кратной десяти.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Уставный капитал в товариществах характеризует пределы ответственности собственно товарищества и его членов.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обществе с ограниченной ответственностью доля вклада в уставный капитал определяет пределы риска убытков, связанных с деятельностью общества.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Несомненно, что уставный капитал в период создания предприятия соответствующей организационно-правовой формы представляет реальный имущественный фонд. В период деятельности предприятия размер наличных имущественных фондов может не совпадать с соответствующей величиной уставного фонда, если иное не предусмотрено законом.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Уставный капитал в ряде случаев является исходной величиной для определения иных имущественных фондов. Банк России устанавливает для коммерческих банков предельное соотношение между уставным капиталом банка и суммой его активов с учетом оценки риска. В акционерных обществах резервный фонд формируется в размере не менее</w:t>
      </w:r>
      <w:r w:rsidRPr="003849FC">
        <w:rPr>
          <w:noProof/>
          <w:sz w:val="28"/>
          <w:szCs w:val="28"/>
        </w:rPr>
        <w:t xml:space="preserve"> 10</w:t>
      </w:r>
      <w:r w:rsidRPr="003849FC">
        <w:rPr>
          <w:sz w:val="28"/>
          <w:szCs w:val="28"/>
        </w:rPr>
        <w:t xml:space="preserve"> процентов уставного капитала. Резервный фонд создается для покрытия непредвиденных потерь и убытков. В обязательном порядке он создается в случаях, предусмотренных законом (в акционерном обществе, в коммерческом банке).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Предприятия могут создавать также резервы на предстоящую оплату отпусков, выплату ежемесячного вознаграждения за выслугу лет, расходов на ремонт основных средств и другие цели. Правовой режим такого рода резервов заключается в том, что в случае их создания предприятие вправе списывать затраты на себестоимость продукции, исходя из нормативов отчислений в такие фонды, утверждаемых самим предприятием.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Более сложным правовым регулированием характеризуется правовой режим прибыли предприятия. Он включает в себя: а) понятие прибыли, порядок и методы ее определения; б) обязательства предприятия по уплате налогов из прибыли; в) отнесение сумм ответственности перед государством и контрагентами на прибыль предприятия в установленном порядке.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Конечный финансовый результат</w:t>
      </w:r>
      <w:r w:rsidRPr="003849FC">
        <w:rPr>
          <w:noProof/>
          <w:sz w:val="28"/>
          <w:szCs w:val="28"/>
        </w:rPr>
        <w:t xml:space="preserve"> —</w:t>
      </w:r>
      <w:r w:rsidRPr="003849FC">
        <w:rPr>
          <w:sz w:val="28"/>
          <w:szCs w:val="28"/>
        </w:rPr>
        <w:t xml:space="preserve"> прибыль (а в соответствующих случаях и убытки) предприятия складываются из доходов от реализации продукции (работ, услуг), основных средств и иного имущества предприятия, а также от иных внереализационных операций, уменьшенных на сумму расходов по ним.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Прибыль предприятия можно считать имущественным фондом особого рода (это всегда денежные средства, образованные как результат многоплановой работы предприятия). Не всегда прибыль играла одинаковую роль в истории экономики нашей страны. При административно-командном регулировании применялись способы изъятия дохода у производителей в предельно жестком варианте. Предприятию не оставалось никакой самостоятельности в распоряжении доходами. Все финансирование его деятельности осуществлялось исключительно директивным способом.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условиях перехода к рыночным отношениям и налоговым формам изъятия прибыли (дохода) у предприятий публичный интерес государства к финансовым результатам предприятия приобрел формы, исключающие директирование порядка распоряжения предприятиями своей прибыли.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Правовое регулирование ее режима сосредоточивается теперь на обеспечении единообразного, в соответствии с законом применения регулирования, приводящего в итоге к прибыли, остающейся в полном распоряжении предприятия.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В рыночных условиях важно установить методы определения прибыли. Сама реализация продукции (работ, услуг) может определяться по-разному: по мере оплаты, либо по мере отгрузки товаров (выполнения работ, оказания услуг) и предъявления покупателю (заказчику) расчетных документов. Метод определения выручки от реализации продукции (работ, услуг) устанавливается предприятием самостоятельно и на длительный срок, исходя из условий хозяйствования и заключаемых договоров.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Наличие убытков у предприятия означает отсутствие прибыли и устранение ее как объекта налогообложения.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Правовой режим прибыли, остающийся в полном распоряжении предприятия, казалось бы, можно охарактеризовать именно с точки зрения возможности предприятия реализовать эти средства по своему усмотрению без каких-либо ограничений. Однако предприятия самостоятельно направляют деньги на потребление (зарплату) только в пределах заработанных средств. В частности, на потребление не могут быть направлены такие средства как арендная плата, выручка от продажи основных фондов, амортизационные отчисления, средства целевых кредитов.</w:t>
      </w:r>
    </w:p>
    <w:p w:rsidR="00493678" w:rsidRPr="003849FC" w:rsidRDefault="00493678" w:rsidP="00493678">
      <w:pPr>
        <w:spacing w:line="360" w:lineRule="auto"/>
        <w:ind w:firstLine="720"/>
        <w:rPr>
          <w:sz w:val="28"/>
          <w:szCs w:val="28"/>
        </w:rPr>
      </w:pPr>
      <w:r w:rsidRPr="003849FC">
        <w:rPr>
          <w:sz w:val="28"/>
          <w:szCs w:val="28"/>
        </w:rPr>
        <w:t>Для некоторых видов имущества законодатель устанавливает правовой режим, исходя из особого регулирования правового положения некоторых видов предприятий. Так, для малых предприятий предусматривается особый режим основных фондов. Малые предприятия в первый год эксплуатации могут списывать дополнительно амортизационные отчисления до</w:t>
      </w:r>
      <w:r w:rsidRPr="003849FC">
        <w:rPr>
          <w:noProof/>
          <w:sz w:val="28"/>
          <w:szCs w:val="28"/>
        </w:rPr>
        <w:t xml:space="preserve"> 50</w:t>
      </w:r>
      <w:r w:rsidRPr="003849FC">
        <w:rPr>
          <w:sz w:val="28"/>
          <w:szCs w:val="28"/>
        </w:rPr>
        <w:t xml:space="preserve"> процентов первоначальной стоимости основных фондов со сроком службы свыше трех лет, а также производить ускоренную амортизацию активной части производственных фондов (машины, оборудование и транспортные средства).</w:t>
      </w:r>
    </w:p>
    <w:p w:rsidR="00493678" w:rsidRPr="00A9180D" w:rsidRDefault="00493678" w:rsidP="00493678">
      <w:pPr>
        <w:widowControl/>
        <w:autoSpaceDE w:val="0"/>
        <w:autoSpaceDN w:val="0"/>
        <w:adjustRightInd w:val="0"/>
        <w:snapToGrid/>
        <w:spacing w:line="360" w:lineRule="auto"/>
        <w:ind w:firstLine="0"/>
        <w:jc w:val="center"/>
        <w:rPr>
          <w:b/>
          <w:bCs/>
          <w:kern w:val="28"/>
          <w:sz w:val="28"/>
          <w:szCs w:val="28"/>
        </w:rPr>
      </w:pPr>
      <w:r>
        <w:rPr>
          <w:sz w:val="24"/>
          <w:szCs w:val="24"/>
        </w:rPr>
        <w:br w:type="page"/>
      </w:r>
      <w:r w:rsidRPr="00A9180D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493678" w:rsidRPr="00F2420C" w:rsidRDefault="00493678" w:rsidP="00F60C45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</w:p>
    <w:p w:rsidR="00493678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F2420C">
        <w:rPr>
          <w:kern w:val="28"/>
          <w:sz w:val="28"/>
          <w:szCs w:val="28"/>
        </w:rPr>
        <w:t xml:space="preserve">Российская Федерация. Конституция (1993). Конституция Российской Федерации // [Электронный ресурс] / ЮРИДИЧЕСКАЯ СПРАВОЧНО-ИНФОРМАЦИОННАЯ АВТОМАТИЗИРОВАННАЯ СИСТЕМА «ЮСИАС» Последнее обновление 10. </w:t>
      </w:r>
      <w:r>
        <w:rPr>
          <w:kern w:val="28"/>
          <w:sz w:val="28"/>
          <w:szCs w:val="28"/>
        </w:rPr>
        <w:t>10</w:t>
      </w:r>
      <w:r w:rsidRPr="00F2420C">
        <w:rPr>
          <w:kern w:val="28"/>
          <w:sz w:val="28"/>
          <w:szCs w:val="28"/>
        </w:rPr>
        <w:t>. 200</w:t>
      </w:r>
      <w:r>
        <w:rPr>
          <w:kern w:val="28"/>
          <w:sz w:val="28"/>
          <w:szCs w:val="28"/>
        </w:rPr>
        <w:t>9</w:t>
      </w:r>
      <w:r w:rsidRPr="00F2420C">
        <w:rPr>
          <w:kern w:val="28"/>
          <w:sz w:val="28"/>
          <w:szCs w:val="28"/>
        </w:rPr>
        <w:t>г.</w:t>
      </w:r>
    </w:p>
    <w:p w:rsidR="00493678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kern w:val="28"/>
          <w:sz w:val="28"/>
          <w:szCs w:val="28"/>
        </w:rPr>
      </w:pPr>
      <w:r w:rsidRPr="00F2420C">
        <w:rPr>
          <w:kern w:val="28"/>
          <w:sz w:val="28"/>
          <w:szCs w:val="28"/>
        </w:rPr>
        <w:t xml:space="preserve">2 Гражданский кодекс Российской Федерации Часть 2. Принят Государственной Думой 22 декабря 1995г. [Электронный ресурс] / ЮРИДИЧЕСКАЯ СПРАВОЧНО-ИНФОРМАЦИОННАЯ АВТОМАТИЗИРОВАННАЯ СИСТЕМА «ЮСИАС» Последнее обновление 10. </w:t>
      </w:r>
      <w:r>
        <w:rPr>
          <w:kern w:val="28"/>
          <w:sz w:val="28"/>
          <w:szCs w:val="28"/>
        </w:rPr>
        <w:t>10</w:t>
      </w:r>
      <w:r w:rsidRPr="00F2420C">
        <w:rPr>
          <w:kern w:val="28"/>
          <w:sz w:val="28"/>
          <w:szCs w:val="28"/>
        </w:rPr>
        <w:t>. 200</w:t>
      </w:r>
      <w:r>
        <w:rPr>
          <w:kern w:val="28"/>
          <w:sz w:val="28"/>
          <w:szCs w:val="28"/>
        </w:rPr>
        <w:t>9</w:t>
      </w:r>
      <w:r w:rsidRPr="00F2420C">
        <w:rPr>
          <w:kern w:val="28"/>
          <w:sz w:val="28"/>
          <w:szCs w:val="28"/>
        </w:rPr>
        <w:t>г.</w:t>
      </w:r>
    </w:p>
    <w:p w:rsidR="00493678" w:rsidRPr="00A9180D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Pr="00A9180D">
        <w:rPr>
          <w:kern w:val="28"/>
          <w:sz w:val="28"/>
          <w:szCs w:val="28"/>
        </w:rPr>
        <w:t xml:space="preserve"> Гущин В.В.; Дмитриев Ю.А. Российское предпринимательское право: Учебник. — М.: Изд-во Эксмо, 2005. — 736 с.</w:t>
      </w:r>
    </w:p>
    <w:p w:rsidR="00493678" w:rsidRPr="00A9180D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rFonts w:eastAsia="Helvetica-Bold"/>
          <w:kern w:val="28"/>
          <w:sz w:val="28"/>
          <w:szCs w:val="28"/>
        </w:rPr>
      </w:pPr>
      <w:r>
        <w:rPr>
          <w:kern w:val="28"/>
          <w:sz w:val="28"/>
          <w:szCs w:val="28"/>
        </w:rPr>
        <w:t>4</w:t>
      </w:r>
      <w:r w:rsidRPr="00A9180D">
        <w:rPr>
          <w:kern w:val="28"/>
          <w:sz w:val="28"/>
          <w:szCs w:val="28"/>
        </w:rPr>
        <w:t xml:space="preserve"> </w:t>
      </w:r>
      <w:r w:rsidRPr="00A9180D">
        <w:rPr>
          <w:rFonts w:eastAsia="Helvetica-Bold"/>
          <w:kern w:val="28"/>
          <w:sz w:val="28"/>
          <w:szCs w:val="28"/>
        </w:rPr>
        <w:t>Ершова, И.В. Предпринимательское право [Текст]: учебник/ Инна Е80 Владимировна Ершова. - Изд. 4-е, перераб. и доп. - М.: ИД «Юриспруденция», 2006 – 560с.</w:t>
      </w:r>
    </w:p>
    <w:p w:rsidR="00493678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rFonts w:eastAsia="Times-Roman"/>
          <w:kern w:val="28"/>
          <w:sz w:val="28"/>
          <w:szCs w:val="28"/>
        </w:rPr>
      </w:pPr>
      <w:r>
        <w:rPr>
          <w:rFonts w:eastAsia="Helvetica-Bold"/>
          <w:kern w:val="28"/>
          <w:sz w:val="28"/>
          <w:szCs w:val="28"/>
        </w:rPr>
        <w:t>5</w:t>
      </w:r>
      <w:r w:rsidRPr="00A9180D">
        <w:rPr>
          <w:rFonts w:eastAsia="Helvetica-Bold"/>
          <w:kern w:val="28"/>
          <w:sz w:val="28"/>
          <w:szCs w:val="28"/>
        </w:rPr>
        <w:t xml:space="preserve"> </w:t>
      </w:r>
      <w:r w:rsidRPr="00A9180D">
        <w:rPr>
          <w:rFonts w:eastAsia="Times-Bold"/>
          <w:kern w:val="28"/>
          <w:sz w:val="28"/>
          <w:szCs w:val="28"/>
        </w:rPr>
        <w:t xml:space="preserve">Жилинский С. </w:t>
      </w:r>
      <w:r w:rsidRPr="00A9180D">
        <w:rPr>
          <w:rFonts w:eastAsia="Times-Roman"/>
          <w:kern w:val="28"/>
          <w:sz w:val="28"/>
          <w:szCs w:val="28"/>
        </w:rPr>
        <w:t xml:space="preserve">Э. Предпринимательское право (правовая основа </w:t>
      </w:r>
      <w:r w:rsidRPr="009E2B94">
        <w:rPr>
          <w:rFonts w:eastAsia="Times-Roman"/>
          <w:kern w:val="28"/>
          <w:sz w:val="28"/>
          <w:szCs w:val="28"/>
        </w:rPr>
        <w:t>предпринимательской деятельности) : учеб. для вузов / С. Э. Жилинский. — 8-е изд., пересмотр, и доп. — М.: Норма, 2007. - 944с.</w:t>
      </w:r>
    </w:p>
    <w:p w:rsidR="00493678" w:rsidRPr="009E2B94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rFonts w:eastAsia="Times-Roman"/>
          <w:kern w:val="28"/>
          <w:sz w:val="28"/>
          <w:szCs w:val="28"/>
        </w:rPr>
      </w:pPr>
      <w:r>
        <w:rPr>
          <w:rFonts w:eastAsia="Times-Roman"/>
          <w:kern w:val="28"/>
          <w:sz w:val="28"/>
          <w:szCs w:val="28"/>
        </w:rPr>
        <w:t xml:space="preserve">6. </w:t>
      </w:r>
      <w:r w:rsidRPr="009E2B94">
        <w:rPr>
          <w:rFonts w:eastAsia="Times-Bold"/>
          <w:kern w:val="28"/>
          <w:sz w:val="28"/>
          <w:szCs w:val="28"/>
        </w:rPr>
        <w:t xml:space="preserve">Предпринимательское (хозяйственное) право: </w:t>
      </w:r>
      <w:r w:rsidRPr="009E2B94">
        <w:rPr>
          <w:rFonts w:eastAsia="Times-Roman"/>
          <w:kern w:val="28"/>
          <w:sz w:val="28"/>
          <w:szCs w:val="28"/>
        </w:rPr>
        <w:t>учебник /</w:t>
      </w:r>
      <w:r>
        <w:rPr>
          <w:rFonts w:eastAsia="Times-Roman"/>
          <w:kern w:val="28"/>
          <w:sz w:val="28"/>
          <w:szCs w:val="28"/>
        </w:rPr>
        <w:t xml:space="preserve"> </w:t>
      </w:r>
      <w:r w:rsidRPr="009E2B94">
        <w:rPr>
          <w:rFonts w:eastAsia="Times-Roman"/>
          <w:kern w:val="28"/>
          <w:sz w:val="28"/>
          <w:szCs w:val="28"/>
        </w:rPr>
        <w:t>[Вознесенская Н.Н. и др.] ; под ред. В.В. Лаптева, С.С. Занковского ; Рос. акад. наук, Ин-т государства и права, Академ, правовой ун-т. — М. : Волтерс Клувер, 2006. — 560 с.</w:t>
      </w:r>
    </w:p>
    <w:p w:rsidR="00493678" w:rsidRPr="00A9180D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7</w:t>
      </w:r>
      <w:r w:rsidRPr="009E2B94">
        <w:rPr>
          <w:kern w:val="28"/>
          <w:sz w:val="28"/>
          <w:szCs w:val="28"/>
        </w:rPr>
        <w:t xml:space="preserve"> Садиков О.П. Гражданское право России. Особенная часть [текст]: Курс лекций / О.П. Садиков. - М.: Юристъ</w:t>
      </w:r>
      <w:r w:rsidRPr="00A9180D">
        <w:rPr>
          <w:kern w:val="28"/>
          <w:sz w:val="28"/>
          <w:szCs w:val="28"/>
        </w:rPr>
        <w:t xml:space="preserve">, 2004 – 567 с. </w:t>
      </w:r>
    </w:p>
    <w:p w:rsidR="00493678" w:rsidRPr="00A9180D" w:rsidRDefault="00493678" w:rsidP="00F60C45">
      <w:pPr>
        <w:widowControl/>
        <w:overflowPunct w:val="0"/>
        <w:autoSpaceDE w:val="0"/>
        <w:autoSpaceDN w:val="0"/>
        <w:adjustRightInd w:val="0"/>
        <w:snapToGrid/>
        <w:spacing w:line="360" w:lineRule="auto"/>
        <w:ind w:firstLine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8</w:t>
      </w:r>
      <w:r w:rsidRPr="00A9180D">
        <w:rPr>
          <w:kern w:val="28"/>
          <w:sz w:val="28"/>
          <w:szCs w:val="28"/>
        </w:rPr>
        <w:t xml:space="preserve"> Суханов Е. Гражданское право [текст]: Учебник / Суханов Е. - М.: БЕК, 2002 – 219с. </w:t>
      </w:r>
    </w:p>
    <w:p w:rsidR="00AD3425" w:rsidRDefault="00AD3425" w:rsidP="00F60C4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1" w:name="_GoBack"/>
      <w:bookmarkEnd w:id="1"/>
    </w:p>
    <w:sectPr w:rsidR="00AD3425" w:rsidSect="005351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98" w:rsidRDefault="00CB309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B3098" w:rsidRDefault="00CB309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98" w:rsidRDefault="00CB309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B3098" w:rsidRDefault="00CB309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9E" w:rsidRDefault="007F115D" w:rsidP="005351DA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06D9E" w:rsidRDefault="00706D9E" w:rsidP="00706D9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9E"/>
    <w:rsid w:val="00107DA1"/>
    <w:rsid w:val="003849FC"/>
    <w:rsid w:val="00493678"/>
    <w:rsid w:val="004F0291"/>
    <w:rsid w:val="005351DA"/>
    <w:rsid w:val="00706D9E"/>
    <w:rsid w:val="007C1DF8"/>
    <w:rsid w:val="007F115D"/>
    <w:rsid w:val="00966C08"/>
    <w:rsid w:val="009E2B94"/>
    <w:rsid w:val="00A9180D"/>
    <w:rsid w:val="00AD3425"/>
    <w:rsid w:val="00CB3098"/>
    <w:rsid w:val="00D521E8"/>
    <w:rsid w:val="00EC3434"/>
    <w:rsid w:val="00F2420C"/>
    <w:rsid w:val="00F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D85C54-349B-4E71-881A-BC149B0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78"/>
    <w:pPr>
      <w:widowControl w:val="0"/>
      <w:snapToGrid w:val="0"/>
      <w:spacing w:line="278" w:lineRule="auto"/>
      <w:ind w:firstLine="30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493678"/>
    <w:pPr>
      <w:autoSpaceDE w:val="0"/>
      <w:autoSpaceDN w:val="0"/>
      <w:adjustRightInd w:val="0"/>
      <w:snapToGrid/>
      <w:spacing w:line="240" w:lineRule="auto"/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93678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FR3">
    <w:name w:val="FR3"/>
    <w:uiPriority w:val="99"/>
    <w:rsid w:val="00493678"/>
    <w:pPr>
      <w:widowControl w:val="0"/>
      <w:snapToGrid w:val="0"/>
      <w:spacing w:line="259" w:lineRule="auto"/>
      <w:jc w:val="center"/>
    </w:pPr>
    <w:rPr>
      <w:b/>
      <w:bCs/>
      <w:sz w:val="28"/>
      <w:szCs w:val="28"/>
    </w:rPr>
  </w:style>
  <w:style w:type="paragraph" w:styleId="a3">
    <w:name w:val="Normal Indent"/>
    <w:basedOn w:val="a"/>
    <w:uiPriority w:val="99"/>
    <w:rsid w:val="00AD3425"/>
    <w:pPr>
      <w:widowControl/>
      <w:snapToGrid/>
      <w:spacing w:line="240" w:lineRule="auto"/>
      <w:ind w:left="708" w:firstLine="0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706D9E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706D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РЕЖИМ ИМУЩЕСТВА ПРЕДПРИНИМАТЕЛЬСКИХ СТРУКТУР</vt:lpstr>
    </vt:vector>
  </TitlesOfParts>
  <Company>Microsoft</Company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РЕЖИМ ИМУЩЕСТВА ПРЕДПРИНИМАТЕЛЬСКИХ СТРУКТУР</dc:title>
  <dc:subject/>
  <dc:creator>Admin</dc:creator>
  <cp:keywords/>
  <dc:description/>
  <cp:lastModifiedBy>admin</cp:lastModifiedBy>
  <cp:revision>2</cp:revision>
  <dcterms:created xsi:type="dcterms:W3CDTF">2014-03-06T23:21:00Z</dcterms:created>
  <dcterms:modified xsi:type="dcterms:W3CDTF">2014-03-06T23:21:00Z</dcterms:modified>
</cp:coreProperties>
</file>