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D8" w:rsidRDefault="00AE39D8">
      <w:pPr>
        <w:jc w:val="center"/>
        <w:rPr>
          <w:sz w:val="28"/>
        </w:rPr>
      </w:pPr>
    </w:p>
    <w:p w:rsidR="00AE39D8" w:rsidRDefault="00AE39D8">
      <w:pPr>
        <w:jc w:val="center"/>
        <w:rPr>
          <w:sz w:val="28"/>
        </w:rPr>
      </w:pPr>
    </w:p>
    <w:p w:rsidR="00AE39D8" w:rsidRDefault="00AE39D8">
      <w:pPr>
        <w:pStyle w:val="a3"/>
      </w:pPr>
      <w:r>
        <w:t>Оглавление.</w:t>
      </w:r>
    </w:p>
    <w:p w:rsidR="00AE39D8" w:rsidRDefault="00AE39D8">
      <w:pPr>
        <w:pStyle w:val="a3"/>
      </w:pPr>
    </w:p>
    <w:p w:rsidR="00AE39D8" w:rsidRDefault="00AE39D8">
      <w:pPr>
        <w:pStyle w:val="a3"/>
        <w:jc w:val="both"/>
      </w:pPr>
      <w:r>
        <w:tab/>
        <w:t>Понятие уставного капитала коммерческой организации.</w:t>
      </w:r>
    </w:p>
    <w:p w:rsidR="00AE39D8" w:rsidRDefault="00AE39D8">
      <w:pPr>
        <w:pStyle w:val="a3"/>
        <w:jc w:val="both"/>
      </w:pPr>
      <w:r>
        <w:tab/>
        <w:t>Порядок образования уставного капитала.</w:t>
      </w:r>
    </w:p>
    <w:p w:rsidR="00AE39D8" w:rsidRDefault="00AE39D8">
      <w:pPr>
        <w:pStyle w:val="a3"/>
        <w:jc w:val="both"/>
      </w:pPr>
      <w:r>
        <w:tab/>
        <w:t>Порядок изменения размера уставного капитала.</w:t>
      </w:r>
    </w:p>
    <w:p w:rsidR="00AE39D8" w:rsidRDefault="00AE39D8">
      <w:pPr>
        <w:pStyle w:val="a3"/>
        <w:jc w:val="both"/>
      </w:pPr>
      <w:r>
        <w:tab/>
        <w:t xml:space="preserve">Распределение уставного капитала при реорганизации и </w:t>
      </w:r>
    </w:p>
    <w:p w:rsidR="00AE39D8" w:rsidRDefault="00AE39D8">
      <w:pPr>
        <w:pStyle w:val="a3"/>
        <w:jc w:val="both"/>
      </w:pPr>
      <w:r>
        <w:tab/>
        <w:t>ликвидации коммерческой организации.</w:t>
      </w:r>
    </w:p>
    <w:p w:rsidR="00AE39D8" w:rsidRDefault="00AE39D8">
      <w:pPr>
        <w:pStyle w:val="a3"/>
        <w:jc w:val="both"/>
      </w:pPr>
      <w:r>
        <w:br w:type="page"/>
      </w:r>
      <w:r>
        <w:tab/>
        <w:t>Теория гражданского права традиционно выделяет четыре основополагающих признака позволяющих выделить юридическое лицо, как субъект гражданского права. Это организационное единство, позволяющее множеству лиц объединенных в одну организацию, выступать в гражданском обороте как одно лицо; обособление имущества, позволяющее организации создать материальную базу деятельности; принцип самостоятельной гражданско-правовой ответственности сформулирован в статье 56 ГК РФ: «Юридические лица, кроме финансируемых собственником учреждений, отвечают по своим обязательствам всем принадлежащим им имуществом»</w:t>
      </w:r>
      <w:r>
        <w:rPr>
          <w:rStyle w:val="a7"/>
        </w:rPr>
        <w:footnoteReference w:id="1"/>
      </w:r>
      <w:r>
        <w:t>; выступление в гражданско-правовом обороте от собственного имени, т.е. от своего имени совершать разрешенные законом сделки, нести обязанности, выступать истцом и ответчиком в суде. «Юридическое лицо –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r>
        <w:rPr>
          <w:rStyle w:val="a7"/>
        </w:rPr>
        <w:footnoteReference w:id="2"/>
      </w:r>
      <w:r>
        <w:t>.</w:t>
      </w:r>
    </w:p>
    <w:p w:rsidR="00AE39D8" w:rsidRDefault="00AE39D8">
      <w:pPr>
        <w:pStyle w:val="a3"/>
        <w:jc w:val="both"/>
      </w:pPr>
      <w:r>
        <w:tab/>
        <w:t>Как видно обособлению имущества уделяется огромное значение, оно требуется и для начала осуществления хозяйственной деятельности общества, и для гарантий прав кредиторов при ликвидации общества.</w:t>
      </w:r>
    </w:p>
    <w:p w:rsidR="00AE39D8" w:rsidRDefault="00AE39D8">
      <w:pPr>
        <w:pStyle w:val="a3"/>
        <w:jc w:val="both"/>
      </w:pPr>
      <w:r>
        <w:tab/>
        <w:t>Изначальное обособление имущества происходит путем формирования уставного капитала коммерческой организации.</w:t>
      </w:r>
    </w:p>
    <w:p w:rsidR="00AE39D8" w:rsidRDefault="00AE39D8">
      <w:pPr>
        <w:pStyle w:val="a3"/>
        <w:jc w:val="both"/>
      </w:pPr>
    </w:p>
    <w:p w:rsidR="00AE39D8" w:rsidRDefault="00AE39D8">
      <w:pPr>
        <w:pStyle w:val="a3"/>
      </w:pPr>
      <w:r>
        <w:t>Понятие уставного капитала коммерческих организаций.</w:t>
      </w:r>
    </w:p>
    <w:p w:rsidR="00AE39D8" w:rsidRDefault="00AE39D8">
      <w:pPr>
        <w:pStyle w:val="a3"/>
      </w:pPr>
    </w:p>
    <w:p w:rsidR="00AE39D8" w:rsidRDefault="00AE39D8">
      <w:pPr>
        <w:pStyle w:val="a3"/>
        <w:jc w:val="both"/>
      </w:pPr>
      <w:r>
        <w:t>«Уставной (складочный) капитал, которым должны обладать все коммерческие организации, представляет собой сумму вклада (вкладов) учредителя (учредителей), осуществленного в рублях и зафиксированного учредительными документами коммерческой организации»</w:t>
      </w:r>
      <w:r>
        <w:rPr>
          <w:rStyle w:val="a7"/>
        </w:rPr>
        <w:footnoteReference w:id="3"/>
      </w:r>
      <w:r>
        <w:t>.</w:t>
      </w:r>
    </w:p>
    <w:p w:rsidR="00AE39D8" w:rsidRDefault="00AE39D8">
      <w:pPr>
        <w:pStyle w:val="a3"/>
        <w:jc w:val="both"/>
      </w:pPr>
      <w:r>
        <w:tab/>
        <w:t>Вкладом в уставный капитал коммерческой организации могут быть деньги, ценные бумаги, другие вещи или имущественные права либо иные права, имеющие денежную оценку. Денежная оценка вклада производится по соглашению между учредителями коммерческой организации и в случаях, предусмотренных законом, подлежит независимой экспертной проверке (п.6 ст.66ГК). Главным признаком вклада в уставной капитал является его оценка в деньгах. Например, вкладом в уставной капитал кроме имущества, стоимость которого легко выразить в деньгах, могут являться имущественные права и иные права не имеющие бесспорной денежной оценки. К этим правам могут относиться: авторские имущественные права, права на изобретение, ноу-хау, промышленный образец, товарный знак, вклад в виде обязательного права требования, не связанного тесно с личностью кредитора. Как в этом случае определить денежную стоимость передаваемых прав? Обычно такая денежная оценка определяется соглашением между учредителями общества, но иногда по поводу оценки вклада может возникнуть спор, который разрешается в суде (суд назначает независимую оценку вклада).</w:t>
      </w:r>
    </w:p>
    <w:p w:rsidR="00AE39D8" w:rsidRDefault="00AE39D8">
      <w:pPr>
        <w:pStyle w:val="a3"/>
        <w:jc w:val="both"/>
      </w:pPr>
      <w:r>
        <w:tab/>
        <w:t>Величины минимальных уставных капиталов коммерческих организаций определяются Указом Президента РФ от 8 июля 1994 г. №1482 «Об упорядочении государственной регистрации предприятий и предпринимателей на территории Российской Федерации»</w:t>
      </w:r>
      <w:r>
        <w:rPr>
          <w:rStyle w:val="a7"/>
        </w:rPr>
        <w:footnoteReference w:id="4"/>
      </w:r>
      <w:r>
        <w:t xml:space="preserve"> с учетом действия специальных законов, регламентирующих тот же вопрос. Размер уставного капитала открытых акционерных обществ, предприятий любых организационно-правовых форм с иностранными инвестициями, государственных и муниципальных унитарных предприятий не должен быть менее суммы, равной 1000-кратному  минимальному размеру оплаты труда в месяц на дату государственной регистрации коммерческой организации. Размер уставного капитала других коммерческих организаций (хозяйственных товариществ, закрытых акционерных обществ, производственных кооперативов) не должен быть менее суммы, равной 100-кратному размеру минимального размера оплаты труда в месяц на дату их государственной регистрации. По этому поводу существует разъяснение Пленума Верховного Суда РФ: «Статьей 26 Закона определен минимальный размер уставного капитала для открытых акционерных обществ – не менее тысячекратной суммы, а для закрытых акционерных обществ – не менее стократной суммы минимального размера оплаты труда, установленного федеральным законом на дату государственной регистрации общества. При применении данной нормы судам необходимо учитывать, что если на момент государственной регистрации акционерного общества (при его создании) размер уставного капитала общества соответствовал уровню, установленному действовавшими в тот период правовыми актами, то при регистрации изменений, вносимых в устав общества (регистрации устава в новой редакции), в том числе в связи с приведением его в соответствие с Законом п. 3 ст. 94 Закона, государственный орган, осуществляющий такую регистрацию, не вправе отказывать в ее проведении по мотиву несоответствия уставного капитала общества минимальному размеру, действующему на дату регистрации изменений»</w:t>
      </w:r>
      <w:r>
        <w:rPr>
          <w:rStyle w:val="a7"/>
        </w:rPr>
        <w:footnoteReference w:id="5"/>
      </w:r>
      <w:r>
        <w:t xml:space="preserve">. Следует полагать возможным применения данного правила по аналогии и к другим организациям, поскольку дело касается действительно вполне аналогичных ситуаций. </w:t>
      </w:r>
    </w:p>
    <w:p w:rsidR="00AE39D8" w:rsidRDefault="00AE39D8">
      <w:pPr>
        <w:pStyle w:val="a3"/>
        <w:jc w:val="both"/>
      </w:pPr>
      <w:r>
        <w:tab/>
        <w:t>В отношении ряда коммерческих организаций, например, коммерческих банков, специальным законодательством установлен значительно больший минимальный размер уставного капитала, а также установлены другие требования (например, о соотношении размеров собственного и заемного капиталов), обеспечивающие имущественные интересы их кредиторов. Так для кредитных организаций действует порядок, устанавливаемый Центральным Банком РФ: «Банк России устанавливает предельный размер не денежной части в уставном капитале кредитных организаций, а также минимальный размер уставного капитала вновь регистрируемых кредитных организаций. Норматив минимального размера уставного капитала может устанавливаться в зависимости от вида кредитных организаций»</w:t>
      </w:r>
      <w:r>
        <w:rPr>
          <w:rStyle w:val="a7"/>
        </w:rPr>
        <w:footnoteReference w:id="6"/>
      </w:r>
      <w:r>
        <w:t xml:space="preserve">. На 01 января 1998 года минимальный уставной капитал для вновь образуемых банков не должен быть ниже суммы, эквивалентной 4 миллиона ЭКЮ и 5 миллионов ЭКЮ на 01 июля 1998 года.  </w:t>
      </w:r>
    </w:p>
    <w:p w:rsidR="00AE39D8" w:rsidRDefault="00AE39D8">
      <w:pPr>
        <w:pStyle w:val="a3"/>
        <w:jc w:val="both"/>
      </w:pPr>
      <w:r>
        <w:tab/>
        <w:t>Ограничение имущественного риска учредителя обособленным в целях создания коммерческой организации имуществом имеет особенно большое значение в сфере предпринимательства, так как освобождает учредителя от ответственности по обязательствам коммерческой организации. Коммерческие организации отвечают по своим обязательствам всем принадлежащим им имуществом (ст.56 ГК). Исключения из названного правила могут быть предусмотрены Гражданским кодексом, федеральным законодательством либо учредительными документами коммерческой организации. Так, Российская Федерация несет субсидиарную ответственность по обязательствам казенного предприятия при недостаточности его имущества (п.5 ст.115 ГК). Закон о несостоятельности (банкротстве) устанавливает, что в случае неспособности юридического лица удовлетворить требования кредиторов в течение более трех месяцев, руководитель должника обязан обратиться с заявлением в арбитражный суд о признании такого юридического лица банкротом. «Не предъявление должником заявления должника в случаях и в срок, которые предусмотрены статьей 8 настоящего Федерального закона, влечет субсидиарную ответственность руководителя должника, членов ликвидационной комиссии (ликвидатора) по обязательствам должника перед кредиторами…»</w:t>
      </w:r>
      <w:r>
        <w:rPr>
          <w:rStyle w:val="a7"/>
        </w:rPr>
        <w:footnoteReference w:id="7"/>
      </w:r>
      <w:r>
        <w:t>. Так как руководитель коммерческой организации зачастую является и одним из ее учредителей, наступление субсидиарной ответственности для него по долгам коммерческой организации весьма возможно.</w:t>
      </w:r>
    </w:p>
    <w:p w:rsidR="00AE39D8" w:rsidRDefault="00AE39D8">
      <w:pPr>
        <w:pStyle w:val="a3"/>
        <w:jc w:val="both"/>
      </w:pPr>
      <w:r>
        <w:tab/>
        <w:t>Уставной капитал - это имущественная основа коммерческой организации, который имеет вполне определенные функции:</w:t>
      </w:r>
    </w:p>
    <w:p w:rsidR="00AE39D8" w:rsidRDefault="00AE39D8">
      <w:pPr>
        <w:pStyle w:val="a3"/>
        <w:jc w:val="both"/>
      </w:pPr>
      <w:r>
        <w:t>А) стартовая функция - отражает право акционеров приступить к собственной предпринимательской деятельности. Несмотря на то, что со временем при успешной работе коммерческой организации, полученная прибыль может в несколько раз превысить величину уставного капитала, тем не менее, и тогда он будет оставаться наиболее устойчивой статьей пассива;</w:t>
      </w:r>
    </w:p>
    <w:p w:rsidR="00AE39D8" w:rsidRDefault="00AE39D8">
      <w:pPr>
        <w:pStyle w:val="a3"/>
        <w:jc w:val="both"/>
      </w:pPr>
      <w:r>
        <w:t>Б) гарантийная функция. Уставной капитал- это часть имущества общества, сохраняемая для расплаты с кредиторами (гарантированный минимум). Поэтому не случайно усилия законодателя направлены на то, чтобы, во-первых, заставить участников общества создать уставной капитал фактически и, во-вторых, удержать его, по крайней мере, на уровне, предусмотренном в уставе. На достижение первой цели направлена норма п.3 ст. 99 ГК РФ, запрещающая подписку на акции до полной оплаты уставного капитала. Достижению второй цели служит положение п.3 ст. 102 ГК РФ, по смыслу которого акционеры могут получить дивиденды лишь в случае, когда полностью оплаченный уставной капитал от этого не уменьшится;</w:t>
      </w:r>
    </w:p>
    <w:p w:rsidR="00AE39D8" w:rsidRDefault="00AE39D8">
      <w:pPr>
        <w:pStyle w:val="a3"/>
        <w:jc w:val="both"/>
      </w:pPr>
      <w:r>
        <w:t>В) функция определения доли участия каждого акционера в обществе. Весь уставной капитал разбивается на части, каждая из которых имеет номинальную цену. Отношение сумм одной цены акций, принадлежащих одному лицу, к величине капитала определяет долю и положение этого акционера в обществе. Чем меньше номинальная цена акции, тем больше возможностей для привлечения к участию в коммерческую организацию широкого круга лиц и, в конечном счете, к аккумуляции крупных денежных средств, однако надо помнить, что если число акционеров превысит пятьдесят человек, такая коммерческая организация подлежит преобразованию в акционерное общество.</w:t>
      </w:r>
    </w:p>
    <w:p w:rsidR="00AE39D8" w:rsidRDefault="00AE39D8">
      <w:pPr>
        <w:pStyle w:val="a3"/>
        <w:jc w:val="both"/>
      </w:pPr>
      <w:r>
        <w:tab/>
        <w:t>В период функционирования акционерного общества акционеры имеют возможность вернуть стоимость своего вклада на рынке или на фондовой бирже; но могут и проиграть, поскольку получаемая в результате такой продажи сумма, как правило, не совпадает с той, какая была затрачена на приобретение акций, - цена последних является переменной величиной, определяемой конъюнктурой. Также действительная (реальная оценка) вклада зависит не только от стоимости уставного капитала, но и от оценки всего имущества организации. В обычном случае нормально работающая коммерческая организация имеет имущество, значительно превышающее размер (стоимость) уставного капитала. А поскольку первоначальная доля участника в уставном капитале организации дает ему определенные (обязательственные и корпоративные) права в отношении соответствующей части всего имущества организации, его увеличение означает, и увеличение фактической стоимости самой доли.</w:t>
      </w:r>
    </w:p>
    <w:p w:rsidR="00AE39D8" w:rsidRDefault="00AE39D8">
      <w:pPr>
        <w:pStyle w:val="a3"/>
        <w:jc w:val="both"/>
      </w:pPr>
      <w:r>
        <w:tab/>
        <w:t>Нельзя не отметить, что категория «размер уставного капитала» достаточно условна. Во-первых, потому, что вносимое имущество оценивается по договору между учредителями (акционерами). Во-вторых, до регистрации коммерческой организации у него еще нет имущества под уставный капитал. В-третьих, после регистрации коммерческой организации  уставный капитал пускается в оборот и может либо увеличиваться, либо уменьшаться. В-четвертых, следует различать капитал оплаченный, т.е. сумму, действительно полученную за акции в каждый данный момент, и неоплаченный, т.е. стоимость акций, которую можно внести после подписки. Тем самым акционерный капитал в значительной мере утрачивает свою гарантийную функцию. Кроме того, приходится учитывать и психологию предпринимательства (риск, азарт и т.п.). Поэтому в некоторых странах (например, в США) отказались от требования обязательно поддерживать определенный размер уставного капитала.</w:t>
      </w:r>
    </w:p>
    <w:p w:rsidR="00AE39D8" w:rsidRDefault="00AE39D8">
      <w:pPr>
        <w:pStyle w:val="a3"/>
        <w:jc w:val="both"/>
      </w:pPr>
      <w:r>
        <w:tab/>
        <w:t xml:space="preserve">Тем не менее, идея о его сохранности пока превалирует в мире, в том числе и в России. Эта идея обусловила три специфических правила корпоративного права: </w:t>
      </w:r>
    </w:p>
    <w:p w:rsidR="00AE39D8" w:rsidRDefault="00AE39D8">
      <w:pPr>
        <w:pStyle w:val="a3"/>
        <w:numPr>
          <w:ilvl w:val="0"/>
          <w:numId w:val="1"/>
        </w:numPr>
        <w:jc w:val="both"/>
      </w:pPr>
      <w:r>
        <w:t>запрет (хотя и не жесткий) на покупку акционерным обществом собственных акций;</w:t>
      </w:r>
    </w:p>
    <w:p w:rsidR="00AE39D8" w:rsidRDefault="00AE39D8">
      <w:pPr>
        <w:pStyle w:val="a3"/>
        <w:numPr>
          <w:ilvl w:val="0"/>
          <w:numId w:val="1"/>
        </w:numPr>
        <w:jc w:val="both"/>
      </w:pPr>
      <w:r>
        <w:t>ограничение уплаты дивидендов из средств, составляющих уставный капитал;</w:t>
      </w:r>
    </w:p>
    <w:p w:rsidR="00AE39D8" w:rsidRDefault="00AE39D8">
      <w:pPr>
        <w:pStyle w:val="a3"/>
        <w:numPr>
          <w:ilvl w:val="0"/>
          <w:numId w:val="1"/>
        </w:numPr>
        <w:jc w:val="both"/>
      </w:pPr>
      <w:r>
        <w:t>технически четкое разграничение уставного капитала и текущих расходов.</w:t>
      </w:r>
    </w:p>
    <w:p w:rsidR="00AE39D8" w:rsidRDefault="00AE39D8">
      <w:pPr>
        <w:pStyle w:val="a3"/>
        <w:jc w:val="both"/>
      </w:pPr>
      <w:r>
        <w:t>Хочу добавить, что, несмотря на старание придерживаться гарантийной функции уставного капитала установленные минимальные размеры уставных капиталов уже давно не могут защищать права кредиторов. Так на данный момент 100 кратный размер минимального размера оплаты труда составляет сумму эквивалентную 490 долларов США.</w:t>
      </w:r>
    </w:p>
    <w:p w:rsidR="00AE39D8" w:rsidRDefault="00AE39D8">
      <w:pPr>
        <w:pStyle w:val="a3"/>
        <w:jc w:val="both"/>
      </w:pPr>
    </w:p>
    <w:p w:rsidR="00AE39D8" w:rsidRDefault="00AE39D8">
      <w:pPr>
        <w:pStyle w:val="a3"/>
        <w:jc w:val="both"/>
      </w:pPr>
    </w:p>
    <w:p w:rsidR="00AE39D8" w:rsidRDefault="00AE39D8">
      <w:pPr>
        <w:pStyle w:val="a3"/>
      </w:pPr>
      <w:r>
        <w:t>Порядок образования уставного капитала.</w:t>
      </w:r>
    </w:p>
    <w:p w:rsidR="00AE39D8" w:rsidRDefault="00AE39D8">
      <w:pPr>
        <w:pStyle w:val="a3"/>
        <w:jc w:val="both"/>
      </w:pPr>
      <w:r>
        <w:tab/>
        <w:t>Один из главных вопросов при организации коммерческой организации – образование уставного капитала. Его размер определяется по номинальной стоимости акций, приобретенных акционерами. При учреждении общества все его акции должны быть размещены среди учредителей. Наличие к этому моменту акций, предлагаемых к размещению путем подписки (публичной продажи), не допускается),нное правило касается акционерных обществ, которые имеют право объявлять открытую подписку на свои акции). Каждый участник коммерческой организации наделяется количеством акций, соответствующим внесенной им доле уставного капитала.</w:t>
      </w:r>
    </w:p>
    <w:p w:rsidR="00AE39D8" w:rsidRDefault="00AE39D8">
      <w:pPr>
        <w:pStyle w:val="a3"/>
        <w:jc w:val="both"/>
      </w:pPr>
      <w:r>
        <w:tab/>
        <w:t>Минимальный уставной капитал открытого акционерного общества не может быть ниже тысячекратной суммы минимального размера оплаты труда, предусмотренного федеральным законом на дату регистрации общества, закрытого общества – не ниже стократной суммы. Следует иметь в виду, что не менее 50% уставного капитала должно быть оплачено к моменту регистрации, остальное – в течение года от этой даты.</w:t>
      </w:r>
    </w:p>
    <w:p w:rsidR="00AE39D8" w:rsidRDefault="00AE39D8">
      <w:pPr>
        <w:pStyle w:val="a3"/>
        <w:jc w:val="both"/>
      </w:pPr>
      <w:r>
        <w:tab/>
        <w:t>Форма оплаты акций при учреждении общества определяется договором о его создании или уставом коммерческой организации. Возможна оплата деньгами, ценными бумагами, другими вещами, имущественными либо иными правами, имеющими денежную оценку.</w:t>
      </w:r>
      <w:r>
        <w:tab/>
        <w:t>Участие в коммерческой организации сопряжено с риском,– не гарантирован фиксированный дивиденд, возможны обесценивание и даже потеря денег, вложенных в акции. Акционер не вправе требовать возврата своего взноса. Исключение из этого правила содержится в ст. 75 Закона «Об акционерных обществах»: «Акционеры – владельцы голосующих акций вправе требовать выкупа обществом всех или части принадлежащих им акций в случаях: реорганизации общества или совершения крупной сделки, решение о которой принимается общим собранием акционеров в соответствии с пунктом 2 статьи 89 настоящего Федерального закона, если они голосовали против принятия решения о его реорганизации или совершении указанной сделки либо не принимали участия в голосовании по этим вопросам;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r>
        <w:rPr>
          <w:rStyle w:val="a7"/>
        </w:rPr>
        <w:footnoteReference w:id="8"/>
      </w:r>
      <w:r>
        <w:t>.</w:t>
      </w:r>
    </w:p>
    <w:p w:rsidR="00AE39D8" w:rsidRDefault="00AE39D8">
      <w:pPr>
        <w:pStyle w:val="a3"/>
        <w:jc w:val="both"/>
      </w:pPr>
      <w:r>
        <w:tab/>
        <w:t>Решение об учреждении общества принимает учредительное собрание (единогласно). При этом утверждается также устав коммерческой организации и денежная оценка не денежных взносов (единогласно), избираются органы управления (большинством в три четверти голосов).</w:t>
      </w:r>
    </w:p>
    <w:p w:rsidR="00AE39D8" w:rsidRDefault="00AE39D8">
      <w:pPr>
        <w:pStyle w:val="a3"/>
        <w:jc w:val="both"/>
      </w:pPr>
      <w:r>
        <w:tab/>
        <w:t>Уставный фонд создается путем обмена на акции денежных и имущественных взносов, сделанных учредителями коммерческой организации и лицами, приглашенными к участию в нем. Взносы могут осуществляться в виде:</w:t>
      </w:r>
    </w:p>
    <w:p w:rsidR="00AE39D8" w:rsidRDefault="00AE39D8">
      <w:pPr>
        <w:pStyle w:val="a3"/>
        <w:jc w:val="both"/>
      </w:pPr>
      <w:r>
        <w:tab/>
        <w:t>денежных средств (в рублях и иностранной валюте);</w:t>
      </w:r>
    </w:p>
    <w:p w:rsidR="00AE39D8" w:rsidRDefault="00AE39D8">
      <w:pPr>
        <w:pStyle w:val="a3"/>
        <w:jc w:val="both"/>
      </w:pPr>
      <w:r>
        <w:tab/>
        <w:t>ценных бумаг;</w:t>
      </w:r>
    </w:p>
    <w:p w:rsidR="00AE39D8" w:rsidRDefault="00AE39D8">
      <w:pPr>
        <w:pStyle w:val="a3"/>
        <w:jc w:val="both"/>
      </w:pPr>
      <w:r>
        <w:tab/>
        <w:t>различного имущества (здания, сооружения, оборудование и др.);</w:t>
      </w:r>
    </w:p>
    <w:p w:rsidR="00AE39D8" w:rsidRDefault="00AE39D8">
      <w:pPr>
        <w:pStyle w:val="a3"/>
        <w:jc w:val="both"/>
      </w:pPr>
      <w:r>
        <w:tab/>
        <w:t>прав пользования землей, водой и другими природными ресурсами, зданиями, сооружениями, оборудованием;</w:t>
      </w:r>
    </w:p>
    <w:p w:rsidR="00AE39D8" w:rsidRDefault="00AE39D8">
      <w:pPr>
        <w:pStyle w:val="a3"/>
        <w:jc w:val="both"/>
      </w:pPr>
      <w:r>
        <w:tab/>
        <w:t>иных имущественных прав, в том числе на использование изобретений, ноу-хау, авторского права на произведение искусства и т.д.  (важно, чтобы эти права были отчуждаемы, т.е. могли передаваться  с целью удовлетворения претензий кредиторов).</w:t>
      </w:r>
    </w:p>
    <w:p w:rsidR="00AE39D8" w:rsidRDefault="00AE39D8">
      <w:pPr>
        <w:pStyle w:val="a3"/>
        <w:jc w:val="both"/>
      </w:pPr>
      <w:r>
        <w:tab/>
        <w:t>Стоимость вносимого имущества или имущественного права определяется совместным решением участников общества. При оплате дополнительных акций и иных ценных бумаг общества этими средствами их денежная оценка производится советом директоров (наблюдательным советом) общества в порядке, предусмотренном ст. 77 Закона об акционерных обществах. Детально и подробно правила оценки целесообразно изложить в специальном корпоративном акте. Участник может передать обществу имущество не в собственность, а только в пользование. В этом случае вклад определяется величиной арендной платы за весь период или иной срок, указанный в учредительных документах; время аренды не может превышать срока деятельности акционерного общества.</w:t>
      </w:r>
    </w:p>
    <w:p w:rsidR="00AE39D8" w:rsidRDefault="00AE39D8">
      <w:pPr>
        <w:pStyle w:val="a3"/>
        <w:jc w:val="both"/>
      </w:pPr>
      <w:r>
        <w:tab/>
        <w:t>Во избежание фикций вся сумма объявленного уставного капитала должна быть распределена между учредителями коммерческой организации к дате его регистрации: наличие на этот момент акций, предназначенных к размещению путем открытой подписки, продажи, не допускается. Согласно Закону об акционерных обществах уставный капитал должен быть оплачен на 50% в течение первых 30 дней после выдачи временного свидетельства о регистрации акционерного общества и полностью – в течение первого года деятельности акционерного общества (если иное не установлено Федеральным законом о государственной регистрации юридических лиц); в противном случае общество либо признается не состоявшимся, либо следует уменьшить объявленный уставный фонд до его фактического размера.</w:t>
      </w:r>
    </w:p>
    <w:p w:rsidR="00AE39D8" w:rsidRDefault="00AE39D8">
      <w:pPr>
        <w:pStyle w:val="a3"/>
        <w:jc w:val="both"/>
      </w:pPr>
      <w:r>
        <w:tab/>
        <w:t>Дополнительные акции общества должны быть оплачены в срок, предусмотренный решением об их размещении, но не позднее одного года с момента выпуска. Если форма оплаты акций общества при его учреждении определяется договором о его создании или уставом, то форма оплаты дополнительных акций или иных ценных бумаг – решением об их размещении.</w:t>
      </w:r>
    </w:p>
    <w:p w:rsidR="00AE39D8" w:rsidRDefault="00AE39D8">
      <w:pPr>
        <w:pStyle w:val="a3"/>
        <w:jc w:val="both"/>
      </w:pPr>
      <w:r>
        <w:tab/>
        <w:t>При денежной форме оплаты дополнительных акций сразу должно быть внесено не менее 25% их номинальной стоимости.</w:t>
      </w:r>
    </w:p>
    <w:p w:rsidR="00AE39D8" w:rsidRDefault="00AE39D8">
      <w:pPr>
        <w:pStyle w:val="a3"/>
        <w:jc w:val="both"/>
      </w:pPr>
      <w:r>
        <w:tab/>
        <w:t>При не денежной форме акции и иные ценные бумаги оплачиваются во время их приобретения полностью (если иное не установлено договором о создании общества или решением о размещении дополнительных акций).</w:t>
      </w:r>
    </w:p>
    <w:p w:rsidR="00AE39D8" w:rsidRDefault="00AE39D8">
      <w:pPr>
        <w:pStyle w:val="a3"/>
        <w:jc w:val="both"/>
      </w:pPr>
      <w:r>
        <w:tab/>
        <w:t>В силу своей стабильности уставный фонд покрывает, как правило, наименее ликвидные активы – такие, как земля, недвижимость, оборудование. В случае создания нового акционерного общества на средства, поступившие от продажи акций (уставный капитал), вначале приобретаются основные средства: здания, сооружения, машины и оборудование, вычислительная техника и др.—активы, которые не предназначены для продажи. Они употребляются в неизменной натуральной форме в течение длительного периода, на протяжении которого их стоимость по частям переносится на выпускаемую продукцию.</w:t>
      </w:r>
    </w:p>
    <w:p w:rsidR="00AE39D8" w:rsidRDefault="00AE39D8">
      <w:pPr>
        <w:pStyle w:val="a3"/>
        <w:jc w:val="both"/>
      </w:pPr>
      <w:r>
        <w:tab/>
        <w:t>Оборотные средства акционерного общества, включающие наличные денежные и такие активы, которые в процессе производства могут быстро превратиться в наличность, имеют, как правило, адекватное покрытие – это краткосрочная задолженность в виде векселя или банковского кредита. Кроме того, по результатам хозяйственной деятельности общество может получить прибыль. Она идет либо на выплату дивидендов, либо на развитие производства, либо одновременно на то и другое в определенной пропорции.</w:t>
      </w:r>
    </w:p>
    <w:p w:rsidR="00AE39D8" w:rsidRDefault="00AE39D8">
      <w:pPr>
        <w:pStyle w:val="a3"/>
        <w:jc w:val="both"/>
      </w:pPr>
      <w:r>
        <w:tab/>
        <w:t>Распределение прибыли является самостоятельным финансовым потоком, как правило, не затрагивающим уставного капитала акционерного общества.</w:t>
      </w:r>
    </w:p>
    <w:p w:rsidR="00AE39D8" w:rsidRDefault="00AE39D8">
      <w:pPr>
        <w:pStyle w:val="a3"/>
        <w:jc w:val="both"/>
      </w:pPr>
    </w:p>
    <w:p w:rsidR="00AE39D8" w:rsidRDefault="00AE39D8">
      <w:pPr>
        <w:pStyle w:val="a3"/>
        <w:rPr>
          <w:b/>
        </w:rPr>
      </w:pPr>
      <w:r>
        <w:rPr>
          <w:b/>
        </w:rPr>
        <w:t>Порядок изменения размера уставного капитала.</w:t>
      </w:r>
    </w:p>
    <w:p w:rsidR="00AE39D8" w:rsidRDefault="00AE39D8">
      <w:pPr>
        <w:pStyle w:val="a3"/>
        <w:jc w:val="both"/>
      </w:pPr>
      <w:r>
        <w:tab/>
      </w:r>
    </w:p>
    <w:p w:rsidR="00AE39D8" w:rsidRDefault="00AE39D8">
      <w:pPr>
        <w:pStyle w:val="a3"/>
        <w:jc w:val="both"/>
      </w:pPr>
      <w:r>
        <w:tab/>
        <w:t>Этот вопрос регулируется законодательно лишь по основным параметрам, детальную же проработку применительно к особенностям конкретной коммерческой организации он находит в специальном корпоративном нормативном акте, обычно так и называемом: Положение о порядке увеличения (уменьшения) уставного капитала.</w:t>
      </w:r>
    </w:p>
    <w:p w:rsidR="00AE39D8" w:rsidRDefault="00AE39D8">
      <w:pPr>
        <w:pStyle w:val="a3"/>
        <w:jc w:val="both"/>
      </w:pPr>
      <w:r>
        <w:tab/>
        <w:t>Согласно ст. 48 Закона об акционерных обществах увеличение или уменьшение уставного капитала относится к исключительной компетенции общего собрания акционеров, но в соответствии с уставом акционерного общества или решением общего собрания это право может иметь и совет директоров.</w:t>
      </w:r>
      <w:r>
        <w:tab/>
      </w:r>
    </w:p>
    <w:p w:rsidR="00AE39D8" w:rsidRDefault="00AE39D8">
      <w:pPr>
        <w:pStyle w:val="a3"/>
        <w:jc w:val="both"/>
      </w:pPr>
      <w:r>
        <w:tab/>
        <w:t>Увеличение уставного капитала осуществляется, согласно ГК Российской Федерации (как и Закону об акционерных обществах), двумя способами:</w:t>
      </w:r>
    </w:p>
    <w:p w:rsidR="00AE39D8" w:rsidRDefault="00AE39D8">
      <w:pPr>
        <w:pStyle w:val="a3"/>
        <w:jc w:val="both"/>
      </w:pPr>
      <w:r>
        <w:tab/>
        <w:t>путем повышения номинальной стоимости акций;</w:t>
      </w:r>
    </w:p>
    <w:p w:rsidR="00AE39D8" w:rsidRDefault="00AE39D8">
      <w:pPr>
        <w:pStyle w:val="a3"/>
        <w:jc w:val="both"/>
      </w:pPr>
      <w:r>
        <w:tab/>
        <w:t>путем выпуска дополнительных акций.</w:t>
      </w:r>
    </w:p>
    <w:p w:rsidR="00AE39D8" w:rsidRDefault="00AE39D8">
      <w:pPr>
        <w:pStyle w:val="a3"/>
        <w:ind w:firstLine="720"/>
        <w:jc w:val="both"/>
      </w:pPr>
      <w:r>
        <w:t>Общество регистрирует выпуск тех и других акций в Министерстве финансов Российской Федерации (если они суммарно оценены в 50 миллионов руб. и более) или его органах по месту нахождения общества (при менее 50 миллионов руб.), т.е. министерствах финансов или финансовых управлениях субъектов Федерации.</w:t>
      </w:r>
    </w:p>
    <w:p w:rsidR="00AE39D8" w:rsidRDefault="00AE39D8">
      <w:pPr>
        <w:pStyle w:val="a3"/>
        <w:ind w:firstLine="720"/>
        <w:jc w:val="both"/>
      </w:pPr>
      <w:r>
        <w:t>Повышение номинала влечет замену бывших в обращении акций и сертификатов, а также внесение соответствующих поправок в реестр акционеров.</w:t>
      </w:r>
    </w:p>
    <w:p w:rsidR="00AE39D8" w:rsidRDefault="00AE39D8">
      <w:pPr>
        <w:pStyle w:val="a3"/>
        <w:ind w:firstLine="720"/>
        <w:jc w:val="both"/>
      </w:pPr>
      <w:r>
        <w:t>Дополнительные акции выпускаются только после полной оплаты уставного капитала и не должны служить для покрытия понесенных убытков; акционерам может предоставляться преимущественное право на их покупку.</w:t>
      </w:r>
    </w:p>
    <w:p w:rsidR="00AE39D8" w:rsidRDefault="00AE39D8">
      <w:pPr>
        <w:pStyle w:val="a3"/>
        <w:ind w:firstLine="720"/>
        <w:jc w:val="both"/>
      </w:pPr>
      <w:r>
        <w:t>Всякая подписка на акции сопровождается принятием множества корпоративных актов. Назовем лишь некоторые типовые: Извещение об открытой подписке на акции акционерного общества, Обязательство о продаже соответствующего количества акций акционерам акционерного общества, Свидетельство о взносах в счет приобретения акций акционерного общества, Об ограничениях на подписку на акции акционерного общества и др.</w:t>
      </w:r>
    </w:p>
    <w:p w:rsidR="00AE39D8" w:rsidRDefault="00AE39D8">
      <w:pPr>
        <w:pStyle w:val="a3"/>
        <w:ind w:firstLine="720"/>
        <w:jc w:val="both"/>
      </w:pPr>
      <w:r>
        <w:t>Увеличение уставного капитала направлено в основном на то, чтобы привлечь дополнительные средства и ликвидировать разрыв между величиной акционерного капитала и фактическим имуществом коммерческой организации (такой разрыв является весьма убедительным показателем роста прибыли и падающего на акцию дивиденда, что утяжеляет налоговое бремя.)</w:t>
      </w:r>
    </w:p>
    <w:p w:rsidR="00AE39D8" w:rsidRDefault="00AE39D8">
      <w:pPr>
        <w:pStyle w:val="a3"/>
        <w:ind w:firstLine="720"/>
        <w:jc w:val="both"/>
      </w:pPr>
      <w:r>
        <w:t>Уменьшение уставного капитала позволяет:</w:t>
      </w:r>
    </w:p>
    <w:p w:rsidR="00AE39D8" w:rsidRDefault="00AE39D8">
      <w:pPr>
        <w:pStyle w:val="a3"/>
        <w:numPr>
          <w:ilvl w:val="0"/>
          <w:numId w:val="2"/>
        </w:numPr>
        <w:jc w:val="both"/>
      </w:pPr>
      <w:r>
        <w:t>избавиться от его излишков в форме выплаты дивидендов;</w:t>
      </w:r>
    </w:p>
    <w:p w:rsidR="00AE39D8" w:rsidRDefault="00AE39D8">
      <w:pPr>
        <w:pStyle w:val="a3"/>
        <w:numPr>
          <w:ilvl w:val="0"/>
          <w:numId w:val="2"/>
        </w:numPr>
        <w:jc w:val="both"/>
      </w:pPr>
      <w:r>
        <w:t>списать убытки.</w:t>
      </w:r>
    </w:p>
    <w:p w:rsidR="00AE39D8" w:rsidRDefault="00AE39D8">
      <w:pPr>
        <w:pStyle w:val="a3"/>
        <w:ind w:left="720"/>
        <w:jc w:val="both"/>
      </w:pPr>
      <w:r>
        <w:t>Что касается первой цели, то речь идет о случаях, когда по тем</w:t>
      </w:r>
    </w:p>
    <w:p w:rsidR="00AE39D8" w:rsidRDefault="00AE39D8">
      <w:pPr>
        <w:pStyle w:val="a3"/>
        <w:jc w:val="both"/>
      </w:pPr>
      <w:r>
        <w:t>или иным причинам превысил оптимум. Разместить излишнюю часть между акционерами нельзя, ибо она связана – обратная выплата вкладов не допускается, но, уменьшив уставный капитал, можно освободить эту часть и распоряжаться ею либо путем выплаты дивидендов, либо переводом в резерв.</w:t>
      </w:r>
    </w:p>
    <w:p w:rsidR="00AE39D8" w:rsidRDefault="00AE39D8">
      <w:pPr>
        <w:pStyle w:val="a3"/>
        <w:jc w:val="both"/>
      </w:pPr>
      <w:r>
        <w:tab/>
        <w:t>Вторая цель преследуется тогда, когда в результате понесенных убытков стоимость фактически оставшегося имущества оказалась существенно ниже объявленного уставного капитала. Такое несоответствие, во-первых, может привести к принудительной, согласно закону, ликвидации общества, во-вторых, к неправомочности распределять полученную впоследствии прибыль до тех пор, пока указанное несоответствие не будет устранено.</w:t>
      </w:r>
    </w:p>
    <w:p w:rsidR="00AE39D8" w:rsidRDefault="00AE39D8">
      <w:pPr>
        <w:pStyle w:val="a3"/>
        <w:jc w:val="both"/>
      </w:pPr>
      <w:r>
        <w:tab/>
        <w:t>Закон об акционерных обществах допускает два способа уменьшения уставного капитала:</w:t>
      </w:r>
    </w:p>
    <w:p w:rsidR="00AE39D8" w:rsidRDefault="00AE39D8">
      <w:pPr>
        <w:pStyle w:val="a3"/>
        <w:numPr>
          <w:ilvl w:val="0"/>
          <w:numId w:val="3"/>
        </w:numPr>
        <w:jc w:val="both"/>
      </w:pPr>
      <w:r>
        <w:t>снижение номинальной стоимости акций;</w:t>
      </w:r>
    </w:p>
    <w:p w:rsidR="00AE39D8" w:rsidRDefault="00AE39D8">
      <w:pPr>
        <w:pStyle w:val="a3"/>
        <w:numPr>
          <w:ilvl w:val="0"/>
          <w:numId w:val="3"/>
        </w:numPr>
        <w:jc w:val="both"/>
      </w:pPr>
      <w:r>
        <w:t>сокращение общего количества акций, в том числе путем приобретения и погашения части акций самим АО в случаях, предусмотренных уставом АО.</w:t>
      </w:r>
    </w:p>
    <w:p w:rsidR="00AE39D8" w:rsidRDefault="00AE39D8">
      <w:pPr>
        <w:pStyle w:val="a3"/>
        <w:ind w:left="720"/>
        <w:jc w:val="both"/>
      </w:pPr>
      <w:r>
        <w:t>Более справедливым считается первый способ, так как при нем</w:t>
      </w:r>
    </w:p>
    <w:p w:rsidR="00AE39D8" w:rsidRDefault="00AE39D8">
      <w:pPr>
        <w:pStyle w:val="a3"/>
        <w:jc w:val="both"/>
      </w:pPr>
      <w:r>
        <w:t>все акционеры находятся в одинаковом положении. При втором способе каждый акционер получает столько акций, сколько решит общее собрание, что, как правило, ущемляет интересы мелких вкладчиков.</w:t>
      </w:r>
    </w:p>
    <w:p w:rsidR="00AE39D8" w:rsidRDefault="00AE39D8">
      <w:pPr>
        <w:pStyle w:val="a3"/>
        <w:jc w:val="both"/>
      </w:pPr>
      <w:r>
        <w:tab/>
        <w:t>Предполагаемое уменьшение уставного капитала акционерного общества ниже указанного предела может быть осуществлено лишь путем реорганизации акционерного общества в общество с ограниченной ответственностью или в производственный кооператив. Закон запрещает уменьшение уставного капитала закрытого акционерного общества ниже суммы установленного минимума. Ведь это означает отсутствие у общества даже минимально необходимого имущества, что, в свою очередь, требует его ликвидации, в том числе путем банкротства.</w:t>
      </w:r>
    </w:p>
    <w:p w:rsidR="00AE39D8" w:rsidRDefault="00AE39D8">
      <w:pPr>
        <w:pStyle w:val="a3"/>
        <w:jc w:val="both"/>
      </w:pPr>
      <w:r>
        <w:tab/>
        <w:t>Согласно ст.30 Закона общество не позднее 30 дней с момента, когда принято решение уменьшить уставный капитал, в письменной форме уведомляет об этом своих кредиторов. Кредиторы не позднее 30 дней с даты отправки уведомления вправе потребовать от общества прекратить или досрочно исполнить его обязательства. Решение о досрочном прекращении или досрочном исполнении и возмещении убытков принимает сам кредитор. Сообщение кредитора об избранном им варианте изменения обязательства (в частности, о включении в решение условий о дополнительном обеспечении его обязательств, например, путем залога, поручительства или банковской гарантии) предоставляет собой лишь предложение кредитора, принятие которого зависит от общества. Установленный кредитору тридцатидневный срок начинается с момента направления уведомления об уменьшении уставного капитала коммерческой организации. Поэтому момент получения кредитором извещения не учитывается, кроме тех случаев, когда кредитор сможет доказать, что в указанный тридцатидневный срок он не получал извещения. Если общество не выполнит свои обязанности и не направит извещение относительно состоявшегося решения об уменьшении уставного капитала, кредитор вправе, предварительно обратившись к обществу с требованием о прекращении или досрочном исполнении обязательства и возмещении связанных с этим убытков, заявить эти свои требования в суд или потребовать в суде признания недействительной регистрации решения об уменьшении уставного капитала общества. Закон требует уведомлять об уменьшении уставного капитала не всех вообще, лишь всех известных обществу кредиторов. В отношении остальных (неизвестных обществу) кредиторов оно вправе ограничиться публикацией в соответствующем органе печати. Предполагается, что такой подход в большей мере соответствует практическим потребностям общества, которые иногда, например, не знает и не может установить место нахождения некоторых своих кредиторов (хотя они и известны ему). Следует также отменить, что по смыслу закона число кредиторов общества входят лишь его контрагенты по гражданско-правовым договорным и иным обязательствам, ибо кредитор есть сторона в гражданско-правовом обязательстве. Статья 307 ГК РФ п.1 гласит: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Pr>
          <w:rStyle w:val="a7"/>
        </w:rPr>
        <w:footnoteReference w:id="9"/>
      </w:r>
      <w:r>
        <w:t xml:space="preserve"> К их числу не относятся, в частности, налоговые органы или работники общества, находящиеся с ним в трудовых отношениях (которых, следовательно, не требуется извещать об уменьшении уставного капитала общества, и которые не приобретают в этом случае право требовать досрочного исполнения имеющихся перед ними у общества обязательств публично-правового или трудового характера). Орган, осуществляющий государственную регистрацию юридических лиц, вправе отказать во внесении в учредительные документы изменений, связанных с уменьшением уставного капитала общества, при отсутствии доказательств уведомления об этом кредиторов общества (копии извещений, газетной публикации и т.п.). В этом случае уменьшение уставного капитала следует считать несостоявшимся.</w:t>
      </w:r>
    </w:p>
    <w:p w:rsidR="00AE39D8" w:rsidRDefault="00AE39D8">
      <w:pPr>
        <w:pStyle w:val="a3"/>
        <w:jc w:val="both"/>
      </w:pPr>
    </w:p>
    <w:p w:rsidR="00AE39D8" w:rsidRDefault="00AE39D8">
      <w:pPr>
        <w:pStyle w:val="a3"/>
        <w:rPr>
          <w:b/>
        </w:rPr>
      </w:pPr>
      <w:r>
        <w:rPr>
          <w:b/>
        </w:rPr>
        <w:t>Распределение уставного капитала при реорганизации и ликвидации коммерческих организаций.</w:t>
      </w:r>
    </w:p>
    <w:p w:rsidR="00AE39D8" w:rsidRDefault="00AE39D8">
      <w:pPr>
        <w:pStyle w:val="a3"/>
        <w:jc w:val="both"/>
        <w:rPr>
          <w:b/>
        </w:rPr>
      </w:pPr>
    </w:p>
    <w:p w:rsidR="00AE39D8" w:rsidRDefault="00AE39D8">
      <w:pPr>
        <w:pStyle w:val="a3"/>
        <w:jc w:val="both"/>
      </w:pPr>
      <w:r>
        <w:tab/>
        <w:t xml:space="preserve">Прекращение деятельности юридического лица происходит в результате его реорганизации (кроме случаев выделения из состава юридического лица другой организации) или ликвидации и, как правило, носит окончательный характер. Реорганизация, как правило, проводится по решению участников коммерческой организации, т.е. добровольно. В зависимости от того, в какой форме проводится реорганизация юридического лица, она оформляется либо разделительным балансом (разделение, выделение) либо передаточным актом (слияние, присоединение, преобразование). Реорганизация существенно затрагивает интересы кредиторов коммерческой организации, коль скоро их должник прекратит свое существование. Поэтому обязательным его условием является предварительное уведомление кредиторов, которые в таком случае вправе требовать прекращения или досрочного выполнения обязательств реорганизуемой коммерческой организации и возмещения убытков. </w:t>
      </w:r>
    </w:p>
    <w:p w:rsidR="00AE39D8" w:rsidRDefault="00AE39D8">
      <w:pPr>
        <w:pStyle w:val="a3"/>
        <w:jc w:val="both"/>
      </w:pPr>
      <w:r>
        <w:tab/>
        <w:t>Ликвидация юридического лица – это способ прекращения его деятельности без перехода прав и обязанностей в порядке правопреемства к другим лицам. Ликвидация может носить как добровольный, так и принудительный характер. В добровольном порядке коммерческая организация ликвидируется по решению его участников или органа юридического лица, уполномоченного на то учредительными документами. Типичными основаниями добровольной ликвидации являются нецелесообразность дальнейшего существования юридического лица, истечение срока, на которой оно было создано, достижение, или напротив принципиальная недостижимость уставных целей организации. Принудительная ликвидация проводится по решению суда, в случаях, когда деятельность юридического лица осуществляется без соответствующего разрешения (лицензии), либо такая деятельность прямо запрещена законом, либо сопряжена с неоднократными или грубыми нарушениями законодательства. Порядок ликвидации коммерческой организации состоит из следующих этапов: участники организации, ее уполномоченный орган или суд, принявшие решение о ликвидации, назначают ликвидационную комиссию, определяют порядок и сроки ликвидации; ликвидационная комиссия публикует в прессе сообщение о ликвидации коммерческой организации, выявляет всех кредиторов и уведомляет их о ликвидации, взыскивает дебиторскую задолженность коммерческой организации; комиссия оценивает состав кредиторской задолженности, принимает решение об удовлетворении выявленных требований и составляет промежуточный ликвидационный баланс; в соответствии с промежуточным балансом удовлетворяются законные требования кредиторов, причем выплаты производятся в порядке очередности установленной гражданским кодексом РФ; после погашения кредиторской задолженности ликвидационная комиссия составляет окончательный ликвидационный баланс и распределяет оставшееся имущество между участниками коммерческой организации.</w:t>
      </w:r>
    </w:p>
    <w:p w:rsidR="00AE39D8" w:rsidRDefault="00AE39D8">
      <w:pPr>
        <w:pStyle w:val="a3"/>
        <w:jc w:val="both"/>
      </w:pPr>
      <w:r>
        <w:tab/>
        <w:t>В соответствии с п.1 ст.8 Федерального Закона «об обществах с ограниченной ответственностью» участник общества вправе: «получить в случае ликвидации общества часть имущества, оставшегося после расчетов с кредиторами, или его стоимость»</w:t>
      </w:r>
      <w:r>
        <w:rPr>
          <w:rStyle w:val="a7"/>
        </w:rPr>
        <w:footnoteReference w:id="10"/>
      </w:r>
      <w:r>
        <w:t xml:space="preserve"> Это право может быть реализовано только после оплаты требований всех кредиторов общества и при условии, что в распоряжении ликвидационной комиссии осталось часть имущества общества. Существует следующая очередность выплат: в первую очередь выплачивается распределенная, но не выплаченная часть прибыли; во вторую очередь между участниками коммерческой организации распределяется оставшееся имущество пропорционально их долям в уставном капитале. При недостаточности имущества для выплаты, распределенной, но не выплаченной части прибыли имущество коммерческой организации распределяется между участниками пропорционально их долям в уставном капитале. Для акционерных обществ установлен особый порядок выплат в случае ликвидации организации. В первую очередь выкупаются акции, в отношении которых возникло право акционера требовать их выкупа (акционеры, не принимавшие участие в голосовании о реорганизации  общества либо голосовавшие против), это право возникает по основаниям не связанным с ликвидацией общества, однако нереализованным к моменту ликвидации. Вторая очередь выплат включает в себя привилегированные акции – производится выплата начисленных по этим акциям дивидендов, которые остались не выплаченными на момент ликвидации, а также определенная уставом общества ликвидационная стоимость по привилегированным акциям. В третью очередь оставшееся имущество поступает для раздела между владельцами обыкновенных акций и владельцами всех типов привилегированных акций, в числе последних окажутся и те владельцы привилегированных акций, которые получили выплаты в качестве участников второй очереди. Если владельцы привилегированных акций получили определенную уставом ликвидационную долю, то в качестве участников третьей очереди они смогут получить дополнительные выплаты только в случае, когда ликвидационная доля, рассчитанная на владельцев обыкновенных акций и других владельцев привилегированных акций, окажется больше, чем полученная ими доля. Среди владельцев привилегированных акций также устанавливается очередность в получении определенной уставом общества ликвидационной стоимости. Выплата производится после полного расчета с владельцами привилегированных акций определенного типа предыдущей очереди. При недостаточности имеющегося имущества общества для полного удовлетворения владельцев привилегированных акций определенного типа (выплаты дивидендов и ликвидационной стоимости, определенной уставом) распределение имущества между ними производится пропорционально количеству принадлежащих им привилегированных акций этого типа. </w:t>
      </w:r>
    </w:p>
    <w:p w:rsidR="00AE39D8" w:rsidRDefault="00AE39D8">
      <w:pPr>
        <w:pStyle w:val="a3"/>
        <w:jc w:val="both"/>
      </w:pPr>
      <w:r>
        <w:tab/>
        <w:t>Расчеты, производимые при ликвидации коммерческой организации и распределение его имущества между акционерами, требуют денежной оценки оставшегося после удовлетворения кредиторов имущества. Выплаты ликвидационной стоимости осуществляются, как правило, в деньгах. Однако закон не запрещает выдачу ликвидационной стоимости в натуре.</w:t>
      </w:r>
    </w:p>
    <w:p w:rsidR="00AE39D8" w:rsidRDefault="00AE39D8">
      <w:pPr>
        <w:pStyle w:val="a3"/>
      </w:pPr>
      <w:r>
        <w:br w:type="page"/>
        <w:t>Список используемой литературы</w:t>
      </w:r>
    </w:p>
    <w:p w:rsidR="00AE39D8" w:rsidRDefault="00AE39D8">
      <w:pPr>
        <w:pStyle w:val="a3"/>
        <w:jc w:val="both"/>
      </w:pPr>
    </w:p>
    <w:p w:rsidR="00AE39D8" w:rsidRDefault="00AE39D8">
      <w:pPr>
        <w:pStyle w:val="a3"/>
        <w:numPr>
          <w:ilvl w:val="0"/>
          <w:numId w:val="4"/>
        </w:numPr>
        <w:jc w:val="both"/>
      </w:pPr>
      <w:r>
        <w:t>Кашанина Т.В., Сударькова Е.А. Акционерное право. Практический курс.—М.: Издательская группа ИНФРА</w:t>
      </w:r>
      <w:r>
        <w:sym w:font="Symbol" w:char="F0B7"/>
      </w:r>
      <w:r>
        <w:t>М – НОРМА, 1997.</w:t>
      </w:r>
    </w:p>
    <w:p w:rsidR="00AE39D8" w:rsidRDefault="00AE39D8">
      <w:pPr>
        <w:pStyle w:val="a3"/>
        <w:numPr>
          <w:ilvl w:val="0"/>
          <w:numId w:val="4"/>
        </w:numPr>
        <w:jc w:val="both"/>
      </w:pPr>
      <w:r>
        <w:t>Предприятие – банкрот./ Под ред. Д.Ф. Рысиной.—М.: «Издательство Приор» 1998.</w:t>
      </w:r>
    </w:p>
    <w:p w:rsidR="00AE39D8" w:rsidRDefault="00AE39D8">
      <w:pPr>
        <w:pStyle w:val="a3"/>
        <w:numPr>
          <w:ilvl w:val="0"/>
          <w:numId w:val="4"/>
        </w:numPr>
        <w:jc w:val="both"/>
      </w:pPr>
      <w:r>
        <w:t>Гражданское право. Ч.1. Учебник/ Под ред. Ю.К. Толстого, А.П. Сергеева.—М.: Издательство ТЕИС, 1996.</w:t>
      </w:r>
    </w:p>
    <w:p w:rsidR="00AE39D8" w:rsidRDefault="00AE39D8">
      <w:pPr>
        <w:pStyle w:val="a3"/>
        <w:numPr>
          <w:ilvl w:val="0"/>
          <w:numId w:val="4"/>
        </w:numPr>
        <w:jc w:val="both"/>
      </w:pPr>
      <w:r>
        <w:t>Коммерческое право: учебник/ А.Ю. Бушев, О.А. Городов, Н.С. Ковалевская и др.; под ред. В.Ф. Попондопуло, В.Ф. Яковлевой.—СПб.: Издательство Санкт-Петербургского университета, 1997.</w:t>
      </w:r>
    </w:p>
    <w:p w:rsidR="00AE39D8" w:rsidRDefault="00AE39D8">
      <w:pPr>
        <w:pStyle w:val="a3"/>
        <w:numPr>
          <w:ilvl w:val="0"/>
          <w:numId w:val="4"/>
        </w:numPr>
        <w:jc w:val="both"/>
      </w:pPr>
      <w:r>
        <w:t>Комментарий к Гражданскому Кодексу РФ, ч.1/ Отв. Ред. О.Н. Садиков.—М.: 1996.</w:t>
      </w:r>
    </w:p>
    <w:p w:rsidR="00AE39D8" w:rsidRDefault="00AE39D8">
      <w:pPr>
        <w:pStyle w:val="a3"/>
        <w:numPr>
          <w:ilvl w:val="0"/>
          <w:numId w:val="4"/>
        </w:numPr>
        <w:jc w:val="both"/>
      </w:pPr>
      <w:r>
        <w:t>Комментарий к Федеральному Закону «об акционерных обществах»/ под ред. Г. С. Шапкиной.—М.: Издательство БЕК, 1996.</w:t>
      </w:r>
    </w:p>
    <w:p w:rsidR="00AE39D8" w:rsidRDefault="00AE39D8">
      <w:pPr>
        <w:pStyle w:val="a3"/>
        <w:numPr>
          <w:ilvl w:val="0"/>
          <w:numId w:val="4"/>
        </w:numPr>
        <w:jc w:val="both"/>
      </w:pPr>
      <w:r>
        <w:t>Комментарий к Федеральному Закону «об обществах с ограниченной ответственностью» (постатейный)/ рук. Авт. Колл. И отв. Ред. Д.Ю.Н. В.В. Залесский.—М.: Юридическая фирма КОНТРАКТ; ИНФРА</w:t>
      </w:r>
      <w:r>
        <w:sym w:font="Symbol" w:char="F0B7"/>
      </w:r>
      <w:r>
        <w:t>М, 1998.</w:t>
      </w:r>
    </w:p>
    <w:p w:rsidR="00AE39D8" w:rsidRDefault="00AE39D8">
      <w:pPr>
        <w:pStyle w:val="a3"/>
        <w:numPr>
          <w:ilvl w:val="0"/>
          <w:numId w:val="4"/>
        </w:numPr>
        <w:jc w:val="both"/>
      </w:pPr>
      <w:r>
        <w:t>Сборник постановлений Пленумов Верховных Судов СССР и РСФСР (РФ) по гражданским делам.—М.: Издательство «СПАРК», 1997.</w:t>
      </w:r>
    </w:p>
    <w:p w:rsidR="00AE39D8" w:rsidRDefault="00AE39D8">
      <w:pPr>
        <w:pStyle w:val="a3"/>
        <w:numPr>
          <w:ilvl w:val="0"/>
          <w:numId w:val="4"/>
        </w:numPr>
        <w:jc w:val="both"/>
      </w:pPr>
      <w:r>
        <w:t>Собрание законодательства Российской Федерации. 1994. №11.</w:t>
      </w:r>
      <w:bookmarkStart w:id="0" w:name="_GoBack"/>
      <w:bookmarkEnd w:id="0"/>
    </w:p>
    <w:sectPr w:rsidR="00AE39D8">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9D8" w:rsidRDefault="00AE39D8">
      <w:r>
        <w:separator/>
      </w:r>
    </w:p>
  </w:endnote>
  <w:endnote w:type="continuationSeparator" w:id="0">
    <w:p w:rsidR="00AE39D8" w:rsidRDefault="00A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9D8" w:rsidRDefault="00AE39D8">
      <w:r>
        <w:separator/>
      </w:r>
    </w:p>
  </w:footnote>
  <w:footnote w:type="continuationSeparator" w:id="0">
    <w:p w:rsidR="00AE39D8" w:rsidRDefault="00AE39D8">
      <w:r>
        <w:continuationSeparator/>
      </w:r>
    </w:p>
  </w:footnote>
  <w:footnote w:id="1">
    <w:p w:rsidR="00AE39D8" w:rsidRDefault="00AE39D8">
      <w:pPr>
        <w:pStyle w:val="a6"/>
      </w:pPr>
      <w:r>
        <w:rPr>
          <w:rStyle w:val="a7"/>
        </w:rPr>
        <w:footnoteRef/>
      </w:r>
      <w:r>
        <w:t xml:space="preserve"> Комментарий к Гражданскому кодексу Российской федерации, части первой / Отв. Ред. О. Н. Садиков. - М.: 1996. с.91.</w:t>
      </w:r>
    </w:p>
  </w:footnote>
  <w:footnote w:id="2">
    <w:p w:rsidR="00AE39D8" w:rsidRDefault="00AE39D8">
      <w:pPr>
        <w:pStyle w:val="a6"/>
      </w:pPr>
      <w:r>
        <w:rPr>
          <w:rStyle w:val="a7"/>
        </w:rPr>
        <w:footnoteRef/>
      </w:r>
      <w:r>
        <w:t xml:space="preserve"> Гражданское право. Часть 1. Учебник/Под . ред. Ю. К. Толстого, А. П. Сергеева. – М.: Издательство ТЕИС, 1996. с.109.</w:t>
      </w:r>
    </w:p>
  </w:footnote>
  <w:footnote w:id="3">
    <w:p w:rsidR="00AE39D8" w:rsidRDefault="00AE39D8">
      <w:pPr>
        <w:pStyle w:val="a6"/>
      </w:pPr>
      <w:r>
        <w:rPr>
          <w:rStyle w:val="a7"/>
        </w:rPr>
        <w:footnoteRef/>
      </w:r>
      <w:r>
        <w:t xml:space="preserve"> Коммерческое право: Учебник / А. Ю. Бушев, О. А. Городов, Н. С. Ковалевская и др.; Под ред. В. Ф. Попондопуло, В. Ф. Яковлевой. – СПб., Издательство С.-Петербургского университета, 1997. с. 58-59.</w:t>
      </w:r>
    </w:p>
  </w:footnote>
  <w:footnote w:id="4">
    <w:p w:rsidR="00AE39D8" w:rsidRDefault="00AE39D8">
      <w:pPr>
        <w:pStyle w:val="a6"/>
      </w:pPr>
      <w:r>
        <w:rPr>
          <w:rStyle w:val="a7"/>
        </w:rPr>
        <w:footnoteRef/>
      </w:r>
      <w:r>
        <w:t xml:space="preserve"> Собрание Законодательства РФ. 1994. №11. Ст.1194.</w:t>
      </w:r>
    </w:p>
  </w:footnote>
  <w:footnote w:id="5">
    <w:p w:rsidR="00AE39D8" w:rsidRDefault="00AE39D8">
      <w:pPr>
        <w:pStyle w:val="a6"/>
      </w:pPr>
      <w:r>
        <w:rPr>
          <w:rStyle w:val="a7"/>
        </w:rPr>
        <w:footnoteRef/>
      </w:r>
      <w:r>
        <w:t xml:space="preserve"> Сборник постановлений Пленумов Верховных Судов СССР РСФСР (РФ) по гражданским делам. – М.: Издательство «Спарк», 1997. С. 368.</w:t>
      </w:r>
    </w:p>
  </w:footnote>
  <w:footnote w:id="6">
    <w:p w:rsidR="00AE39D8" w:rsidRDefault="00AE39D8">
      <w:pPr>
        <w:pStyle w:val="a6"/>
      </w:pPr>
      <w:r>
        <w:rPr>
          <w:rStyle w:val="a7"/>
        </w:rPr>
        <w:footnoteRef/>
      </w:r>
      <w:r>
        <w:t xml:space="preserve"> Собрание законодательства РФ. 1996. №36. Ст.492.</w:t>
      </w:r>
    </w:p>
  </w:footnote>
  <w:footnote w:id="7">
    <w:p w:rsidR="00AE39D8" w:rsidRDefault="00AE39D8">
      <w:pPr>
        <w:pStyle w:val="a6"/>
      </w:pPr>
      <w:r>
        <w:rPr>
          <w:rStyle w:val="a7"/>
        </w:rPr>
        <w:footnoteRef/>
      </w:r>
      <w:r>
        <w:t xml:space="preserve"> Предприятие- банкрот. Под. ред. Д.Ф. Рысина. Издательство «Приор». М.-1998. С. 11.</w:t>
      </w:r>
    </w:p>
  </w:footnote>
  <w:footnote w:id="8">
    <w:p w:rsidR="00AE39D8" w:rsidRDefault="00AE39D8">
      <w:pPr>
        <w:pStyle w:val="a6"/>
      </w:pPr>
      <w:r>
        <w:rPr>
          <w:rStyle w:val="a7"/>
        </w:rPr>
        <w:footnoteRef/>
      </w:r>
      <w:r>
        <w:t xml:space="preserve"> Комментарий к Федеральному закону об акционерных обществах. / Под. ред. Г.С. Шапкиной.- М.: Издательство БЕК, 1996. С.174.</w:t>
      </w:r>
    </w:p>
  </w:footnote>
  <w:footnote w:id="9">
    <w:p w:rsidR="00AE39D8" w:rsidRDefault="00AE39D8">
      <w:pPr>
        <w:pStyle w:val="a6"/>
      </w:pPr>
      <w:r>
        <w:rPr>
          <w:rStyle w:val="a7"/>
        </w:rPr>
        <w:footnoteRef/>
      </w:r>
      <w:r>
        <w:t xml:space="preserve"> Комментарий к Гражданскому Кодексу Российской Федерации ч.1/Отв. ред. О.Н.Садиков.—М.: 1996. С.329.</w:t>
      </w:r>
    </w:p>
  </w:footnote>
  <w:footnote w:id="10">
    <w:p w:rsidR="00AE39D8" w:rsidRDefault="00AE39D8">
      <w:pPr>
        <w:pStyle w:val="a6"/>
      </w:pPr>
      <w:r>
        <w:rPr>
          <w:rStyle w:val="a7"/>
        </w:rPr>
        <w:footnoteRef/>
      </w:r>
      <w:r>
        <w:t xml:space="preserve"> Комментарий к Федеральному Закону «об акционерных обществах с ограниченной ответственностью» (постатейный)/Рук. авт. Колл. И отв. Ред. Д.Ю.Н. В.В. Залесский.—М.: Юридическая фирма КОНТРАКТ; ИНФРА</w:t>
      </w:r>
      <w:r>
        <w:sym w:font="Symbol" w:char="F0B7"/>
      </w:r>
      <w:r>
        <w:t>М, 1998. С.30.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D8" w:rsidRDefault="00AE39D8">
    <w:pPr>
      <w:pStyle w:val="a4"/>
      <w:framePr w:wrap="around" w:vAnchor="text" w:hAnchor="margin" w:xAlign="center" w:y="1"/>
      <w:rPr>
        <w:rStyle w:val="a5"/>
      </w:rPr>
    </w:pPr>
    <w:r>
      <w:rPr>
        <w:rStyle w:val="a5"/>
        <w:noProof/>
      </w:rPr>
      <w:t>15</w:t>
    </w:r>
  </w:p>
  <w:p w:rsidR="00AE39D8" w:rsidRDefault="00AE39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D8" w:rsidRDefault="007D6409">
    <w:pPr>
      <w:pStyle w:val="a4"/>
      <w:framePr w:wrap="around" w:vAnchor="text" w:hAnchor="margin" w:xAlign="center" w:y="1"/>
      <w:rPr>
        <w:rStyle w:val="a5"/>
      </w:rPr>
    </w:pPr>
    <w:r>
      <w:rPr>
        <w:rStyle w:val="a5"/>
        <w:noProof/>
      </w:rPr>
      <w:t>2</w:t>
    </w:r>
  </w:p>
  <w:p w:rsidR="00AE39D8" w:rsidRDefault="00AE39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862"/>
    <w:multiLevelType w:val="singleLevel"/>
    <w:tmpl w:val="F4062462"/>
    <w:lvl w:ilvl="0">
      <w:start w:val="1"/>
      <w:numFmt w:val="decimal"/>
      <w:lvlText w:val="%1)"/>
      <w:lvlJc w:val="left"/>
      <w:pPr>
        <w:tabs>
          <w:tab w:val="num" w:pos="1080"/>
        </w:tabs>
        <w:ind w:left="1080" w:hanging="360"/>
      </w:pPr>
      <w:rPr>
        <w:rFonts w:hint="default"/>
      </w:rPr>
    </w:lvl>
  </w:abstractNum>
  <w:abstractNum w:abstractNumId="1">
    <w:nsid w:val="2524224C"/>
    <w:multiLevelType w:val="singleLevel"/>
    <w:tmpl w:val="D9C8581C"/>
    <w:lvl w:ilvl="0">
      <w:start w:val="1"/>
      <w:numFmt w:val="decimal"/>
      <w:lvlText w:val="%1)"/>
      <w:lvlJc w:val="left"/>
      <w:pPr>
        <w:tabs>
          <w:tab w:val="num" w:pos="1080"/>
        </w:tabs>
        <w:ind w:left="1080" w:hanging="360"/>
      </w:pPr>
      <w:rPr>
        <w:rFonts w:hint="default"/>
      </w:rPr>
    </w:lvl>
  </w:abstractNum>
  <w:abstractNum w:abstractNumId="2">
    <w:nsid w:val="4CCF6D93"/>
    <w:multiLevelType w:val="singleLevel"/>
    <w:tmpl w:val="CA026934"/>
    <w:lvl w:ilvl="0">
      <w:start w:val="1"/>
      <w:numFmt w:val="decimal"/>
      <w:lvlText w:val="%1)"/>
      <w:lvlJc w:val="left"/>
      <w:pPr>
        <w:tabs>
          <w:tab w:val="num" w:pos="1080"/>
        </w:tabs>
        <w:ind w:left="1080" w:hanging="360"/>
      </w:pPr>
      <w:rPr>
        <w:rFonts w:hint="default"/>
      </w:rPr>
    </w:lvl>
  </w:abstractNum>
  <w:abstractNum w:abstractNumId="3">
    <w:nsid w:val="5310437E"/>
    <w:multiLevelType w:val="singleLevel"/>
    <w:tmpl w:val="F4062462"/>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4"/>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409"/>
    <w:rsid w:val="002D6EEA"/>
    <w:rsid w:val="0079450B"/>
    <w:rsid w:val="007D6409"/>
    <w:rsid w:val="00AE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87918-D6C7-4708-9140-DA78DA1E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4903</Words>
  <Characters>27949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Динас</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Сергеев Юрий</dc:creator>
  <cp:keywords/>
  <cp:lastModifiedBy>admin</cp:lastModifiedBy>
  <cp:revision>2</cp:revision>
  <cp:lastPrinted>1998-11-15T19:57:00Z</cp:lastPrinted>
  <dcterms:created xsi:type="dcterms:W3CDTF">2014-02-03T18:26:00Z</dcterms:created>
  <dcterms:modified xsi:type="dcterms:W3CDTF">2014-02-03T18:26:00Z</dcterms:modified>
</cp:coreProperties>
</file>