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2E" w:rsidRDefault="0048472E" w:rsidP="00244DA5">
      <w:pPr>
        <w:jc w:val="center"/>
        <w:rPr>
          <w:rFonts w:ascii="Times New Roman" w:hAnsi="Times New Roman"/>
          <w:sz w:val="36"/>
          <w:szCs w:val="36"/>
        </w:rPr>
      </w:pPr>
    </w:p>
    <w:p w:rsidR="00827622" w:rsidRPr="00244DA5" w:rsidRDefault="00827622" w:rsidP="00244DA5">
      <w:pPr>
        <w:jc w:val="center"/>
        <w:rPr>
          <w:rFonts w:ascii="Times New Roman" w:hAnsi="Times New Roman"/>
          <w:sz w:val="36"/>
          <w:szCs w:val="36"/>
        </w:rPr>
      </w:pPr>
      <w:r w:rsidRPr="00244DA5">
        <w:rPr>
          <w:rFonts w:ascii="Times New Roman" w:hAnsi="Times New Roman"/>
          <w:sz w:val="36"/>
          <w:szCs w:val="36"/>
        </w:rPr>
        <w:t xml:space="preserve">Правовые аспекты регулирования сотрудничества  </w:t>
      </w:r>
    </w:p>
    <w:p w:rsidR="00827622" w:rsidRPr="00244DA5" w:rsidRDefault="00827622" w:rsidP="00244DA5">
      <w:pPr>
        <w:jc w:val="center"/>
        <w:rPr>
          <w:rFonts w:ascii="Times New Roman" w:hAnsi="Times New Roman"/>
          <w:sz w:val="36"/>
          <w:szCs w:val="36"/>
        </w:rPr>
      </w:pPr>
      <w:r w:rsidRPr="00244DA5">
        <w:rPr>
          <w:rFonts w:ascii="Times New Roman" w:hAnsi="Times New Roman"/>
          <w:sz w:val="36"/>
          <w:szCs w:val="36"/>
        </w:rPr>
        <w:t xml:space="preserve">полицейских и судебных органов </w:t>
      </w:r>
      <w:r>
        <w:rPr>
          <w:rFonts w:ascii="Times New Roman" w:hAnsi="Times New Roman"/>
          <w:sz w:val="36"/>
          <w:szCs w:val="36"/>
        </w:rPr>
        <w:t>Е</w:t>
      </w:r>
      <w:r w:rsidRPr="00244DA5">
        <w:rPr>
          <w:rFonts w:ascii="Times New Roman" w:hAnsi="Times New Roman"/>
          <w:sz w:val="36"/>
          <w:szCs w:val="36"/>
        </w:rPr>
        <w:t>вропейского</w:t>
      </w:r>
    </w:p>
    <w:p w:rsidR="00827622" w:rsidRDefault="00827622" w:rsidP="00244DA5">
      <w:pPr>
        <w:jc w:val="center"/>
        <w:rPr>
          <w:rFonts w:ascii="Times New Roman" w:hAnsi="Times New Roman"/>
          <w:sz w:val="36"/>
          <w:szCs w:val="36"/>
        </w:rPr>
      </w:pPr>
      <w:r w:rsidRPr="00244DA5">
        <w:rPr>
          <w:rFonts w:ascii="Times New Roman" w:hAnsi="Times New Roman"/>
          <w:sz w:val="36"/>
          <w:szCs w:val="36"/>
        </w:rPr>
        <w:t xml:space="preserve"> союза</w:t>
      </w:r>
      <w:r>
        <w:rPr>
          <w:rFonts w:ascii="Times New Roman" w:hAnsi="Times New Roman"/>
          <w:sz w:val="36"/>
          <w:szCs w:val="36"/>
        </w:rPr>
        <w:t>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 w:rsidRPr="00244DA5">
        <w:rPr>
          <w:rFonts w:ascii="Times New Roman" w:hAnsi="Times New Roman"/>
          <w:sz w:val="28"/>
          <w:szCs w:val="28"/>
        </w:rPr>
        <w:t xml:space="preserve">Сотрудничество полиций </w:t>
      </w:r>
      <w:r>
        <w:rPr>
          <w:rFonts w:ascii="Times New Roman" w:hAnsi="Times New Roman"/>
          <w:sz w:val="28"/>
          <w:szCs w:val="28"/>
        </w:rPr>
        <w:t xml:space="preserve"> и судебных органов в уголовно-правовой сфере (СПСО) выступает, как сфера деятельности Европейского союза(Союз, ЕС) в целом, и как самостоятельный компонент в структуре ЕС («третья опора»). Речь идёт о формировании и  развитии общей политике Союза в сфере борьбы с преступностью.</w:t>
      </w:r>
    </w:p>
    <w:p w:rsidR="00827622" w:rsidRPr="001E7188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Источником компетенции Европейского союза в рамках СПСО является 6 раздел его учредительного договора «Положения о</w:t>
      </w:r>
      <w:r w:rsidRPr="00244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сотрудничестве</w:t>
      </w:r>
      <w:r w:rsidRPr="00244DA5">
        <w:rPr>
          <w:rFonts w:ascii="Times New Roman" w:hAnsi="Times New Roman"/>
          <w:sz w:val="28"/>
          <w:szCs w:val="28"/>
        </w:rPr>
        <w:t xml:space="preserve"> полиций </w:t>
      </w:r>
      <w:r>
        <w:rPr>
          <w:rFonts w:ascii="Times New Roman" w:hAnsi="Times New Roman"/>
          <w:sz w:val="28"/>
          <w:szCs w:val="28"/>
        </w:rPr>
        <w:t xml:space="preserve"> и судебных органов в уголовно-правовой сфере»</w:t>
      </w:r>
      <w:r w:rsidRPr="001E7188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Предмет СПСО образует вопросы борьбы с преступностью, включая деятельность по предотвращению, расследованию, привлечению к ответственности и исполнению наказаний за уголовные преступления. В качестве приоритетной задачи СПСО (ст.29 Договора о Европейском союзе) указана борьба с тяжкими и особо тяжкими преступлениями, которые представляют значительную угрозу для всех государств-членов Союза. Это терроризм, торговля людьми, преступления против детей, торговля наркотиками, оружием, коррупция, мошенничество</w:t>
      </w:r>
      <w:r w:rsidRPr="001E7188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Направления деятельности Союза и государств-членов в рамках третьей опоры вытекают из её названия. Во-первых, это полицейское сотрудничество, во-вторых, это сотрудничество органов уголовной юстиции.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в области полицейского сотрудничества, подразделяется на: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«оперативное сотрудничество» полицейских, таможенных органов и других - «специальных карательных служб» государств-членов в сфере предотвращения, обнаружения и расследования уголовных преступлений, т.е оперативно-розыскная деятельность;</w:t>
      </w:r>
    </w:p>
    <w:p w:rsidR="00827622" w:rsidRPr="00064F4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«сбор, хранение, обработка анализ и обмен соответствующей информацией», т.е информационная деятельность</w:t>
      </w:r>
      <w:r w:rsidRPr="00064F42">
        <w:rPr>
          <w:rFonts w:ascii="Times New Roman" w:hAnsi="Times New Roman"/>
          <w:sz w:val="28"/>
          <w:szCs w:val="28"/>
        </w:rPr>
        <w:t xml:space="preserve"> [3] </w:t>
      </w:r>
      <w:r>
        <w:rPr>
          <w:rFonts w:ascii="Times New Roman" w:hAnsi="Times New Roman"/>
          <w:sz w:val="28"/>
          <w:szCs w:val="28"/>
        </w:rPr>
        <w:t>;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«сотрудничество и совместные инициативы в сфере обучения, обмена офицерами по взаимной связи, использование оборудования и криминалистических исследований», т.е. совместная подготовка кадров;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судебного сотрудничества по уголовным делам, совместная деятельность охватывает преимущественно пять сфер: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«облегчение и активизация сотрудничества между компетентными министерствами, судебными или аналогичными органами государств-членов в том, что касается процедуры и исполнения решений»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«Облегчение экстрадиции между государствами -членами»;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«обеспечение взаимного соответствия правил, применяемых в государствах-членах», т.е. гармонизация норм процессуального права, в том числе уголовного процесса;</w:t>
      </w:r>
    </w:p>
    <w:p w:rsidR="00827622" w:rsidRPr="00616296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«предотвращение конфликтов в сфере компетенции между государствами-членами», т.е. разграничение подведомственности уголовных дел между государствами-членами</w:t>
      </w:r>
      <w:r w:rsidRPr="00064F42">
        <w:rPr>
          <w:rFonts w:ascii="Times New Roman" w:hAnsi="Times New Roman"/>
          <w:sz w:val="28"/>
          <w:szCs w:val="28"/>
        </w:rPr>
        <w:t>[4].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 w:rsidRPr="00CF4A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Европейский союз наделён полномочиями издавать нормативные, а  так же, индивидуальные акты в сфере борьбы с преступностью. Они реализуются Советом в двух формах: рамочное решение и решение. Первый документ сходен с директивой ЕС, т.е. выступает в качестве «основ законодательства» по определённому вопросу, отнесённому к предмету третьей опоры. Решения Союза в рамках третьей опоры так же являются юридически обязательным актом. Они издаются для достижения «любой другой цели, соответствующей целям Положения о СПСО, кроме цели сближения законодательных и регламентарных положений государств-членов».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настоящее время, когда преступность внутри Европейского союза приобретает транснациональный характер,  борьба с ней требует координации из единого центра. С этой целью в рамках организационного механизма Европейского союза создаются два специальных учреждения. Европейское полицейское ведомство (Европол) координирует и содействует работе полицейских служб государств-членов, прежде всего, в сфере информационного обмена. В настоящее время планируется расширение полномочий Европола. Второе  учреждение, создание которого предусматривает договор Ниццы – Евроюст. В состав Евроюста включены высшие работники юстиции изи каждого государства-члена. Задача Евроюста – «содействовать надлежащей координации деятельности национальных органов, уполномоченных осуществлять уголовное преследование, и оказывать помощь в расследовании дел, связанных с организованной преступностью» </w:t>
      </w:r>
      <w:r>
        <w:rPr>
          <w:rFonts w:ascii="Times New Roman" w:hAnsi="Times New Roman"/>
          <w:sz w:val="28"/>
          <w:szCs w:val="28"/>
          <w:lang w:val="en-US"/>
        </w:rPr>
        <w:t>[5].</w:t>
      </w:r>
    </w:p>
    <w:p w:rsidR="00827622" w:rsidRDefault="00827622" w:rsidP="00244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827622" w:rsidRPr="006420A6" w:rsidRDefault="00827622" w:rsidP="006420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20A6">
        <w:rPr>
          <w:rFonts w:ascii="Times New Roman" w:hAnsi="Times New Roman"/>
          <w:sz w:val="28"/>
          <w:szCs w:val="28"/>
        </w:rPr>
        <w:t xml:space="preserve"> Консолидированный текст Договора о Европейском союзе и Договора об учреждении Европейского сообщества //Европейское право: учебник для вузов.- НОРМА, 2001.- С. 539-547.</w:t>
      </w:r>
    </w:p>
    <w:p w:rsidR="00827622" w:rsidRPr="006420A6" w:rsidRDefault="00827622" w:rsidP="006420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20A6">
        <w:rPr>
          <w:rFonts w:ascii="Times New Roman" w:hAnsi="Times New Roman"/>
          <w:sz w:val="28"/>
          <w:szCs w:val="28"/>
        </w:rPr>
        <w:t xml:space="preserve"> Консолидированный текст Договора о Европейском союзе и Договора об учреждении Европейского сообщества//Европейское право: учебник для вузов.- НОРМА, 2001.- С.539.</w:t>
      </w:r>
    </w:p>
    <w:p w:rsidR="00827622" w:rsidRPr="006420A6" w:rsidRDefault="00827622" w:rsidP="006420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20A6">
        <w:rPr>
          <w:rFonts w:ascii="Times New Roman" w:hAnsi="Times New Roman"/>
          <w:sz w:val="28"/>
          <w:szCs w:val="28"/>
        </w:rPr>
        <w:t xml:space="preserve"> Консолидированный текст Договора о Европейском союзе и Договора об учреждении Европейского сообщества//Европейское право: учебник для вузов.- НОРМА, 2001.- С.539.</w:t>
      </w:r>
    </w:p>
    <w:p w:rsidR="00827622" w:rsidRDefault="00827622" w:rsidP="006420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20A6">
        <w:rPr>
          <w:rFonts w:ascii="Times New Roman" w:hAnsi="Times New Roman"/>
          <w:sz w:val="28"/>
          <w:szCs w:val="28"/>
        </w:rPr>
        <w:t>Консолидированный текст Договора о Европейском союзе и Договора об учреждении Европейского сообщества//Европейское право: учебник для вузов.- НОРМА, 2001.- С.</w:t>
      </w:r>
      <w:r>
        <w:rPr>
          <w:rFonts w:ascii="Times New Roman" w:hAnsi="Times New Roman"/>
          <w:sz w:val="28"/>
          <w:szCs w:val="28"/>
        </w:rPr>
        <w:t xml:space="preserve"> 540</w:t>
      </w:r>
    </w:p>
    <w:p w:rsidR="00827622" w:rsidRDefault="00827622" w:rsidP="006420A6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Дагавор Ніцы, які змяняе дагавор аб Еўрапейскім саюзе, Дагавры, якія ўстанаўліваюць Еўрапейскія супольнасці, а так сама некаторыя адпаведныя акты.- Мінск: Тэхналогія, 2002.- С.16</w:t>
      </w:r>
    </w:p>
    <w:p w:rsidR="00827622" w:rsidRDefault="00827622" w:rsidP="006420A6">
      <w:pPr>
        <w:pStyle w:val="1"/>
        <w:rPr>
          <w:rFonts w:ascii="Times New Roman" w:hAnsi="Times New Roman"/>
          <w:sz w:val="28"/>
          <w:szCs w:val="28"/>
        </w:rPr>
      </w:pPr>
    </w:p>
    <w:p w:rsidR="00827622" w:rsidRDefault="00827622" w:rsidP="006420A6">
      <w:pPr>
        <w:pStyle w:val="1"/>
        <w:rPr>
          <w:rFonts w:ascii="Times New Roman" w:hAnsi="Times New Roman"/>
          <w:sz w:val="28"/>
          <w:szCs w:val="28"/>
        </w:rPr>
      </w:pPr>
    </w:p>
    <w:p w:rsidR="00827622" w:rsidRDefault="00827622" w:rsidP="006420A6">
      <w:pPr>
        <w:pStyle w:val="1"/>
        <w:rPr>
          <w:rFonts w:ascii="Times New Roman" w:hAnsi="Times New Roman"/>
          <w:sz w:val="28"/>
          <w:szCs w:val="28"/>
        </w:rPr>
      </w:pPr>
    </w:p>
    <w:p w:rsidR="00827622" w:rsidRDefault="00827622" w:rsidP="006420A6">
      <w:pPr>
        <w:pStyle w:val="1"/>
        <w:rPr>
          <w:rFonts w:ascii="Times New Roman" w:hAnsi="Times New Roman"/>
          <w:sz w:val="28"/>
          <w:szCs w:val="28"/>
        </w:rPr>
      </w:pPr>
    </w:p>
    <w:p w:rsidR="00827622" w:rsidRPr="006420A6" w:rsidRDefault="00827622" w:rsidP="006420A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Тёплый Алексей гр.11127 Специальность политология.</w:t>
      </w:r>
    </w:p>
    <w:p w:rsidR="00827622" w:rsidRPr="001E7188" w:rsidRDefault="00827622" w:rsidP="00244DA5">
      <w:pPr>
        <w:rPr>
          <w:rFonts w:ascii="Times New Roman" w:hAnsi="Times New Roman"/>
          <w:sz w:val="28"/>
          <w:szCs w:val="28"/>
        </w:rPr>
      </w:pPr>
    </w:p>
    <w:p w:rsidR="00827622" w:rsidRPr="00244DA5" w:rsidRDefault="00827622" w:rsidP="00244DA5">
      <w:pPr>
        <w:rPr>
          <w:sz w:val="36"/>
          <w:szCs w:val="36"/>
        </w:rPr>
      </w:pPr>
      <w:bookmarkStart w:id="0" w:name="_GoBack"/>
      <w:bookmarkEnd w:id="0"/>
    </w:p>
    <w:sectPr w:rsidR="00827622" w:rsidRPr="00244DA5" w:rsidSect="0061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6536B"/>
    <w:multiLevelType w:val="hybridMultilevel"/>
    <w:tmpl w:val="D8D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DA5"/>
    <w:rsid w:val="00037B1A"/>
    <w:rsid w:val="00064F42"/>
    <w:rsid w:val="00100531"/>
    <w:rsid w:val="001E7188"/>
    <w:rsid w:val="00244DA5"/>
    <w:rsid w:val="00316A3E"/>
    <w:rsid w:val="0048472E"/>
    <w:rsid w:val="00601988"/>
    <w:rsid w:val="00616296"/>
    <w:rsid w:val="006167C3"/>
    <w:rsid w:val="006420A6"/>
    <w:rsid w:val="00714D2E"/>
    <w:rsid w:val="007F1976"/>
    <w:rsid w:val="00827622"/>
    <w:rsid w:val="008532E2"/>
    <w:rsid w:val="00A40792"/>
    <w:rsid w:val="00A82EF6"/>
    <w:rsid w:val="00AA703F"/>
    <w:rsid w:val="00C0534B"/>
    <w:rsid w:val="00CF4A2C"/>
    <w:rsid w:val="00F449BC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1957-28D1-42CD-BA69-5084901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аспекты регулирования сотрудничества  </vt:lpstr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аспекты регулирования сотрудничества  </dc:title>
  <dc:subject/>
  <dc:creator>lalalalalla</dc:creator>
  <cp:keywords/>
  <dc:description/>
  <cp:lastModifiedBy>admin</cp:lastModifiedBy>
  <cp:revision>2</cp:revision>
  <dcterms:created xsi:type="dcterms:W3CDTF">2014-04-16T01:34:00Z</dcterms:created>
  <dcterms:modified xsi:type="dcterms:W3CDTF">2014-04-16T01:34:00Z</dcterms:modified>
</cp:coreProperties>
</file>