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1C" w:rsidRPr="00B84997" w:rsidRDefault="0001451C" w:rsidP="0001451C">
      <w:pPr>
        <w:spacing w:before="120"/>
        <w:jc w:val="center"/>
        <w:rPr>
          <w:b/>
          <w:bCs/>
          <w:sz w:val="32"/>
          <w:szCs w:val="32"/>
        </w:rPr>
      </w:pPr>
      <w:r w:rsidRPr="00B84997">
        <w:rPr>
          <w:b/>
          <w:bCs/>
          <w:sz w:val="32"/>
          <w:szCs w:val="32"/>
        </w:rPr>
        <w:t xml:space="preserve">Предмет  изучения институциональной экономики и её место в современной экономической теории </w:t>
      </w:r>
    </w:p>
    <w:p w:rsidR="0001451C" w:rsidRPr="00B84997" w:rsidRDefault="0001451C" w:rsidP="0001451C">
      <w:pPr>
        <w:spacing w:before="120"/>
        <w:ind w:firstLine="567"/>
        <w:jc w:val="both"/>
        <w:rPr>
          <w:sz w:val="28"/>
          <w:szCs w:val="28"/>
        </w:rPr>
      </w:pPr>
      <w:r w:rsidRPr="00B84997">
        <w:rPr>
          <w:sz w:val="28"/>
          <w:szCs w:val="28"/>
        </w:rPr>
        <w:t>Вольчик В.В.</w:t>
      </w:r>
    </w:p>
    <w:p w:rsidR="0001451C" w:rsidRPr="00B84997" w:rsidRDefault="0001451C" w:rsidP="0001451C">
      <w:pPr>
        <w:spacing w:before="120"/>
        <w:jc w:val="center"/>
        <w:rPr>
          <w:b/>
          <w:bCs/>
          <w:sz w:val="28"/>
          <w:szCs w:val="28"/>
        </w:rPr>
      </w:pPr>
      <w:r w:rsidRPr="00B84997">
        <w:rPr>
          <w:b/>
          <w:bCs/>
          <w:sz w:val="28"/>
          <w:szCs w:val="28"/>
        </w:rPr>
        <w:t xml:space="preserve">1. Понятие института. Роль институтов в функционировании экономики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Изучение институтов начнем с этимологии слова институт.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to institute (англ) - устанавливать, учреждать.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Понятие института было заимствовано экономистами из социальных наук, в частности из социологии.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Институтом называется совокупность ролей и статусов, предназначенная для удовлетворения определенной потребности</w:t>
      </w:r>
      <w:r w:rsidRPr="009D2899">
        <w:footnoteReference w:id="1"/>
      </w:r>
      <w:r w:rsidRPr="009D2899">
        <w:t>[1].</w:t>
      </w:r>
    </w:p>
    <w:p w:rsidR="0001451C" w:rsidRDefault="0001451C" w:rsidP="0001451C">
      <w:pPr>
        <w:spacing w:before="120"/>
        <w:ind w:firstLine="567"/>
        <w:jc w:val="both"/>
      </w:pPr>
      <w:r w:rsidRPr="009D2899">
        <w:t>Определения институтов можно также найти в работах по политической философии и социальной психологии. Например, категория института является одной из центральных в работе Джона Ролза «Теория справедливости».</w:t>
      </w:r>
      <w:r>
        <w:t xml:space="preserve">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Под институтами я буду понимать публичную систему правил, которые определяют должность и положение с соответствующими правами и обязанностями, властью и неприкосновенностью, и тому подобное. Эти правила специфицируют определенные формы действий в качестве разрешенных, а другие в качестве запрещенных, и по ним же наказывают одни действия и защищают другие, когда происходит насилие. В качестве примеров, или более общих социальных практик, мы можем привести игры, ритуалы, суды и парламенты, рынки и системы собственности</w:t>
      </w:r>
      <w:r w:rsidRPr="009D2899">
        <w:footnoteReference w:id="2"/>
      </w:r>
      <w:r w:rsidRPr="009D2899">
        <w:t>[2].</w:t>
      </w:r>
    </w:p>
    <w:p w:rsidR="0001451C" w:rsidRDefault="0001451C" w:rsidP="0001451C">
      <w:pPr>
        <w:spacing w:before="120"/>
        <w:ind w:firstLine="567"/>
        <w:jc w:val="both"/>
      </w:pPr>
      <w:r w:rsidRPr="009D2899">
        <w:t xml:space="preserve">В экономической теории впервые понятие института было включено в анализ Торстейном Вебленом. </w:t>
      </w:r>
      <w:r>
        <w:t xml:space="preserve"> 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Институты - это, по сути дела, распространенный образ мысли в том, что касается отдельных отношений между обществом и личностью и отдельных выполняемых ими функций; и система жизни общества, которая слагается из совокупности действующих в определенное время или в любой момент развития какого угодно общества, может с психологической стороны быть охарактеризована в общих чертах как превалирующая духовная позиция или распространенное представление об образе жизни в обществе</w:t>
      </w:r>
      <w:r w:rsidRPr="009D2899">
        <w:footnoteReference w:id="3"/>
      </w:r>
      <w:r w:rsidRPr="009D2899">
        <w:t>[3].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Также под институтами Веблен понимал: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- привычные способы реагирования на стимулы;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- структура производственного или экономического механизма;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- принятая в настоящее время система общественной жизни.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Другой основоположник институционализма Джон Коммонс определяет институт следующим образом: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Институт – коллективное действие по контролю, освобождению и расширению индивидуального действия.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У другого классика институционализма - Уэсли Митчелла можно найти следующее определение: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Институты – господствующие, и в высшей степени стандартизированные, общественные привычки.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В настоящее время в рамках современного институционализма наиболее распространенной является трактовка институтов Дугласа Норта: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Институты - это правила, механизмы, обеспечивающие их выполнение, и нормы поведения, которые структурируют повторяющиеся взаимодействия между людьми</w:t>
      </w:r>
      <w:r w:rsidRPr="009D2899">
        <w:footnoteReference w:id="4"/>
      </w:r>
      <w:r w:rsidRPr="009D2899">
        <w:t>[4].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Экономические действия индивида протекают не в изолированном пространстве, а в определенном социуме. И поэтому имеет большое значение, как общество будет реагировать на них. Таким образом, сделки, приемлемые и приносящие доход в одном месте, необязательно окажутся целесообразными даже при сходных условиях в другом. Примером тому могут служить ограничения, налагаемые на экономическое поведение человека различными религиозными культами.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Чтобы избежать согласования множества внешних факторов, влияющих на успех и на саму возможность принятия того или иного решения, в рамках экономического и социального порядков вырабатываются схемы или алгоритмы поведения, являющегося при данных условиях наиболее эффективным. Эти схемы и алгоритмы или матрицы поведения индивидов есть ни что иное, как институты.</w:t>
      </w:r>
    </w:p>
    <w:p w:rsidR="0001451C" w:rsidRPr="00B84997" w:rsidRDefault="0001451C" w:rsidP="0001451C">
      <w:pPr>
        <w:spacing w:before="120"/>
        <w:jc w:val="center"/>
        <w:rPr>
          <w:b/>
          <w:bCs/>
          <w:sz w:val="28"/>
          <w:szCs w:val="28"/>
        </w:rPr>
      </w:pPr>
      <w:r w:rsidRPr="00B84997">
        <w:rPr>
          <w:b/>
          <w:bCs/>
          <w:sz w:val="28"/>
          <w:szCs w:val="28"/>
        </w:rPr>
        <w:t xml:space="preserve">2. Институционализм и неоклассическая экономическая теория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Существует несколько причин, по которым неоклассическая теория (начала 60-х годов) перестала отвечать требованиям, предъявляемым к ней экономистами, которые пытались осмыслить реально происходящие события в современной экономической практике: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1. Неоклассическая теория базируется на нереалистичных предпосылках и ограничениях, и, следовательно, она использует модели неадекватные экономической практике. Коуз называл такое положение дел в неоклассике «экономикой классной доски».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2. Экономическая наука расширяет круг феноменов (например, таких как идеология, право, нормы поведения, семья), которые успешно могут анализироваться с точки зрения экономической науки. Этот процесс получил название «экономического империализма». Ведущим представителем этого направления является нобелевский лауреат Гарри Беккер. Но впервые о необходимости создания общей науки, изучающей человеческое действие писал еще Людвиг фон Мизес, предлагавший для этого термин «праксеология»</w:t>
      </w:r>
      <w:r w:rsidRPr="009D2899">
        <w:footnoteReference w:id="5"/>
      </w:r>
      <w:r w:rsidRPr="009D2899">
        <w:t>[5].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3. В рамках неоклассики практически нет теорий, удовлетворительно объясняющих динамические изменения в экономике, важность изучения, которых стала актуальной на фоне исторических событий XX века. (Вообще в рамках экономической науки до 80-х годов XX века эта проблема рассматривалась почти исключительно в рамках марксистской политической экономии</w:t>
      </w:r>
      <w:r w:rsidRPr="009D2899">
        <w:footnoteReference w:id="6"/>
      </w:r>
      <w:r w:rsidRPr="009D2899">
        <w:t>[6]).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Теперь остановимся на основных предпосылках неоклассической теории,</w:t>
      </w:r>
      <w:r w:rsidRPr="009D2899">
        <w:footnoteReference w:id="7"/>
      </w:r>
      <w:r w:rsidRPr="009D2899">
        <w:t>[7] которые составляют ее парадигму (жесткое ядро), а также «защитный пояс», следуя методологии науки выдвинутой Имре Лакатосом</w:t>
      </w:r>
      <w:r w:rsidRPr="009D2899">
        <w:footnoteReference w:id="8"/>
      </w:r>
      <w:r w:rsidRPr="009D2899">
        <w:t>[8]: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Жесткое ядро: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1. стабильные предпочтения, которые носят эндогенный характер;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2. рациональный выбор (максимизирующее поведение);</w:t>
      </w:r>
    </w:p>
    <w:p w:rsidR="0001451C" w:rsidRDefault="0001451C" w:rsidP="0001451C">
      <w:pPr>
        <w:spacing w:before="120"/>
        <w:ind w:firstLine="567"/>
        <w:jc w:val="both"/>
      </w:pPr>
      <w:r w:rsidRPr="009D2899">
        <w:t>3. равновесие на рынке и общее равновесие на всех рынках.</w:t>
      </w:r>
      <w:r>
        <w:t xml:space="preserve">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Защитный пояс: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1. Права собственности остаются неизменными и четко определенными;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2. Информация является совершенно доступной и полной;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3. Индивиды удовлетворяют свои потребности с помощью обмена, который происходит без издержек, с учетом первоначального распределения.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Исследовательская программа по Лакатосу, оставляя в неприкосновенности жесткое ядро, должна быть направлена на то, чтобы прояснять, развивать уже имеющиеся или выдвигать новые вспомогательные гипотезы, которые образуют защитный пояс вокруг этого ядра.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Если видоизменяется жесткое ядро, то теория заменяется новой теорией со своей собственной исследовательской программой.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Рассмотрим, каким образом предпосылки неоинституционализма и классического старого институционализма воздействуют на исследовательскую программу неоклассики.</w:t>
      </w:r>
    </w:p>
    <w:p w:rsidR="0001451C" w:rsidRPr="00B84997" w:rsidRDefault="0001451C" w:rsidP="0001451C">
      <w:pPr>
        <w:spacing w:before="120"/>
        <w:jc w:val="center"/>
        <w:rPr>
          <w:b/>
          <w:bCs/>
          <w:sz w:val="28"/>
          <w:szCs w:val="28"/>
        </w:rPr>
      </w:pPr>
      <w:r w:rsidRPr="00B84997">
        <w:rPr>
          <w:b/>
          <w:bCs/>
          <w:sz w:val="28"/>
          <w:szCs w:val="28"/>
        </w:rPr>
        <w:t xml:space="preserve">3. Старый и новый институционализм 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«Старый» институционализм, как экономическое течение, возник на рубеже 19-20 веков. Он был тесно связан с историческим направлением в экономической теории, с так называемой исторической и новой исторической школой  (Лист Ф., Шмолер Г., Бретано Л., Бюхер К.). Для институционализма с самого начала его развития было характерно отстаивание идеи социального контроля и вмешательства общества, главным образом государства, в экономические процессы. Это было наследием исторической школы, представители которой не только отрицали существование устойчивых детерминированных связей, и законов в экономике, но и являлись сторонниками идеи, что благосостояние общества может быть достигнуто на основе жесткого государственного регулирования экономики националистического толка.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Виднейшими представителями «Старого институционализма» являются: Торстейн Веблен, Джон Коммонс, Уэсли Митчелл, Джон Гэлбрейт. Несмотря на значительный круг проблем, охватываемый в работах указанных экономистов, им не удалось образовать собственную единую исследовательскую программу. Как отмечал Коуз, работы американских институционалистов ни к чему не привели, поскольку в них не было теории для организации массы описательного материала.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Старый институционализм подверг критике положения, составляющие «жесткое ядро неоклассики». В частности, Веблен отвергал концепцию рациональности и соответствующий ей принцип максимизации как основополагающий в объяснении поведения экономических агентов. Объектом анализа являются институты, а не человеческие взаимодействия в пространстве с ограничениями, которые задаются институтами.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Также работы старых институционалистов отличаются значительной междисциплинарностью, являясь, по сути, продолжениями социологических, правовых, статистических исследований в их приложении к экономическим проблемам.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Предшественниками неоинституционализма являются экономисты Австрийской школы, в частности Карл Менгер и Фридрих фон Хайек, которые привнесли в экономическую науку эволюционный метод, а также поставили вопрос о синтезе многих наук изучающих общество.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Современный неоинституционализм берет свое начало с пионерных работ Рональда Коуза «Природа фирмы», «Проблема социальных издержек».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Атаке неоинституционалистов в первую очередь подверглись положения неоклассики, составляющие ее защитное ядро.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1) Во-первых, подверглась критике предпосылка, что обмен происходит без издержек. Критику этого положения можно найти в первых работах Коуза. Хотя, необходимо отметить, что о возможности существования издержек обмена и об их влиянии на решения обменивающихся субъектов писал еще Менгер в своих «Основаниях политической экономии».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Экономический обмен происходит только тогда, когда каждый его участник, осуществляя акт мены, получает какое-либо приращение ценности  к ценности существующего набора благ. Это доказывает Карл Менгер в работе «Основания политической экономии», исходя из предположения о существовании двух участников обмена. Первый имеет благо А, обладающее ценностью W, а второй - благо В с такой же ценностью W. В результате произошедшего между ними обмена ценность благ в распоряжении первого будет W+ х, а второго - W+ у. Из этого можно сделать вывод, что в процессе обмена ценность блага для каждого участника увеличилась на определенную величину. Этот пример показывает, что деятельность, связанная с обменом, есть не напрасная трата времени и ресурсов, а такая же продуктивная деятельность как производство материальных благ.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Исследуя обмен, нельзя не остановиться на пределах обмена. Обмен будет происходить до тех пор, пока ценность благ в распоряжении каждого участника обмена будет, по его оценкам, меньше ценности тех благ, которые могут быть получены в результате обмена. Этот тезис верен для всех контрагентов обмена. Пользуясь символикой вышеуказанного примера, обмен происходит, если W(A) &lt; W+ х для первого и W(B) &lt; W+ у для второго участников обмена, или если х  &gt; 0 и у &gt; 0.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До сих пор мы рассматривали обмен как процесс, происходящий без издержек. Но в реальной экономике любой акт обмена связан с определенными издержками. Такие издержки обмена получили название трансакционных. Они обычно трактуются как «издержки сбора и обработки информации, издержки проведения переговоров и принятия решения, издержки контроля и юридической защиты выполнения контракта»</w:t>
      </w:r>
      <w:r w:rsidRPr="009D2899">
        <w:footnoteReference w:id="9"/>
      </w:r>
      <w:r w:rsidRPr="009D2899">
        <w:t xml:space="preserve">[9].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Концепция трансакционных издержек противоречит тезису неоклассической теории, что издержки функционирования рыночного механизма равны нулю. Такое допущение позволяло не учитывать в экономическом анализе влияния различных институтов. Следовательно, если трансакционные издержки положительны, необходимо учитывать влияние экономических и социальных институтов на функционирование экономической системы.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2) Во-вторых, признавая существование трансакционных издержек, возникает необходимость в пересмотре тезиса о доступности информации. Признание тезиса о неполноте и не совершенности информации, открывает новые перспективы для экономического анализа, например, в исследовании контрактов.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3) В-третьих, подвергся пересмотру тезис о нейтральности распределения и спецификации прав собственности. Исследования в этом направлении послужили отправным пунктом для развития таких направлений институционализма как теория прав собственности и экономика организаций. В рамках этих направлений субъекты экономической деятельности «хозяйственные организации перестали рассматриваться как «черные ящики».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В рамках «современного» институционализма также осуществляются попытки модификации или даже изменения элементов жесткого ядра неоклассики. В первую очередь это предпосылка неоклассики о рациональном выборе. В институциональной экономике классическая рациональность модифицируется с принятием допущений об ограниченной рациональности и оппортунистическом поведении.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Несмотря на различия, практически все представители неоинституционализма рассматривают институты через их влияние на решения, которые принимают экономические агенты. При этом используются следующие основополагающие инструменты, относящиеся к модели человека: методологический индивидуализм, максимизация полезности, ограниченная рациональность и оппортунистическое поведение.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Некоторые представители современного институционализма идут еще дальше и подвергают сомнению саму предпосылку о максимизирующем полезность поведении экономического человека, предлагая его замену принципом удовлетворительности. В соответствии с классификацией Трэна Эггертссона представители этого направления образуют собственное направление в институционализме – Новую институциональную экономику, представителями которой можно считать О. Уильямсона и Г. Саймона. Таким образом, различия между неоинституционализмом и новой институциональной экономикой можно провести в зависимости от того, какие предпосылки подвергаются замене или модификации в их рамках – «жесткого ядра» или «защитного пояса».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Основными представителями неоинституционализма являются: Р. Коуз, О. Уильямсон, Д. Норт, А. Алчиан, Саймон Г., Л. Тевено, Менар К., Бьюкенен Дж., Олсон М., Р. Познер, Г. Демсец, С. Пейович, Т. Эггертссон и др. </w:t>
      </w:r>
    </w:p>
    <w:p w:rsidR="0001451C" w:rsidRPr="00B84997" w:rsidRDefault="0001451C" w:rsidP="0001451C">
      <w:pPr>
        <w:spacing w:before="120"/>
        <w:jc w:val="center"/>
        <w:rPr>
          <w:b/>
          <w:bCs/>
          <w:sz w:val="28"/>
          <w:szCs w:val="28"/>
        </w:rPr>
      </w:pPr>
      <w:r w:rsidRPr="00B84997">
        <w:rPr>
          <w:b/>
          <w:bCs/>
          <w:sz w:val="28"/>
          <w:szCs w:val="28"/>
        </w:rPr>
        <w:t xml:space="preserve">4. Основные течения современного неоинституционализма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 xml:space="preserve">В настоящее время идеи концепции неоинституционализма лежат в основе многих отраслей экономического знания. Кратко назовем и охарактеризуем основные из них: 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1) Теория прав собственности. Родоначальниками ее являются А. Алчиан, Р. Коуз, Й Барцель, Л. де Алеси, Г. Демсец, Р. Познер, С. Пейович, О. Уильямсон, Э. Фьюроботн.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Центральным понятием в теории прав собственности является само «право собственности».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«Права собственности понимаются как санкционированные поведенческие отношения между людьми, которые возникают в связи с существованием благ и касаются их использования. Эти отношения определяют нормы поведения по поводу благ, которое любое лицо должно соблюдать в своих взаимодействиях с другими людьми или же нести издержки из-за их несоблюдения. Оно охватывает полномочия, как над материальными объектами, так и над правами человека (право голосовать, печатать и т.д.).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Господствующая в обществе система прав собственности есть в таком случае сумма экономических и социальных отношений по поводу редких ресурсов, вступив в которые отдельные члены общества противостоят друг другу. (Пейович, Фьюроботн).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С точки зрения общества права собственности выступают как правила игры, которые упорядочивают отношения между отдельными агентами.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С точки зрения индивида права собственности выступают как пучки правомочий на принятие решений по поводу того или иного ресурса.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Чтобы реализовать свои разнообразные цели, индивид осуществляет контроль над принадлежащим исключительно ему пучком прав собственности. В литературе по теории прав собственности наибольшее распространение получила классификация А. Оноре. Она включает: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1. Право владения, т.е. исключительного физического контроля над вещью.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2. Право пользования, т. е. личного использования вещи.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3. Право управления, т. е. решения, как и кем вещь может быть использована.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4. Право на доход, т.е. на блага, проистекающие от предшествующего личного пользования вещью или от разрешения другим лицам пользоваться ею (иными словами - право присвоения).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5. Право на капитальную стоимость вещи, предполагающее право на отчуждение, потребление, промотание, изменение или уничтожение вещи.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6. Право на безопасность, т.е. иммунитет от экспроприации.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7. Право на переход вещи по наследству или по завещанию.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8. Право на бессрочность.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9. Запрет вредного использования, т.е. обязанность воздерживаться от использования вещи вредным для других способом.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10. Право на ответственность в виде взыскания, т.е. возможность отобрания вещи в уплату долга.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11. Право на остаточный характер, т.е. ожидание “естественного возврата переданных кому-либо правомочий по истечении срока передачи или в случае утраты ею силы по любой иной причине”.</w:t>
      </w:r>
      <w:r w:rsidRPr="009D2899">
        <w:footnoteReference w:id="10"/>
      </w:r>
      <w:r w:rsidRPr="009D2899">
        <w:t>[10]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Любой акт обмена рассматривается как обмен пучками прав собственности. Рамки по передаче прав собственности определяет контракт.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Важное место в теории прав собственности занимают проблемы спецификации прав собственности и отношения принципал-агент в различных системах собственности.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2) Теория трансакционных издержек. Основные представители: Р. Коуз и О. Уильямсон.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3) Теория экономических организаций. Основные представители: Ф. Найт, Р. Коуз, А. Алчиан, Г. Демсец, О. Уильямсон, К. Менар.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В рамках этой теории фирма рассматривается сквозь призму трансакционного подхода, как сеть контрактов, система обработки и передачи информации, структура по обеспечению экономической власти и контроля над объектами собственности и т.д.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3) Экономика права. Представители: Р. Коуз, Р. Познер, Г. Беккер.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Концептуальный каркас экономики права можно представить в следующем виде: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Она исходит из того, что агенты ведут себя как рациональные максимизаторы при принятии не только рыночных, но и внерыночных решений (таких, например, как нарушать или не нарушать закон, возбуждать или не возбуждать судебный иск и т. д.).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Правовая система, подобно рынку, рассматривается как механизм, регулирующий распределение ограниченных ресурсов. Скажем, в случае кражи, как и в случае продажи, ценный ресурс перемещается от одного агента к другому. Разница в том, что рынок имеет дело с добровольными сделками, а правовая система — с вынужденными, совершаемыми без согласия одной из сторон. Многие вынужденные сделки возникают в условиях настолько высоких трансакционных издержек, что добровольные сделки оказываются из-за этого невозможными. Например, водители автомобилей не могут заранее провести переговоры со всеми пешеходами о компенсации за возможные увечья. К числу вынужденных «сделок» можно отнести большинство гражданских правонарушении и уголовных преступлений.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Однако, несмотря на вынужденный характер, такие сделки совершаются по определенным ценам, которые налагаются правовой системой. В качестве таких неявных цен выступают судебные запрещения, денежные компенсации, уголовные наказания. Поэтому аппарат экономического анализа, оказывается приложим не только к добровольным, но и к недобровольным сделкам.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В экономике права подробно анализируется, как реагируют экономические субъекты на различные правовые установления.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В экономике права также анализируется вопрос: как меняются сами правовые нормы под воздействием экономических факторов. Основной предпосылкой анализа здесь служит тезис, что формирование правовых институтов направляется принципом эффективности.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4) Теория общественного выбора. Основные представители: Дж. Бьюкенен, Г. Таллок, К. Эрроу, М. Олсон, Д. Мюллер.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Теория общественного выбора анализирует политический механизм принятия макроэкономических решений, иначе говоря, объектом анализа здесь выступают «политические рынки».</w:t>
      </w:r>
    </w:p>
    <w:p w:rsidR="0001451C" w:rsidRPr="009D2899" w:rsidRDefault="0001451C" w:rsidP="0001451C">
      <w:pPr>
        <w:spacing w:before="120"/>
        <w:ind w:firstLine="567"/>
        <w:jc w:val="both"/>
      </w:pPr>
      <w:r w:rsidRPr="009D2899">
        <w:t>5) Новая экономическая история. Представители: Д. Норт, Р. Фогель, Дж. Уоллис.</w:t>
      </w:r>
    </w:p>
    <w:p w:rsidR="0001451C" w:rsidRDefault="0001451C" w:rsidP="0001451C">
      <w:pPr>
        <w:spacing w:before="120"/>
        <w:ind w:firstLine="567"/>
        <w:jc w:val="both"/>
      </w:pPr>
      <w:r w:rsidRPr="009D2899">
        <w:t xml:space="preserve">Эта теория пытается истолковывать исторический процесс с точки зрения эволюции институтов, теории прав собственности и трансакционных издержек.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1C" w:rsidRDefault="0001451C">
      <w:r>
        <w:separator/>
      </w:r>
    </w:p>
  </w:endnote>
  <w:endnote w:type="continuationSeparator" w:id="0">
    <w:p w:rsidR="0001451C" w:rsidRDefault="0001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1C" w:rsidRDefault="0001451C">
      <w:r>
        <w:separator/>
      </w:r>
    </w:p>
  </w:footnote>
  <w:footnote w:type="continuationSeparator" w:id="0">
    <w:p w:rsidR="0001451C" w:rsidRDefault="0001451C">
      <w:r>
        <w:continuationSeparator/>
      </w:r>
    </w:p>
  </w:footnote>
  <w:footnote w:id="1">
    <w:p w:rsidR="005F4FBE" w:rsidRDefault="0001451C" w:rsidP="0001451C">
      <w:pPr>
        <w:pStyle w:val="a3"/>
        <w:spacing w:line="360" w:lineRule="auto"/>
      </w:pPr>
      <w:r>
        <w:footnoteRef/>
      </w:r>
      <w:r>
        <w:rPr>
          <w:rStyle w:val="a5"/>
          <w:sz w:val="20"/>
          <w:szCs w:val="20"/>
        </w:rPr>
        <w:t>[1]</w:t>
      </w:r>
      <w:r>
        <w:rPr>
          <w:sz w:val="20"/>
          <w:szCs w:val="20"/>
        </w:rPr>
        <w:t xml:space="preserve"> Смелзер Н. Социология. М., 1994. С.79.</w:t>
      </w:r>
    </w:p>
  </w:footnote>
  <w:footnote w:id="2">
    <w:p w:rsidR="005F4FBE" w:rsidRDefault="0001451C" w:rsidP="0001451C">
      <w:pPr>
        <w:pStyle w:val="a3"/>
        <w:spacing w:line="360" w:lineRule="auto"/>
      </w:pPr>
      <w:r>
        <w:rPr>
          <w:sz w:val="20"/>
          <w:szCs w:val="20"/>
        </w:rPr>
        <w:footnoteRef/>
      </w:r>
      <w:r>
        <w:rPr>
          <w:rStyle w:val="a5"/>
          <w:sz w:val="20"/>
          <w:szCs w:val="20"/>
        </w:rPr>
        <w:t>[2]</w:t>
      </w:r>
      <w:r>
        <w:rPr>
          <w:sz w:val="20"/>
          <w:szCs w:val="20"/>
        </w:rPr>
        <w:t xml:space="preserve"> Ролз Дж. Теория справедливости Новосибирск, 1995. С. 61-62.</w:t>
      </w:r>
    </w:p>
  </w:footnote>
  <w:footnote w:id="3">
    <w:p w:rsidR="005F4FBE" w:rsidRDefault="0001451C" w:rsidP="0001451C">
      <w:pPr>
        <w:pStyle w:val="a3"/>
        <w:spacing w:line="360" w:lineRule="auto"/>
      </w:pPr>
      <w:r>
        <w:rPr>
          <w:sz w:val="20"/>
          <w:szCs w:val="20"/>
        </w:rPr>
        <w:footnoteRef/>
      </w:r>
      <w:r>
        <w:rPr>
          <w:rStyle w:val="a5"/>
          <w:sz w:val="20"/>
          <w:szCs w:val="20"/>
        </w:rPr>
        <w:t>[3]</w:t>
      </w:r>
      <w:r>
        <w:rPr>
          <w:sz w:val="20"/>
          <w:szCs w:val="20"/>
        </w:rPr>
        <w:t xml:space="preserve"> Веблен Т. Теория праздного класса. М., 1984. С. 201-202.</w:t>
      </w:r>
    </w:p>
  </w:footnote>
  <w:footnote w:id="4">
    <w:p w:rsidR="005F4FBE" w:rsidRDefault="0001451C" w:rsidP="0001451C">
      <w:pPr>
        <w:pStyle w:val="a3"/>
        <w:spacing w:line="360" w:lineRule="auto"/>
      </w:pPr>
      <w:r>
        <w:rPr>
          <w:sz w:val="20"/>
          <w:szCs w:val="20"/>
        </w:rPr>
        <w:footnoteRef/>
      </w:r>
      <w:r>
        <w:rPr>
          <w:rStyle w:val="a5"/>
          <w:sz w:val="20"/>
          <w:szCs w:val="20"/>
        </w:rPr>
        <w:t>[4]</w:t>
      </w:r>
      <w:r>
        <w:rPr>
          <w:sz w:val="20"/>
          <w:szCs w:val="20"/>
        </w:rPr>
        <w:t xml:space="preserve"> Норт Д. Институты и экономический рост: историческое введение // Тезис. Т</w:t>
      </w:r>
      <w:r w:rsidRPr="009D2899">
        <w:rPr>
          <w:sz w:val="20"/>
          <w:szCs w:val="20"/>
          <w:lang w:val="en-US"/>
        </w:rPr>
        <w:t xml:space="preserve">.1. </w:t>
      </w:r>
      <w:r>
        <w:rPr>
          <w:sz w:val="20"/>
          <w:szCs w:val="20"/>
        </w:rPr>
        <w:t>Вып</w:t>
      </w:r>
      <w:r w:rsidRPr="009D2899">
        <w:rPr>
          <w:sz w:val="20"/>
          <w:szCs w:val="20"/>
          <w:lang w:val="en-US"/>
        </w:rPr>
        <w:t xml:space="preserve">.2. </w:t>
      </w:r>
      <w:r>
        <w:rPr>
          <w:sz w:val="20"/>
          <w:szCs w:val="20"/>
        </w:rPr>
        <w:t>М</w:t>
      </w:r>
      <w:r w:rsidRPr="009D2899">
        <w:rPr>
          <w:sz w:val="20"/>
          <w:szCs w:val="20"/>
          <w:lang w:val="en-US"/>
        </w:rPr>
        <w:t xml:space="preserve">., 1993. </w:t>
      </w:r>
      <w:r>
        <w:rPr>
          <w:sz w:val="20"/>
          <w:szCs w:val="20"/>
        </w:rPr>
        <w:t>С</w:t>
      </w:r>
      <w:r w:rsidRPr="009D2899">
        <w:rPr>
          <w:sz w:val="20"/>
          <w:szCs w:val="20"/>
          <w:lang w:val="en-US"/>
        </w:rPr>
        <w:t>.73.</w:t>
      </w:r>
    </w:p>
  </w:footnote>
  <w:footnote w:id="5">
    <w:p w:rsidR="005F4FBE" w:rsidRDefault="0001451C" w:rsidP="0001451C">
      <w:pPr>
        <w:pStyle w:val="a3"/>
        <w:spacing w:line="360" w:lineRule="auto"/>
      </w:pPr>
      <w:r>
        <w:rPr>
          <w:sz w:val="20"/>
          <w:szCs w:val="20"/>
        </w:rPr>
        <w:footnoteRef/>
      </w:r>
      <w:r w:rsidRPr="009D2899">
        <w:rPr>
          <w:rStyle w:val="a5"/>
          <w:sz w:val="20"/>
          <w:szCs w:val="20"/>
          <w:lang w:val="en-US"/>
        </w:rPr>
        <w:t>[5]</w:t>
      </w:r>
      <w:r w:rsidRPr="009D28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Мизес</w:t>
      </w:r>
      <w:r w:rsidRPr="009D28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Л</w:t>
      </w:r>
      <w:r w:rsidRPr="009D289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Социализм</w:t>
      </w:r>
      <w:r w:rsidRPr="009D289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 xml:space="preserve">., 1995.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 xml:space="preserve">.28. </w:t>
      </w:r>
    </w:p>
  </w:footnote>
  <w:footnote w:id="6">
    <w:p w:rsidR="005F4FBE" w:rsidRDefault="0001451C" w:rsidP="0001451C">
      <w:pPr>
        <w:pStyle w:val="a3"/>
        <w:spacing w:line="360" w:lineRule="auto"/>
      </w:pPr>
      <w:r>
        <w:rPr>
          <w:sz w:val="20"/>
          <w:szCs w:val="20"/>
        </w:rPr>
        <w:footnoteRef/>
      </w:r>
      <w:r w:rsidRPr="009D2899">
        <w:rPr>
          <w:rStyle w:val="a5"/>
          <w:sz w:val="20"/>
          <w:szCs w:val="20"/>
          <w:lang w:val="en-US"/>
        </w:rPr>
        <w:t>[6]</w:t>
      </w:r>
      <w:r>
        <w:rPr>
          <w:sz w:val="20"/>
          <w:szCs w:val="20"/>
          <w:lang w:val="en-US"/>
        </w:rPr>
        <w:t xml:space="preserve"> North D.C. Institutions, institutional change and economic performance. Cambridge, 1990. P. 107. </w:t>
      </w:r>
    </w:p>
  </w:footnote>
  <w:footnote w:id="7">
    <w:p w:rsidR="005F4FBE" w:rsidRDefault="0001451C" w:rsidP="0001451C">
      <w:pPr>
        <w:pStyle w:val="a3"/>
        <w:spacing w:line="360" w:lineRule="auto"/>
      </w:pPr>
      <w:r>
        <w:rPr>
          <w:sz w:val="20"/>
          <w:szCs w:val="20"/>
        </w:rPr>
        <w:footnoteRef/>
      </w:r>
      <w:r w:rsidRPr="009D2899">
        <w:rPr>
          <w:rStyle w:val="a5"/>
          <w:sz w:val="20"/>
          <w:szCs w:val="20"/>
          <w:lang w:val="en-US"/>
        </w:rPr>
        <w:t>[7]</w:t>
      </w:r>
      <w:r>
        <w:rPr>
          <w:sz w:val="20"/>
          <w:szCs w:val="20"/>
          <w:lang w:val="en-US"/>
        </w:rPr>
        <w:t xml:space="preserve"> Eggertsson T. Economic behavior and institutions. Cambridge</w:t>
      </w:r>
      <w:r w:rsidRPr="009D2899">
        <w:rPr>
          <w:sz w:val="20"/>
          <w:szCs w:val="20"/>
          <w:lang w:val="en-US"/>
        </w:rPr>
        <w:t xml:space="preserve">, 1990. </w:t>
      </w:r>
      <w:r>
        <w:rPr>
          <w:sz w:val="20"/>
          <w:szCs w:val="20"/>
          <w:lang w:val="en-US"/>
        </w:rPr>
        <w:t>P</w:t>
      </w:r>
      <w:r w:rsidRPr="009D2899">
        <w:rPr>
          <w:sz w:val="20"/>
          <w:szCs w:val="20"/>
          <w:lang w:val="en-US"/>
        </w:rPr>
        <w:t>.5.</w:t>
      </w:r>
    </w:p>
  </w:footnote>
  <w:footnote w:id="8">
    <w:p w:rsidR="005F4FBE" w:rsidRDefault="0001451C" w:rsidP="0001451C">
      <w:pPr>
        <w:pStyle w:val="a3"/>
        <w:spacing w:line="360" w:lineRule="auto"/>
      </w:pPr>
      <w:r>
        <w:rPr>
          <w:sz w:val="20"/>
          <w:szCs w:val="20"/>
        </w:rPr>
        <w:footnoteRef/>
      </w:r>
      <w:r>
        <w:rPr>
          <w:rStyle w:val="a5"/>
          <w:sz w:val="20"/>
          <w:szCs w:val="20"/>
        </w:rPr>
        <w:t>[8]</w:t>
      </w:r>
      <w:r>
        <w:rPr>
          <w:sz w:val="20"/>
          <w:szCs w:val="20"/>
        </w:rPr>
        <w:t xml:space="preserve"> Лакатос И. Фальсификация и методология научно – исследовательских программ. М., 1995. С. 79-89.</w:t>
      </w:r>
    </w:p>
  </w:footnote>
  <w:footnote w:id="9">
    <w:p w:rsidR="005F4FBE" w:rsidRDefault="0001451C" w:rsidP="0001451C">
      <w:pPr>
        <w:pStyle w:val="a3"/>
        <w:spacing w:line="360" w:lineRule="auto"/>
      </w:pPr>
      <w:r>
        <w:rPr>
          <w:sz w:val="20"/>
          <w:szCs w:val="20"/>
        </w:rPr>
        <w:footnoteRef/>
      </w:r>
      <w:r>
        <w:rPr>
          <w:rStyle w:val="a5"/>
          <w:sz w:val="20"/>
          <w:szCs w:val="20"/>
        </w:rPr>
        <w:t>[9]</w:t>
      </w:r>
      <w:r>
        <w:rPr>
          <w:sz w:val="20"/>
          <w:szCs w:val="20"/>
        </w:rPr>
        <w:t xml:space="preserve"> Коуз Р. Фирма, рынок и право. М., 1993. С.9.</w:t>
      </w:r>
    </w:p>
  </w:footnote>
  <w:footnote w:id="10">
    <w:p w:rsidR="005F4FBE" w:rsidRDefault="0001451C" w:rsidP="0001451C">
      <w:pPr>
        <w:pStyle w:val="a3"/>
        <w:spacing w:line="360" w:lineRule="auto"/>
      </w:pPr>
      <w:r>
        <w:rPr>
          <w:sz w:val="20"/>
          <w:szCs w:val="20"/>
        </w:rPr>
        <w:footnoteRef/>
      </w:r>
      <w:r>
        <w:rPr>
          <w:rStyle w:val="a5"/>
          <w:sz w:val="20"/>
          <w:szCs w:val="20"/>
        </w:rPr>
        <w:t>[10]</w:t>
      </w:r>
      <w:r>
        <w:rPr>
          <w:sz w:val="20"/>
          <w:szCs w:val="20"/>
        </w:rPr>
        <w:t xml:space="preserve"> Капелюшников Р.И. Экономическая теория прав собственности. М., 1990. С. 11-12.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51C"/>
    <w:rsid w:val="0001451C"/>
    <w:rsid w:val="00101932"/>
    <w:rsid w:val="00571C1E"/>
    <w:rsid w:val="005F4FBE"/>
    <w:rsid w:val="00616072"/>
    <w:rsid w:val="008B35EE"/>
    <w:rsid w:val="009D2899"/>
    <w:rsid w:val="00B42C45"/>
    <w:rsid w:val="00B47B6A"/>
    <w:rsid w:val="00B8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8A7633-D0DF-4E20-B726-E4C6C2D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1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01451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1451C"/>
    <w:rPr>
      <w:color w:val="0000FF"/>
      <w:u w:val="single"/>
    </w:rPr>
  </w:style>
  <w:style w:type="character" w:styleId="a5">
    <w:name w:val="footnote reference"/>
    <w:basedOn w:val="a0"/>
    <w:uiPriority w:val="99"/>
    <w:rsid w:val="0001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12054</Words>
  <Characters>6872</Characters>
  <Application>Microsoft Office Word</Application>
  <DocSecurity>0</DocSecurity>
  <Lines>57</Lines>
  <Paragraphs>37</Paragraphs>
  <ScaleCrop>false</ScaleCrop>
  <Company>Home</Company>
  <LinksUpToDate>false</LinksUpToDate>
  <CharactersWithSpaces>18889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 изучения институциональной экономики и её место в современной экономической теории </dc:title>
  <dc:subject/>
  <dc:creator>User</dc:creator>
  <cp:keywords/>
  <dc:description/>
  <cp:lastModifiedBy>admin</cp:lastModifiedBy>
  <cp:revision>2</cp:revision>
  <dcterms:created xsi:type="dcterms:W3CDTF">2014-01-25T10:32:00Z</dcterms:created>
  <dcterms:modified xsi:type="dcterms:W3CDTF">2014-01-25T10:32:00Z</dcterms:modified>
</cp:coreProperties>
</file>