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B" w:rsidRPr="001A4E18" w:rsidRDefault="002A547B" w:rsidP="001A4E18">
      <w:pPr>
        <w:spacing w:line="360" w:lineRule="auto"/>
        <w:ind w:firstLine="709"/>
        <w:jc w:val="center"/>
      </w:pPr>
      <w:r w:rsidRPr="001A4E18">
        <w:t>БЕЛОРУССКИЙ ГОСУДАРСТВЕННЫЙ УНИВЕРСИТЕТ ИНФОРМАТИКИ И РАДИОЭЛЕКТРОНИКИ</w:t>
      </w:r>
    </w:p>
    <w:p w:rsidR="002A547B" w:rsidRPr="001A4E18" w:rsidRDefault="002A547B" w:rsidP="001A4E18">
      <w:pPr>
        <w:spacing w:line="360" w:lineRule="auto"/>
        <w:ind w:firstLine="709"/>
        <w:jc w:val="center"/>
      </w:pPr>
      <w:r w:rsidRPr="001A4E18">
        <w:t>Кафедра менеджмента</w:t>
      </w:r>
    </w:p>
    <w:p w:rsidR="002A547B" w:rsidRPr="001A4E18" w:rsidRDefault="002A547B" w:rsidP="001A4E18">
      <w:pPr>
        <w:spacing w:line="360" w:lineRule="auto"/>
        <w:ind w:firstLine="709"/>
        <w:jc w:val="center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center"/>
        <w:rPr>
          <w:b/>
        </w:rPr>
      </w:pPr>
      <w:r w:rsidRPr="001A4E18">
        <w:rPr>
          <w:b/>
        </w:rPr>
        <w:t>РЕФЕРАТ</w:t>
      </w:r>
    </w:p>
    <w:p w:rsidR="002A547B" w:rsidRPr="001A4E18" w:rsidRDefault="002A547B" w:rsidP="001A4E18">
      <w:pPr>
        <w:spacing w:line="360" w:lineRule="auto"/>
        <w:ind w:firstLine="709"/>
        <w:jc w:val="center"/>
        <w:rPr>
          <w:b/>
        </w:rPr>
      </w:pPr>
      <w:r w:rsidRPr="001A4E18">
        <w:rPr>
          <w:b/>
        </w:rPr>
        <w:t>На тему:</w:t>
      </w:r>
    </w:p>
    <w:p w:rsidR="002A547B" w:rsidRPr="001A4E18" w:rsidRDefault="002A547B" w:rsidP="001A4E18">
      <w:pPr>
        <w:spacing w:line="360" w:lineRule="auto"/>
        <w:ind w:firstLine="709"/>
        <w:jc w:val="center"/>
        <w:rPr>
          <w:b/>
        </w:rPr>
      </w:pPr>
    </w:p>
    <w:p w:rsidR="002A547B" w:rsidRPr="001A4E18" w:rsidRDefault="002A547B" w:rsidP="001A4E18">
      <w:pPr>
        <w:spacing w:line="360" w:lineRule="auto"/>
        <w:ind w:firstLine="709"/>
        <w:jc w:val="center"/>
        <w:rPr>
          <w:b/>
        </w:rPr>
      </w:pPr>
      <w:r w:rsidRPr="001A4E18">
        <w:rPr>
          <w:b/>
        </w:rPr>
        <w:t>«ПРЕДПРИНИМАТЕЛЬСКИЙ РИСК И</w:t>
      </w:r>
      <w:r w:rsidR="001A4E18">
        <w:rPr>
          <w:b/>
        </w:rPr>
        <w:t xml:space="preserve"> </w:t>
      </w:r>
      <w:r w:rsidRPr="001A4E18">
        <w:rPr>
          <w:b/>
        </w:rPr>
        <w:t>ЕГО СТРАХОВАНИЕ»</w:t>
      </w: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center"/>
      </w:pPr>
      <w:r w:rsidRPr="001A4E18">
        <w:t>МИНСК, 2008</w:t>
      </w:r>
    </w:p>
    <w:p w:rsidR="002A547B" w:rsidRPr="001A4E18" w:rsidRDefault="002A547B" w:rsidP="001A4E18">
      <w:pPr>
        <w:spacing w:line="360" w:lineRule="auto"/>
        <w:ind w:firstLine="709"/>
        <w:jc w:val="center"/>
        <w:rPr>
          <w:b/>
        </w:rPr>
      </w:pPr>
      <w:r w:rsidRPr="001A4E18">
        <w:br w:type="page"/>
      </w:r>
      <w:r w:rsidRPr="001A4E18">
        <w:rPr>
          <w:b/>
        </w:rPr>
        <w:lastRenderedPageBreak/>
        <w:t>СОДЕРЖАНИЕ</w:t>
      </w: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1. Сущность и содержание предпринимательского риска.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2. Функции предпринимательского риска.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3. Классификация рисков.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4. Определение зон риска.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5. Количественная оценка риска.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6. Страхование риска.</w:t>
      </w:r>
    </w:p>
    <w:p w:rsidR="002A547B" w:rsidRPr="001A4E18" w:rsidRDefault="002A547B" w:rsidP="001A4E18">
      <w:pPr>
        <w:spacing w:line="360" w:lineRule="auto"/>
        <w:ind w:firstLine="709"/>
        <w:jc w:val="center"/>
        <w:rPr>
          <w:b/>
          <w:bCs/>
        </w:rPr>
      </w:pPr>
      <w:r w:rsidRPr="001A4E18">
        <w:rPr>
          <w:bCs/>
        </w:rPr>
        <w:br w:type="page"/>
      </w:r>
      <w:bookmarkStart w:id="0" w:name="zak5_1_1"/>
      <w:r w:rsidRPr="001A4E18">
        <w:rPr>
          <w:b/>
          <w:bCs/>
        </w:rPr>
        <w:t xml:space="preserve">1. Сущность </w:t>
      </w:r>
      <w:bookmarkEnd w:id="0"/>
      <w:r w:rsidRPr="001A4E18">
        <w:rPr>
          <w:b/>
          <w:bCs/>
        </w:rPr>
        <w:t>и содержание предпринимательского риска.</w:t>
      </w:r>
    </w:p>
    <w:p w:rsidR="001A4E18" w:rsidRDefault="001A4E18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Риск – экономическая категория, связанная с преодолением неопределенности в производственных отношениях и базирующаяся на вероятностных оценках достижения как положительного, так и отрицательного результата.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Другими словами, под предпринимательским риском понимается риск, возникающий при любых видах деятельности, связанных с производством продукции (услуг), их реализацией, товарно-денежными и финансовыми операциями, которые всегда предполагают наличие и преодоление неопределенности в ситуации неизбежного выбора.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Основной предпосылкой предпринимательского риска является наличие альтернативных вариантов, решение тех или иных вопросов развития предприятия, его эффективного функционирования.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Практическими результатами проявления риска могут быть материальные и другие потери, остатки нереализованной продукции на складе, несвоевременные поставки сырья, материалов, снижение прибыли и т.д. Это подтверждает вывод, что с одной стороны, риск – это вероятность того, что действительный доход предпринимателя окажется меньше необходимого или запланированного. Как правило, все предприниматели стараются минимизировать риск.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С другой стороны, риск в принятии решений может выражаться не только в ущербе, но и в благоприятном исходе, удаче, в получении большей прибыли, чем ожидалось. Именно для этого идут на риск предприниматели.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Поэтому «освобождение от риска» отнюдь не является целью предпринимательской деятельности.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В данном случае действует закономерность «риск-возврат», подразумевающая возможность получения больших прибылей при более высоком уровне риска.</w:t>
      </w:r>
    </w:p>
    <w:p w:rsidR="002A547B" w:rsidRPr="001A4E18" w:rsidRDefault="001A4E18" w:rsidP="001A4E18">
      <w:pPr>
        <w:spacing w:line="360" w:lineRule="auto"/>
        <w:ind w:firstLine="709"/>
        <w:jc w:val="center"/>
        <w:rPr>
          <w:b/>
          <w:bCs/>
        </w:rPr>
      </w:pPr>
      <w:r>
        <w:br w:type="page"/>
      </w:r>
      <w:bookmarkStart w:id="1" w:name="zak4_4_2"/>
      <w:bookmarkStart w:id="2" w:name="zak5_1_2"/>
      <w:r w:rsidR="002A547B" w:rsidRPr="001A4E18">
        <w:rPr>
          <w:b/>
          <w:bCs/>
        </w:rPr>
        <w:t xml:space="preserve">2. Функции </w:t>
      </w:r>
      <w:bookmarkEnd w:id="1"/>
      <w:bookmarkEnd w:id="2"/>
      <w:r w:rsidR="002A547B" w:rsidRPr="001A4E18">
        <w:rPr>
          <w:b/>
          <w:bCs/>
        </w:rPr>
        <w:t>предпринимательского риска.</w:t>
      </w:r>
    </w:p>
    <w:p w:rsidR="001A4E18" w:rsidRDefault="001A4E18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1) Аналитическая – одна из главных функций. Предприниматель анализирует все возможные проекты вложения инвестиций, выбирая наиболее рентабельные и наименее рисковые.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2) Инновационная. Риск стимулирует поиск нетрадиционных решений (новый продукт, услуга).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3) Регулятивная функция выступает в двух формах – конструктивной и деструктивной.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Конструктивная форма риска проявляется в том, что он выполняет роль своеобразного </w:t>
      </w:r>
      <w:r w:rsidR="00685BC0" w:rsidRPr="001A4E18">
        <w:t>катализатора,</w:t>
      </w:r>
      <w:r w:rsidRPr="001A4E18">
        <w:t xml:space="preserve"> стимулирует поиск новых решений, активность, устремленность в будущее.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Деструктивная форма риска проявляется в том, что принятие решений с необоснованным риском ведут к волюнтаризму, а риск выступает в качестве дестабилизирующего фактора.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4) Защитная функция риска также имеет 2 аспекта: историко-генетический и социально-правовой.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Историко-генетический аспект проявляется в том, что люди всегда искали и ищут средства и формы защиты от возможных нежелательных последствий, а поэтому сохраняют резервные фонды, фонды риска, готовят управленцев, действующих дерзко, творчески, рискованно, но расчетливо.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Социально правовой состоит в обеспечении права новатора на риск, т.е. в защите инициативных, предприимчивых людей. Практическая реализация защитной функции связана с внедрением в уголовное, хозяйственное и трудовое законодательство категории правомерного риска.</w:t>
      </w:r>
    </w:p>
    <w:p w:rsidR="002A547B" w:rsidRPr="001A4E18" w:rsidRDefault="001A4E18" w:rsidP="001A4E18">
      <w:pPr>
        <w:spacing w:line="360" w:lineRule="auto"/>
        <w:ind w:firstLine="709"/>
        <w:jc w:val="center"/>
        <w:rPr>
          <w:b/>
          <w:bCs/>
        </w:rPr>
      </w:pPr>
      <w:bookmarkStart w:id="3" w:name="zak5_1_3"/>
      <w:r>
        <w:rPr>
          <w:bCs/>
        </w:rPr>
        <w:br w:type="page"/>
      </w:r>
      <w:r w:rsidR="002A547B" w:rsidRPr="001A4E18">
        <w:rPr>
          <w:b/>
          <w:bCs/>
        </w:rPr>
        <w:t>3. Классификация</w:t>
      </w:r>
      <w:bookmarkEnd w:id="3"/>
      <w:r w:rsidR="002A547B" w:rsidRPr="001A4E18">
        <w:rPr>
          <w:b/>
          <w:bCs/>
        </w:rPr>
        <w:t xml:space="preserve"> рисков.</w:t>
      </w:r>
    </w:p>
    <w:p w:rsidR="001A4E18" w:rsidRDefault="001A4E18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Предпринимательский риск может выступать в различных типах и видах.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Существует два типа риска: страхуемый и нестрахуемый. Первый предполагает уплату страховой компании  премии за несение риска и может быть трансформирован в определенные затраты фирмы. Примером второго, нестрахуемого типа, может служить риск потери из-за изменений в будущем спроса на товары.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В хозяйственной практике наиболее часто встречаются следующие виды риска: инвестиционный, банковский, кредитный, деловой, моральный, имущественный, валютный, риск безработицы и риск банкротства и т.д.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Виды риска выделяют и в зависимости от уровня принятия решений и факторов, обусловливающих появление и период действия риска (см. рис.1)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br w:type="page"/>
      </w:r>
      <w:r w:rsidR="0048180B">
        <w:rPr>
          <w:noProof/>
        </w:rPr>
        <w:pict>
          <v:rect id="_x0000_s1026" style="position:absolute;left:0;text-align:left;margin-left:116.55pt;margin-top:9.65pt;width:280.8pt;height:43.2pt;z-index:251642368" o:allowincell="f">
            <v:textbox style="mso-next-textbox:#_x0000_s1026">
              <w:txbxContent>
                <w:p w:rsidR="002A547B" w:rsidRDefault="002A547B" w:rsidP="002A547B">
                  <w:r>
                    <w:t>Классификация рисков в зависимости от:</w:t>
                  </w:r>
                </w:p>
              </w:txbxContent>
            </v:textbox>
          </v:rect>
        </w:pict>
      </w: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48180B" w:rsidP="001A4E18">
      <w:pPr>
        <w:spacing w:line="360" w:lineRule="auto"/>
        <w:ind w:firstLine="709"/>
        <w:jc w:val="both"/>
      </w:pPr>
      <w:r>
        <w:rPr>
          <w:noProof/>
        </w:rPr>
        <w:pict>
          <v:line id="_x0000_s1027" style="position:absolute;left:0;text-align:left;z-index:251651584" from="260.55pt,1.3pt" to="260.55pt,22.9pt" o:allowincell="f"/>
        </w:pic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rPr>
          <w:noProof/>
        </w:rPr>
        <w:pict>
          <v:line id="_x0000_s1028" style="position:absolute;left:0;text-align:left;z-index:251656704" from="433.35pt,6.8pt" to="433.35pt,21.2pt" o:allowincell="f"/>
        </w:pict>
      </w:r>
      <w:r>
        <w:rPr>
          <w:noProof/>
        </w:rPr>
        <w:pict>
          <v:line id="_x0000_s1029" style="position:absolute;left:0;text-align:left;z-index:251655680" from="325.35pt,6.8pt" to="325.35pt,21.2pt" o:allowincell="f"/>
        </w:pict>
      </w:r>
      <w:r>
        <w:rPr>
          <w:noProof/>
        </w:rPr>
        <w:pict>
          <v:line id="_x0000_s1030" style="position:absolute;left:0;text-align:left;z-index:251654656" from="202.95pt,6.8pt" to="202.95pt,21.2pt" o:allowincell="f"/>
        </w:pict>
      </w:r>
      <w:r>
        <w:rPr>
          <w:noProof/>
        </w:rPr>
        <w:pict>
          <v:line id="_x0000_s1031" style="position:absolute;left:0;text-align:left;z-index:251653632" from="51.75pt,6.8pt" to="51.75pt,21.2pt" o:allowincell="f"/>
        </w:pict>
      </w:r>
      <w:r>
        <w:rPr>
          <w:noProof/>
        </w:rPr>
        <w:pict>
          <v:line id="_x0000_s1032" style="position:absolute;left:0;text-align:left;z-index:251652608" from="51.75pt,6.8pt" to="433.35pt,6.8pt" o:allowincell="f"/>
        </w:pic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rPr>
          <w:noProof/>
        </w:rPr>
        <w:pict>
          <v:rect id="_x0000_s1033" style="position:absolute;left:0;text-align:left;margin-left:368.55pt;margin-top:5.1pt;width:108pt;height:64.8pt;z-index:251646464" o:allowincell="f">
            <v:textbox style="mso-next-textbox:#_x0000_s1033">
              <w:txbxContent>
                <w:p w:rsidR="002A547B" w:rsidRDefault="002A547B" w:rsidP="002A547B">
                  <w:r>
                    <w:t>факторов появления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.35pt;margin-top:5.1pt;width:129.6pt;height:64.8pt;z-index:251643392" o:allowincell="f">
            <v:textbox style="mso-next-textbox:#_x0000_s1034">
              <w:txbxContent>
                <w:p w:rsidR="002A547B" w:rsidRDefault="002A547B" w:rsidP="002A547B">
                  <w:r>
                    <w:t>уровня принятия</w:t>
                  </w:r>
                </w:p>
                <w:p w:rsidR="002A547B" w:rsidRDefault="002A547B" w:rsidP="002A547B">
                  <w:r>
                    <w:t>решений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45.35pt;margin-top:5.1pt;width:108pt;height:64.8pt;z-index:251644416" o:allowincell="f">
            <v:textbox style="mso-next-textbox:#_x0000_s1035">
              <w:txbxContent>
                <w:p w:rsidR="002A547B" w:rsidRDefault="002A547B" w:rsidP="002A547B">
                  <w:r>
                    <w:t>периода действия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60.55pt;margin-top:5.1pt;width:100.8pt;height:64.8pt;z-index:251645440" o:allowincell="f">
            <v:textbox style="mso-next-textbox:#_x0000_s1036">
              <w:txbxContent>
                <w:p w:rsidR="002A547B" w:rsidRDefault="002A547B" w:rsidP="002A547B">
                  <w:r>
                    <w:t>конкретных причин возникнов.</w:t>
                  </w:r>
                </w:p>
              </w:txbxContent>
            </v:textbox>
          </v:rect>
        </w:pict>
      </w: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48180B" w:rsidP="001A4E18">
      <w:pPr>
        <w:spacing w:line="360" w:lineRule="auto"/>
        <w:ind w:firstLine="709"/>
        <w:jc w:val="both"/>
      </w:pPr>
      <w:r>
        <w:rPr>
          <w:noProof/>
        </w:rPr>
        <w:pict>
          <v:line id="_x0000_s1037" style="position:absolute;left:0;text-align:left;z-index:251650560" from="368.55pt,5.5pt" to="368.55pt,142.3pt" o:allowincell="f"/>
        </w:pict>
      </w:r>
      <w:r>
        <w:rPr>
          <w:noProof/>
        </w:rPr>
        <w:pict>
          <v:line id="_x0000_s1038" style="position:absolute;left:0;text-align:left;z-index:251649536" from="267.75pt,5.5pt" to="267.75pt,63.1pt" o:allowincell="f"/>
        </w:pict>
      </w:r>
      <w:r>
        <w:rPr>
          <w:noProof/>
        </w:rPr>
        <w:pict>
          <v:line id="_x0000_s1039" style="position:absolute;left:0;text-align:left;z-index:251648512" from="152.55pt,5.5pt" to="152.55pt,63.1pt" o:allowincell="f"/>
        </w:pict>
      </w:r>
      <w:r>
        <w:rPr>
          <w:noProof/>
        </w:rPr>
        <w:pict>
          <v:line id="_x0000_s1040" style="position:absolute;left:0;text-align:left;z-index:251647488" from="22.95pt,5.5pt" to="22.95pt,63.1pt" o:allowincell="f"/>
        </w:pict>
      </w:r>
      <w:r w:rsidR="002A547B" w:rsidRPr="001A4E18">
        <w:t>- глобальный           -краткосрочный    - внешний            - связан с приро-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                                                                                                    дой человека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- локальный              -долгосрочный     -внутренний     - связан с природ-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                                                                                                 ным фактором </w:t>
      </w:r>
    </w:p>
    <w:p w:rsidR="002A547B" w:rsidRPr="001A4E18" w:rsidRDefault="002A547B" w:rsidP="00685BC0">
      <w:pPr>
        <w:numPr>
          <w:ilvl w:val="0"/>
          <w:numId w:val="1"/>
        </w:numPr>
        <w:tabs>
          <w:tab w:val="clear" w:pos="7804"/>
          <w:tab w:val="num" w:pos="1418"/>
        </w:tabs>
        <w:spacing w:line="360" w:lineRule="auto"/>
        <w:ind w:left="0" w:firstLine="709"/>
        <w:jc w:val="both"/>
      </w:pPr>
      <w:r w:rsidRPr="001A4E18">
        <w:t>связан с НТП</w:t>
      </w:r>
    </w:p>
    <w:p w:rsidR="002A547B" w:rsidRPr="001A4E18" w:rsidRDefault="002A547B" w:rsidP="001A4E18">
      <w:pPr>
        <w:numPr>
          <w:ilvl w:val="0"/>
          <w:numId w:val="1"/>
        </w:numPr>
        <w:tabs>
          <w:tab w:val="clear" w:pos="7804"/>
          <w:tab w:val="num" w:pos="1418"/>
        </w:tabs>
        <w:spacing w:line="360" w:lineRule="auto"/>
        <w:ind w:left="0" w:firstLine="709"/>
        <w:jc w:val="both"/>
      </w:pPr>
      <w:r w:rsidRPr="001A4E18">
        <w:t>связан с производственно-коммерческой деят.</w:t>
      </w: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Рис. 1. Классификация предпринимательских рисков</w:t>
      </w: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На практике все эти виды рисков предпринимательской деятельности могут быть «высокого» или «слабого уровня».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Согласно анализу возникновения рисков, чаще всего они более высоки, если: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1) проблемы возникают внезапно и вопреки ожиданиям;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2) задачи, стоящие перед производителем, не соответствуют его прошлому опыту;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3) неумело и (или) несвоевременно приняты контрмеры  руководством;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4) существующая экономическая ситуация внутри предприятия не позволяет принять срочные контрмеры.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Уровень риска зависит и от отношения масштаба ожидаемых потерь к объему имущества фирмы или предпринимателя, а также от вероятности наступления потерь. Речь идет не о расходах ресурсов, объективно обусловленных характером и масштабами предпринимательских действий, а о случайных, непредвиденных, но потенциально возможных потерях, возникающих вследствие отклонений реального хода предпринимательства от задуманного сценария. А как измерить величину этих потерь? Как оценить размеры риска?</w:t>
      </w:r>
    </w:p>
    <w:p w:rsidR="002A547B" w:rsidRPr="001A4E18" w:rsidRDefault="001A4E18" w:rsidP="001A4E18">
      <w:pPr>
        <w:spacing w:line="360" w:lineRule="auto"/>
        <w:ind w:firstLine="709"/>
        <w:jc w:val="center"/>
        <w:rPr>
          <w:b/>
          <w:bCs/>
        </w:rPr>
      </w:pPr>
      <w:bookmarkStart w:id="4" w:name="zak5_2_1"/>
      <w:r>
        <w:rPr>
          <w:bCs/>
        </w:rPr>
        <w:br w:type="page"/>
      </w:r>
      <w:r w:rsidR="002A547B" w:rsidRPr="001A4E18">
        <w:rPr>
          <w:b/>
          <w:bCs/>
        </w:rPr>
        <w:t xml:space="preserve">4. Определение </w:t>
      </w:r>
      <w:bookmarkEnd w:id="4"/>
      <w:r w:rsidR="002A547B" w:rsidRPr="001A4E18">
        <w:rPr>
          <w:b/>
          <w:bCs/>
        </w:rPr>
        <w:t>зон риска</w:t>
      </w:r>
    </w:p>
    <w:p w:rsidR="001A4E18" w:rsidRDefault="001A4E18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Предпринимателям необходимо уметь определять возможный риск принимаемого решения. Поскольку эти решения могут быть многовариантны, следует рассчитать риск для каждого варианта решения с тем, чтобы выбрать наиболее подходящую альтернативу.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Для того, чтобы рассчитать риск, сначала необходимо выделить определенные области или зоны риска в зависимости от величины потерь (рис.2).</w:t>
      </w:r>
    </w:p>
    <w:p w:rsidR="002A547B" w:rsidRPr="001A4E18" w:rsidRDefault="002A547B" w:rsidP="001A4E18">
      <w:pPr>
        <w:spacing w:line="360" w:lineRule="auto"/>
        <w:ind w:firstLine="709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280"/>
        <w:gridCol w:w="1838"/>
        <w:gridCol w:w="1701"/>
        <w:gridCol w:w="1843"/>
      </w:tblGrid>
      <w:tr w:rsidR="002A547B" w:rsidRPr="001A4E18">
        <w:trPr>
          <w:cantSplit/>
          <w:trHeight w:val="46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48180B" w:rsidP="00685BC0">
            <w:pPr>
              <w:spacing w:line="360" w:lineRule="auto"/>
              <w:jc w:val="both"/>
            </w:pPr>
            <w:r>
              <w:rPr>
                <w:noProof/>
              </w:rPr>
              <w:pict>
                <v:line id="_x0000_s1041" style="position:absolute;left:0;text-align:left;z-index:251660800" from="123.75pt,3pt" to="123.75pt,132.6pt" o:allowincell="f"/>
              </w:pict>
            </w:r>
            <w:r w:rsidR="002A547B" w:rsidRPr="001A4E18">
              <w:t>Выигрыш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2A547B" w:rsidP="00685BC0">
            <w:pPr>
              <w:spacing w:line="360" w:lineRule="auto"/>
              <w:jc w:val="both"/>
            </w:pPr>
            <w:r w:rsidRPr="001A4E18">
              <w:t>Потери</w:t>
            </w:r>
          </w:p>
        </w:tc>
      </w:tr>
      <w:tr w:rsidR="002A547B" w:rsidRPr="001A4E18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48180B" w:rsidP="00685BC0">
            <w:pPr>
              <w:spacing w:line="360" w:lineRule="auto"/>
              <w:jc w:val="both"/>
            </w:pPr>
            <w:r>
              <w:rPr>
                <w:noProof/>
              </w:rPr>
              <w:pict>
                <v:line id="_x0000_s1042" style="position:absolute;left:0;text-align:left;z-index:251663872;mso-position-horizontal-relative:text;mso-position-vertical-relative:text" from="368.55pt,1.3pt" to="368.55pt,116.5pt" o:allowincell="f"/>
              </w:pict>
            </w:r>
            <w:r>
              <w:rPr>
                <w:noProof/>
              </w:rPr>
              <w:pict>
                <v:line id="_x0000_s1043" style="position:absolute;left:0;text-align:left;z-index:251662848;mso-position-horizontal-relative:text;mso-position-vertical-relative:text" from="282.15pt,1.3pt" to="282.15pt,109.3pt" o:allowincell="f"/>
              </w:pict>
            </w:r>
            <w:r>
              <w:rPr>
                <w:noProof/>
              </w:rPr>
              <w:pict>
                <v:line id="_x0000_s1044" style="position:absolute;left:0;text-align:left;z-index:251661824;mso-position-horizontal-relative:text;mso-position-vertical-relative:text" from="188.55pt,1.3pt" to="188.55pt,109.3pt" o:allowincell="f"/>
              </w:pict>
            </w:r>
            <w:r>
              <w:rPr>
                <w:noProof/>
              </w:rPr>
              <w:pict>
                <v:line id="_x0000_s1045" style="position:absolute;left:0;text-align:left;flip:x;z-index:251659776;mso-position-horizontal-relative:text;mso-position-vertical-relative:text" from="22.95pt,1.3pt" to="58.95pt,1.3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46" style="position:absolute;left:0;text-align:left;z-index:251657728;mso-position-horizontal-relative:text;mso-position-vertical-relative:text" from="22.95pt,1.3pt" to="382.95pt,1.3pt" o:allowincell="f"/>
              </w:pict>
            </w:r>
            <w:r>
              <w:rPr>
                <w:noProof/>
              </w:rPr>
              <w:pict>
                <v:line id="_x0000_s1047" style="position:absolute;left:0;text-align:left;z-index:251658752;mso-position-horizontal-relative:text;mso-position-vertical-relative:text" from="368.55pt,1.3pt" to="397.35pt,1.3pt" o:allowincell="f">
                  <v:stroke endarrow="block"/>
                </v:line>
              </w:pic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2A547B" w:rsidP="00685BC0">
            <w:pPr>
              <w:spacing w:line="360" w:lineRule="auto"/>
              <w:jc w:val="both"/>
            </w:pPr>
            <w:r w:rsidRPr="001A4E18">
              <w:t>Зона допустимого риска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2A547B" w:rsidP="00685BC0">
            <w:pPr>
              <w:spacing w:line="360" w:lineRule="auto"/>
              <w:jc w:val="both"/>
            </w:pPr>
            <w:r w:rsidRPr="001A4E18">
              <w:t>Зона критического риска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2A547B" w:rsidP="00685BC0">
            <w:pPr>
              <w:spacing w:line="360" w:lineRule="auto"/>
              <w:jc w:val="both"/>
            </w:pPr>
            <w:r w:rsidRPr="001A4E18">
              <w:t>Зона катастрофического риска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2A547B" w:rsidP="00685BC0">
            <w:pPr>
              <w:spacing w:line="360" w:lineRule="auto"/>
              <w:jc w:val="both"/>
            </w:pPr>
          </w:p>
        </w:tc>
      </w:tr>
      <w:tr w:rsidR="002A547B" w:rsidRPr="001A4E18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48180B" w:rsidP="00685BC0">
            <w:pPr>
              <w:spacing w:line="360" w:lineRule="auto"/>
              <w:jc w:val="both"/>
            </w:pPr>
            <w:r>
              <w:rPr>
                <w:noProof/>
              </w:rPr>
              <w:pict>
                <v:line id="_x0000_s1048" style="position:absolute;left:0;text-align:left;z-index:251673088;mso-position-horizontal-relative:text;mso-position-vertical-relative:text" from="22.95pt,44.9pt" to="462.15pt,44.9pt" o:allowincell="f"/>
              </w:pict>
            </w:r>
            <w:r>
              <w:rPr>
                <w:noProof/>
              </w:rPr>
              <w:pict>
                <v:line id="_x0000_s1049" style="position:absolute;left:0;text-align:left;z-index:251672064;mso-position-horizontal-relative:text;mso-position-vertical-relative:text" from="354.15pt,1.7pt" to="368.55pt,1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0" style="position:absolute;left:0;text-align:left;flip:x;z-index:251671040;mso-position-horizontal-relative:text;mso-position-vertical-relative:text" from="282.15pt,1.7pt" to="296.55pt,1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1" style="position:absolute;left:0;text-align:left;z-index:251670016;mso-position-horizontal-relative:text;mso-position-vertical-relative:text" from="267.75pt,1.7pt" to="282.15pt,1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2" style="position:absolute;left:0;text-align:left;flip:x;z-index:251668992;mso-position-horizontal-relative:text;mso-position-vertical-relative:text" from="188.55pt,1.7pt" to="202.95pt,1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3" style="position:absolute;left:0;text-align:left;z-index:251667968;mso-position-horizontal-relative:text;mso-position-vertical-relative:text" from="174.15pt,1.7pt" to="188.55pt,1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4" style="position:absolute;left:0;text-align:left;z-index:251664896;mso-position-horizontal-relative:text;mso-position-vertical-relative:text" from="22.95pt,1.7pt" to="375.75pt,1.7pt" o:allowincell="f"/>
              </w:pict>
            </w:r>
            <w:r>
              <w:rPr>
                <w:noProof/>
              </w:rPr>
              <w:pict>
                <v:line id="_x0000_s1055" style="position:absolute;left:0;text-align:left;flip:x;z-index:251666944;mso-position-horizontal-relative:text;mso-position-vertical-relative:text" from="123.75pt,1.7pt" to="138.15pt,1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6" style="position:absolute;left:0;text-align:left;z-index:251665920;mso-position-horizontal-relative:text;mso-position-vertical-relative:text" from="109.35pt,1.7pt" to="123.75pt,1.7pt" o:allowincell="f">
                  <v:stroke endarrow="block"/>
                </v:line>
              </w:pict>
            </w:r>
            <w:r w:rsidR="002A547B" w:rsidRPr="001A4E18">
              <w:t>Безрисковая зона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2A547B" w:rsidP="00685BC0">
            <w:pPr>
              <w:spacing w:line="360" w:lineRule="auto"/>
              <w:jc w:val="both"/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2A547B" w:rsidP="00685BC0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2A547B" w:rsidP="00685BC0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547B" w:rsidRPr="001A4E18" w:rsidRDefault="002A547B" w:rsidP="00685BC0">
            <w:pPr>
              <w:spacing w:line="360" w:lineRule="auto"/>
              <w:jc w:val="both"/>
            </w:pPr>
            <w:r w:rsidRPr="001A4E18">
              <w:t>Величина возможных потерь</w:t>
            </w:r>
          </w:p>
        </w:tc>
      </w:tr>
    </w:tbl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                                     Расчетная            Расчетная            Имущественное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                                     прибыль              выручка               состояние</w:t>
      </w: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Рис.2. Схема зон риска</w:t>
      </w:r>
    </w:p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pStyle w:val="a3"/>
        <w:spacing w:line="360" w:lineRule="auto"/>
      </w:pPr>
      <w:r w:rsidRPr="001A4E18">
        <w:t>Таким образом, при оценке рисковой ситуации надо выделять области, в которой потери не ожидаются (присутствует превышение прибыли, т.е. безрисковую зону) и три зоны риска: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1. Зона допустимого риска означает, что в ее пределах данный вид деятельности предпринимателя экономически целесообразен, т.к. потери есть, но они меньше расчетной (ожидаемой) прибыли.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2. Зона критического риска характеризуется возможностью потерь, превышающих величину ожидаемой прибыли, вплоть до величины полной расчетной выручки (представляет сумму затрат и прибыли), т.е. предприниматель (фирма) не получает от сделки никакого дохода и несут убытки в сумме всех средств, вложенных в дело.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3. Зона катастрофического риска представляет область потерь, которые по своей величине превосходят критический уровень и в максимуме могут достигать величины, равной имущественному состоянию предпринимателя, т.е. привести к банкротству.</w:t>
      </w:r>
    </w:p>
    <w:p w:rsidR="002A547B" w:rsidRPr="00685BC0" w:rsidRDefault="00685BC0" w:rsidP="00685BC0">
      <w:pPr>
        <w:pStyle w:val="3"/>
        <w:spacing w:line="360" w:lineRule="auto"/>
        <w:jc w:val="center"/>
        <w:rPr>
          <w:bCs/>
        </w:rPr>
      </w:pPr>
      <w:bookmarkStart w:id="5" w:name="zak5_2_2"/>
      <w:r>
        <w:rPr>
          <w:b w:val="0"/>
          <w:bCs/>
        </w:rPr>
        <w:br w:type="page"/>
      </w:r>
      <w:r w:rsidR="002A547B" w:rsidRPr="00685BC0">
        <w:rPr>
          <w:bCs/>
        </w:rPr>
        <w:t xml:space="preserve">5. Количественная </w:t>
      </w:r>
      <w:bookmarkEnd w:id="5"/>
      <w:r w:rsidR="002A547B" w:rsidRPr="00685BC0">
        <w:rPr>
          <w:bCs/>
        </w:rPr>
        <w:t>оценка риска.</w:t>
      </w:r>
    </w:p>
    <w:p w:rsidR="00685BC0" w:rsidRDefault="00685BC0" w:rsidP="001A4E18">
      <w:pPr>
        <w:pStyle w:val="a3"/>
        <w:spacing w:line="360" w:lineRule="auto"/>
      </w:pPr>
    </w:p>
    <w:p w:rsidR="002A547B" w:rsidRPr="001A4E18" w:rsidRDefault="002A547B" w:rsidP="001A4E18">
      <w:pPr>
        <w:pStyle w:val="a3"/>
        <w:spacing w:line="360" w:lineRule="auto"/>
      </w:pPr>
      <w:r w:rsidRPr="001A4E18">
        <w:t>Для количественной оценки хозяйственного риска можно использовать две группы методов: формально-логические и эмпирические.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В основе первой группы лежит попытка выразить те или иные ситуации полностью или частично формализованными процедурами, отражающими логику развития исследуемых явлений путем учета взаимосвязей между ними.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Их использование предполагает выдвижение рабочих гипотез о возможном характере взаимосвязей между изучаемыми процессами, формализацию в виде математического закона либо совокупности правил, количественно отражающих развитие рассматриваемых явлений.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Применение методов этой группы характеризуется наличием сложного вычислительного аппарата и большой  трудоемкости расчета и анализа, а  поэтому в практике используются редко (применительно к страховому и игровому риску).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Вторая группа методов основана на эмпирических выводах. В эту группу входят экспертные и статистические методы.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Экспертные методы направлены на выявление и формирование обобщенного мнения экспертов (опытных предпринимателей или специалистов) по количественной оценке риска. Таким образом устанавливают показатели возможных допустимых, критических и катастрофических потерь имея в виду как их уровни, так и вероятности.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Статистические методы анализа и прогнозирования используются в тех ситуациях, когда необходимая информация может быть получена на основе анализа и обработки конкретных данных о состоянии изучаемых явлений за некоторый период времени.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Для анализа уровня риска чаще всего используется формула:</w:t>
      </w:r>
    </w:p>
    <w:p w:rsidR="002A547B" w:rsidRPr="001A4E18" w:rsidRDefault="0048180B" w:rsidP="001A4E18">
      <w:pPr>
        <w:tabs>
          <w:tab w:val="left" w:pos="8364"/>
        </w:tabs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6pt" fillcolor="window">
            <v:imagedata r:id="rId5" o:title=""/>
          </v:shape>
        </w:pict>
      </w:r>
      <w:r w:rsidR="002A547B" w:rsidRPr="001A4E18">
        <w:t>,                                            (1)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где </w:t>
      </w:r>
      <w:r w:rsidR="0048180B">
        <w:pict>
          <v:shape id="_x0000_i1026" type="#_x0000_t75" style="width:12.75pt;height:14.25pt">
            <v:imagedata r:id="rId6" o:title=""/>
          </v:shape>
        </w:pict>
      </w:r>
      <w:r w:rsidRPr="001A4E18">
        <w:t xml:space="preserve"> – риск при принятии управленческого решения (величина абстрактная);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27" type="#_x0000_t75" style="width:12pt;height:14.25pt">
            <v:imagedata r:id="rId7" o:title=""/>
          </v:shape>
        </w:pict>
      </w:r>
      <w:r w:rsidR="002A547B" w:rsidRPr="001A4E18">
        <w:t xml:space="preserve"> – возможные убытки в результате принятия управленческого решения (в сумме);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28" type="#_x0000_t75" style="width:14.25pt;height:12.75pt">
            <v:imagedata r:id="rId8" o:title=""/>
          </v:shape>
        </w:pict>
      </w:r>
      <w:r w:rsidR="002A547B" w:rsidRPr="001A4E18">
        <w:t xml:space="preserve"> – возможная прибыль, доход, в результате принятия управленческого решения (в сумме);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29" type="#_x0000_t75" style="width:17.25pt;height:20.25pt">
            <v:imagedata r:id="rId9" o:title=""/>
          </v:shape>
        </w:pict>
      </w:r>
      <w:r w:rsidR="002A547B" w:rsidRPr="001A4E18">
        <w:t xml:space="preserve"> – вероятность убытков;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30" type="#_x0000_t75" style="width:17.25pt;height:18pt">
            <v:imagedata r:id="rId10" o:title=""/>
          </v:shape>
        </w:pict>
      </w:r>
      <w:r w:rsidR="002A547B" w:rsidRPr="001A4E18">
        <w:t xml:space="preserve"> – вероятность прибыли.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При этом </w:t>
      </w:r>
      <w:r w:rsidR="0048180B">
        <w:pict>
          <v:shape id="_x0000_i1031" type="#_x0000_t75" style="width:60pt;height:20.25pt">
            <v:imagedata r:id="rId11" o:title=""/>
          </v:shape>
        </w:pic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Показатель </w:t>
      </w:r>
      <w:r w:rsidR="0048180B">
        <w:pict>
          <v:shape id="_x0000_i1032" type="#_x0000_t75" style="width:12.75pt;height:14.25pt">
            <v:imagedata r:id="rId6" o:title=""/>
          </v:shape>
        </w:pict>
      </w:r>
      <w:r w:rsidRPr="001A4E18">
        <w:t xml:space="preserve"> (риск) тем больше, чем больше </w:t>
      </w:r>
      <w:r w:rsidR="0048180B">
        <w:pict>
          <v:shape id="_x0000_i1033" type="#_x0000_t75" style="width:12pt;height:14.25pt">
            <v:imagedata r:id="rId7" o:title=""/>
          </v:shape>
        </w:pict>
      </w:r>
      <w:r w:rsidRPr="001A4E18">
        <w:t xml:space="preserve"> и </w:t>
      </w:r>
      <w:r w:rsidR="0048180B">
        <w:pict>
          <v:shape id="_x0000_i1034" type="#_x0000_t75" style="width:17.25pt;height:20.25pt">
            <v:imagedata r:id="rId9" o:title=""/>
          </v:shape>
        </w:pict>
      </w:r>
      <w:r w:rsidRPr="001A4E18">
        <w:t xml:space="preserve"> и чем меньше </w:t>
      </w:r>
      <w:r w:rsidR="0048180B">
        <w:pict>
          <v:shape id="_x0000_i1035" type="#_x0000_t75" style="width:15.75pt;height:14.25pt">
            <v:imagedata r:id="rId12" o:title=""/>
          </v:shape>
        </w:pict>
      </w:r>
      <w:r w:rsidRPr="001A4E18">
        <w:t xml:space="preserve"> и</w:t>
      </w:r>
      <w:r w:rsidR="0048180B">
        <w:pict>
          <v:shape id="_x0000_i1036" type="#_x0000_t75" style="width:17.25pt;height:18pt">
            <v:imagedata r:id="rId10" o:title=""/>
          </v:shape>
        </w:pict>
      </w:r>
      <w:r w:rsidRPr="001A4E18">
        <w:t xml:space="preserve"> 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Показатель </w:t>
      </w:r>
      <w:r w:rsidR="0048180B">
        <w:pict>
          <v:shape id="_x0000_i1037" type="#_x0000_t75" style="width:12.75pt;height:14.25pt">
            <v:imagedata r:id="rId6" o:title=""/>
          </v:shape>
        </w:pict>
      </w:r>
      <w:r w:rsidRPr="001A4E18">
        <w:t xml:space="preserve"> (риск) тем меньше, чем меньше </w:t>
      </w:r>
      <w:r w:rsidR="0048180B">
        <w:pict>
          <v:shape id="_x0000_i1038" type="#_x0000_t75" style="width:12pt;height:14.25pt">
            <v:imagedata r:id="rId7" o:title=""/>
          </v:shape>
        </w:pict>
      </w:r>
      <w:r w:rsidRPr="001A4E18">
        <w:t xml:space="preserve"> и </w:t>
      </w:r>
      <w:r w:rsidR="0048180B">
        <w:pict>
          <v:shape id="_x0000_i1039" type="#_x0000_t75" style="width:17.25pt;height:20.25pt">
            <v:imagedata r:id="rId9" o:title=""/>
          </v:shape>
        </w:pict>
      </w:r>
      <w:r w:rsidRPr="001A4E18">
        <w:t xml:space="preserve"> и чем больше </w:t>
      </w:r>
      <w:r w:rsidR="0048180B">
        <w:pict>
          <v:shape id="_x0000_i1040" type="#_x0000_t75" style="width:14.25pt;height:12.75pt">
            <v:imagedata r:id="rId8" o:title=""/>
          </v:shape>
        </w:pict>
      </w:r>
      <w:r w:rsidRPr="001A4E18">
        <w:t xml:space="preserve"> и </w:t>
      </w:r>
      <w:r w:rsidR="0048180B">
        <w:pict>
          <v:shape id="_x0000_i1041" type="#_x0000_t75" style="width:17.25pt;height:18pt">
            <v:imagedata r:id="rId10" o:title=""/>
          </v:shape>
        </w:pict>
      </w:r>
      <w:r w:rsidRPr="001A4E18">
        <w:t xml:space="preserve"> 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Общий вывод: допускается принятие управленческого решения, если риск не превышает 1 (от 0,1 до 0,9 включительно); если риск превышает 1 (от 1 до 2, до 3 и т.д.), лучше воздержаться от принятия такого решения.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42" type="#_x0000_t75" style="width:15pt;height:18.75pt">
            <v:imagedata r:id="rId13" o:title=""/>
          </v:shape>
        </w:pict>
      </w:r>
      <w:r w:rsidR="002A547B" w:rsidRPr="001A4E18">
        <w:t xml:space="preserve"> = </w:t>
      </w:r>
      <w:r>
        <w:pict>
          <v:shape id="_x0000_i1043" type="#_x0000_t75" style="width:90.75pt;height:38.25pt" fillcolor="window">
            <v:imagedata r:id="rId14" o:title=""/>
          </v:shape>
        </w:pict>
      </w:r>
      <w:r w:rsidR="002A547B" w:rsidRPr="001A4E18">
        <w:t>- доп.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44" type="#_x0000_t75" style="width:105pt;height:38.25pt" fillcolor="window">
            <v:imagedata r:id="rId15" o:title=""/>
          </v:shape>
        </w:pict>
      </w:r>
      <w:r w:rsidR="002A547B" w:rsidRPr="001A4E18">
        <w:t xml:space="preserve"> - не доп.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Степень риска иногда определяется как произведение ожидаемого ущерба на вероятность того, что ущерб произойдет.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rPr>
          <w:lang w:val="en-US"/>
        </w:rPr>
        <w:pict>
          <v:shape id="_x0000_i1045" type="#_x0000_t75" style="width:116.25pt;height:18.75pt">
            <v:imagedata r:id="rId16" o:title=""/>
          </v:shape>
        </w:pict>
      </w:r>
      <w:r w:rsidR="002A547B" w:rsidRPr="001A4E18">
        <w:t xml:space="preserve">, где </w:t>
      </w:r>
      <w:r>
        <w:pict>
          <v:shape id="_x0000_i1046" type="#_x0000_t75" style="width:17.25pt;height:12pt" fillcolor="window">
            <v:imagedata r:id="rId17" o:title=""/>
          </v:shape>
        </w:pict>
      </w:r>
      <w:r w:rsidR="002A547B" w:rsidRPr="001A4E18">
        <w:t xml:space="preserve"> </w:t>
      </w:r>
      <w:r w:rsidR="002A547B" w:rsidRPr="001A4E18">
        <w:rPr>
          <w:lang w:val="en-US"/>
        </w:rPr>
        <w:t>min</w:t>
      </w:r>
      <w:r w:rsidR="002A547B" w:rsidRPr="001A4E18">
        <w:t>,                        (2)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rPr>
          <w:lang w:val="en-US"/>
        </w:rPr>
        <w:pict>
          <v:shape id="_x0000_i1047" type="#_x0000_t75" style="width:66pt;height:18pt">
            <v:imagedata r:id="rId18" o:title=""/>
          </v:shape>
        </w:pict>
      </w:r>
      <w:r w:rsidR="002A547B" w:rsidRPr="001A4E18">
        <w:t xml:space="preserve"> </w:t>
      </w:r>
      <w:r>
        <w:pict>
          <v:shape id="_x0000_i1048" type="#_x0000_t75" style="width:17.25pt;height:12pt" fillcolor="window">
            <v:imagedata r:id="rId17" o:title=""/>
          </v:shape>
        </w:pict>
      </w:r>
      <w:r w:rsidR="002A547B" w:rsidRPr="001A4E18">
        <w:t xml:space="preserve"> </w:t>
      </w:r>
      <w:r w:rsidR="002A547B" w:rsidRPr="001A4E18">
        <w:rPr>
          <w:lang w:val="en-US"/>
        </w:rPr>
        <w:t>min</w:t>
      </w:r>
      <w:r w:rsidR="002A547B" w:rsidRPr="001A4E18">
        <w:t>,                               (3)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где </w:t>
      </w:r>
      <w:r w:rsidR="0048180B">
        <w:pict>
          <v:shape id="_x0000_i1049" type="#_x0000_t75" style="width:12pt;height:14.25pt">
            <v:imagedata r:id="rId19" o:title=""/>
          </v:shape>
        </w:pict>
      </w:r>
      <w:r w:rsidRPr="001A4E18">
        <w:t xml:space="preserve"> – ущерб; 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50" type="#_x0000_t75" style="width:30pt;height:18pt">
            <v:imagedata r:id="rId20" o:title=""/>
          </v:shape>
        </w:pict>
      </w:r>
      <w:r w:rsidR="002A547B" w:rsidRPr="001A4E18">
        <w:t xml:space="preserve"> – вероятность ущерба;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51" type="#_x0000_t75" style="width:12.75pt;height:14.25pt">
            <v:imagedata r:id="rId6" o:title=""/>
          </v:shape>
        </w:pict>
      </w:r>
      <w:r w:rsidR="002A547B" w:rsidRPr="001A4E18">
        <w:t xml:space="preserve"> – риск; 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52" type="#_x0000_t75" style="width:12.75pt;height:14.25pt">
            <v:imagedata r:id="rId21" o:title=""/>
          </v:shape>
        </w:pict>
      </w:r>
      <w:r w:rsidR="002A547B" w:rsidRPr="001A4E18">
        <w:t xml:space="preserve"> и </w:t>
      </w:r>
      <w:r>
        <w:pict>
          <v:shape id="_x0000_i1053" type="#_x0000_t75" style="width:12.75pt;height:14.25pt">
            <v:imagedata r:id="rId22" o:title=""/>
          </v:shape>
        </w:pict>
      </w:r>
      <w:r w:rsidR="002A547B" w:rsidRPr="001A4E18">
        <w:t xml:space="preserve"> – ущерб от выбираемых решений; 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54" type="#_x0000_t75" style="width:15pt;height:18.75pt">
            <v:imagedata r:id="rId23" o:title=""/>
          </v:shape>
        </w:pict>
      </w:r>
      <w:r w:rsidR="002A547B" w:rsidRPr="001A4E18">
        <w:t xml:space="preserve"> и </w:t>
      </w:r>
      <w:r>
        <w:pict>
          <v:shape id="_x0000_i1055" type="#_x0000_t75" style="width:17.25pt;height:18.75pt">
            <v:imagedata r:id="rId24" o:title=""/>
          </v:shape>
        </w:pict>
      </w:r>
      <w:r w:rsidR="002A547B" w:rsidRPr="001A4E18">
        <w:t xml:space="preserve"> – значения вероятности ошибок при принятии этих решений. 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Кроме этого, величину риска можно определить и как сумму ущерба и дохода, взвешенных на вероятность их наступления:</w:t>
      </w:r>
    </w:p>
    <w:p w:rsidR="002A547B" w:rsidRPr="001A4E18" w:rsidRDefault="0048180B" w:rsidP="001A4E18">
      <w:pPr>
        <w:tabs>
          <w:tab w:val="left" w:pos="8505"/>
        </w:tabs>
        <w:spacing w:line="360" w:lineRule="auto"/>
        <w:ind w:firstLine="709"/>
        <w:jc w:val="both"/>
      </w:pPr>
      <w:r>
        <w:rPr>
          <w:lang w:val="en-US"/>
        </w:rPr>
        <w:pict>
          <v:shape id="_x0000_i1056" type="#_x0000_t75" style="width:93pt;height:17.25pt">
            <v:imagedata r:id="rId25" o:title=""/>
          </v:shape>
        </w:pict>
      </w:r>
      <w:r w:rsidR="002A547B" w:rsidRPr="001A4E18">
        <w:t xml:space="preserve"> </w:t>
      </w:r>
      <w:r>
        <w:pict>
          <v:shape id="_x0000_i1057" type="#_x0000_t75" style="width:17.25pt;height:12pt" fillcolor="window">
            <v:imagedata r:id="rId17" o:title=""/>
          </v:shape>
        </w:pict>
      </w:r>
      <w:r w:rsidR="002A547B" w:rsidRPr="001A4E18">
        <w:t xml:space="preserve"> </w:t>
      </w:r>
      <w:r w:rsidR="002A547B" w:rsidRPr="001A4E18">
        <w:rPr>
          <w:lang w:val="en-US"/>
        </w:rPr>
        <w:t>min</w:t>
      </w:r>
      <w:r w:rsidR="002A547B" w:rsidRPr="001A4E18">
        <w:t>,                            (4)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где </w:t>
      </w:r>
      <w:r w:rsidR="0048180B">
        <w:pict>
          <v:shape id="_x0000_i1058" type="#_x0000_t75" style="width:12.75pt;height:14.25pt">
            <v:imagedata r:id="rId6" o:title=""/>
          </v:shape>
        </w:pict>
      </w:r>
      <w:r w:rsidRPr="001A4E18">
        <w:t xml:space="preserve"> – величина риска; 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59" type="#_x0000_t75" style="width:12pt;height:14.25pt">
            <v:imagedata r:id="rId19" o:title=""/>
          </v:shape>
        </w:pict>
      </w:r>
      <w:r w:rsidR="002A547B" w:rsidRPr="001A4E18">
        <w:t xml:space="preserve"> – ожидаемый ущерб; 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60" type="#_x0000_t75" style="width:12.75pt;height:14.25pt">
            <v:imagedata r:id="rId26" o:title=""/>
          </v:shape>
        </w:pict>
      </w:r>
      <w:r w:rsidR="002A547B" w:rsidRPr="001A4E18">
        <w:t xml:space="preserve"> – вероятность наступления ущерба; 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61" type="#_x0000_t75" style="width:15.75pt;height:14.25pt">
            <v:imagedata r:id="rId12" o:title=""/>
          </v:shape>
        </w:pict>
      </w:r>
      <w:r w:rsidR="002A547B" w:rsidRPr="001A4E18">
        <w:t xml:space="preserve"> – ожидаемый доход.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Портфельный риск заключается в вероятности потери по отдельным типам ценных бумаг, а также по всей категории ссуд.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Существует  основная концепция теории «портфеля»: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концепция «избежания риска», согласно которой акционеры и инвесторы стараются снизить уровень риска всегда, когда это возможно. Эта концепция связана с «законом полезности», т.е. чем больше наличный капитал, тем меньше акционер старается его увеличивать. Например, при исходном капитале в 1000 денежных единиц инвестор гораздо больше доволен, получая прибыль 100 единиц, чем если бы его уставной капитал составлял 100000 ден. ед.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Отдача акционерного капитала (</w:t>
      </w:r>
      <w:r w:rsidR="0048180B">
        <w:pict>
          <v:shape id="_x0000_i1062" type="#_x0000_t75" style="width:30.75pt;height:17.25pt">
            <v:imagedata r:id="rId27" o:title=""/>
          </v:shape>
        </w:pict>
      </w:r>
      <w:r w:rsidRPr="001A4E18">
        <w:t>)</w:t>
      </w:r>
      <w:r w:rsidR="0048180B">
        <w:pict>
          <v:shape id="_x0000_i1063" type="#_x0000_t75" style="width:396.75pt;height:33pt" fillcolor="window">
            <v:imagedata r:id="rId28" o:title=""/>
          </v:shape>
        </w:pict>
      </w:r>
      <w:r w:rsidRPr="001A4E18">
        <w:t>, (5)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64" type="#_x0000_t75" style="width:33pt;height:17.25pt">
            <v:imagedata r:id="rId29" o:title=""/>
          </v:shape>
        </w:pict>
      </w:r>
      <w:r>
        <w:rPr>
          <w:lang w:val="en-US"/>
        </w:rPr>
        <w:pict>
          <v:shape id="_x0000_i1065" type="#_x0000_t75" style="width:210pt;height:35.25pt" fillcolor="window">
            <v:imagedata r:id="rId30" o:title=""/>
          </v:shape>
        </w:pict>
      </w:r>
      <w:r>
        <w:rPr>
          <w:lang w:val="en-US"/>
        </w:rPr>
        <w:pict>
          <v:shape id="_x0000_i1066" type="#_x0000_t75" style="width:87pt;height:17.25pt">
            <v:imagedata r:id="rId31" o:title=""/>
          </v:shape>
        </w:pict>
      </w:r>
      <w:r w:rsidR="002A547B" w:rsidRPr="001A4E18">
        <w:t>.         (6)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При определении размеров валютного риска используются 2 метода: «мэтчинг» и «неттинг». В 1-м случае сумма поступлений валюты вычитается из величины ее оттока и таким образом определяется реальный размер в статике и динамике. Во-втором случае – максимальное сокращение числа валютных сделок путем их укрупнения и согласования действий всех подразделений самого производителя. Эти методы используются и транснациональными банками.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Для определения степени допустимости общего размера риска банка можно использовать следующую формулу:</w:t>
      </w:r>
    </w:p>
    <w:p w:rsidR="002A547B" w:rsidRPr="001A4E18" w:rsidRDefault="0048180B" w:rsidP="001A4E18">
      <w:pPr>
        <w:tabs>
          <w:tab w:val="left" w:pos="8364"/>
        </w:tabs>
        <w:spacing w:line="360" w:lineRule="auto"/>
        <w:ind w:firstLine="709"/>
        <w:jc w:val="both"/>
      </w:pPr>
      <w:r>
        <w:pict>
          <v:shape id="_x0000_i1067" type="#_x0000_t75" style="width:156pt;height:35.25pt" fillcolor="window">
            <v:imagedata r:id="rId32" o:title=""/>
          </v:shape>
        </w:pict>
      </w:r>
      <w:r w:rsidR="002A547B" w:rsidRPr="001A4E18">
        <w:t xml:space="preserve">                                (7)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где </w:t>
      </w:r>
      <w:r w:rsidR="0048180B">
        <w:pict>
          <v:shape id="_x0000_i1068" type="#_x0000_t75" style="width:14.25pt;height:12.75pt">
            <v:imagedata r:id="rId33" o:title=""/>
          </v:shape>
        </w:pict>
      </w:r>
      <w:r w:rsidRPr="001A4E18">
        <w:t xml:space="preserve"> – степень допустимого общего риска банка; 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69" type="#_x0000_t75" style="width:12pt;height:12.75pt">
            <v:imagedata r:id="rId34" o:title=""/>
          </v:shape>
        </w:pict>
      </w:r>
      <w:r w:rsidR="002A547B" w:rsidRPr="001A4E18">
        <w:t xml:space="preserve"> – риски банка по всем операциям (или взвешенные с учетом риска актива); 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70" type="#_x0000_t75" style="width:12pt;height:12.75pt">
            <v:imagedata r:id="rId35" o:title=""/>
          </v:shape>
        </w:pict>
      </w:r>
      <w:r w:rsidR="002A547B" w:rsidRPr="001A4E18">
        <w:t xml:space="preserve"> – внешние риски банка [0-10]; 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71" type="#_x0000_t75" style="width:12.75pt;height:12.75pt">
            <v:imagedata r:id="rId36" o:title=""/>
          </v:shape>
        </w:pict>
      </w:r>
      <w:r w:rsidR="002A547B" w:rsidRPr="001A4E18">
        <w:t xml:space="preserve"> – капитал банка.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Этот показатель отражает максимально возможную степень риска за определенный период, за которым следует крах банка. Его максимально допустимое значение не должно превышать 10.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72" type="#_x0000_t75" style="width:426.75pt;height:38.25pt" fillcolor="window">
            <v:imagedata r:id="rId37" o:title=""/>
          </v:shape>
        </w:pict>
      </w:r>
      <w:r w:rsidR="002A547B" w:rsidRPr="001A4E18">
        <w:t xml:space="preserve"> 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Из расчета видно, что коммерческий банк имеет возможность расширения активных операций и значительного повышения размеров риска до 10 единиц </w:t>
      </w:r>
      <w:r w:rsidR="0048180B">
        <w:pict>
          <v:shape id="_x0000_i1073" type="#_x0000_t75" style="width:17.25pt;height:12.75pt" fillcolor="window">
            <v:imagedata r:id="rId38" o:title=""/>
          </v:shape>
        </w:pict>
      </w:r>
      <w:r w:rsidRPr="001A4E18">
        <w:t xml:space="preserve"> банк некоторое время может не контролировать свои риски, а обратить внимание на отношения с клиентами, в т.ч. на расчет риска кредитования конкретного заемщика.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При оценке эффективности реализации нововведения (</w:t>
      </w:r>
      <w:r w:rsidR="0048180B">
        <w:pict>
          <v:shape id="_x0000_i1074" type="#_x0000_t75" style="width:12pt;height:14.25pt">
            <v:imagedata r:id="rId39" o:title=""/>
          </v:shape>
        </w:pict>
      </w:r>
      <w:r w:rsidRPr="001A4E18">
        <w:t>)</w:t>
      </w:r>
    </w:p>
    <w:p w:rsidR="002A547B" w:rsidRPr="001A4E18" w:rsidRDefault="0048180B" w:rsidP="001A4E18">
      <w:pPr>
        <w:tabs>
          <w:tab w:val="left" w:pos="8364"/>
        </w:tabs>
        <w:spacing w:line="360" w:lineRule="auto"/>
        <w:ind w:firstLine="709"/>
        <w:jc w:val="both"/>
      </w:pPr>
      <w:r>
        <w:pict>
          <v:shape id="_x0000_i1075" type="#_x0000_t75" style="width:120.75pt;height:36pt" fillcolor="window">
            <v:imagedata r:id="rId40" o:title=""/>
          </v:shape>
        </w:pict>
      </w:r>
      <w:r w:rsidR="002A547B" w:rsidRPr="001A4E18">
        <w:t xml:space="preserve">                                     (8)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где </w:t>
      </w:r>
      <w:r w:rsidR="0048180B">
        <w:pict>
          <v:shape id="_x0000_i1076" type="#_x0000_t75" style="width:14.25pt;height:12.75pt">
            <v:imagedata r:id="rId8" o:title=""/>
          </v:shape>
        </w:pict>
      </w:r>
      <w:r w:rsidRPr="001A4E18">
        <w:t xml:space="preserve"> – ежегодный объем продажи нового изделия;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77" type="#_x0000_t75" style="width:12pt;height:14.25pt">
            <v:imagedata r:id="rId41" o:title=""/>
          </v:shape>
        </w:pict>
      </w:r>
      <w:r w:rsidR="002A547B" w:rsidRPr="001A4E18">
        <w:t xml:space="preserve"> – продажная цена изделия;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78" type="#_x0000_t75" style="width:11.25pt;height:12.75pt">
            <v:imagedata r:id="rId42" o:title=""/>
          </v:shape>
        </w:pict>
      </w:r>
      <w:r w:rsidR="002A547B" w:rsidRPr="001A4E18">
        <w:t xml:space="preserve"> – жизненный цикл новшества (предполагаемый срок производства нового изделия); или период от его освоения до снятия с производства;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79" type="#_x0000_t75" style="width:20.25pt;height:14.25pt">
            <v:imagedata r:id="rId43" o:title=""/>
          </v:shape>
        </w:pict>
      </w:r>
      <w:r w:rsidR="002A547B" w:rsidRPr="001A4E18">
        <w:t xml:space="preserve"> – вероятность технического успеха (возможность практического претворения исследовательских идей в производство новой продукции);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80" type="#_x0000_t75" style="width:18pt;height:12.75pt">
            <v:imagedata r:id="rId44" o:title=""/>
          </v:shape>
        </w:pict>
      </w:r>
      <w:r w:rsidR="002A547B" w:rsidRPr="001A4E18">
        <w:t xml:space="preserve"> – вероятность коммерческого успеха (возможность сбыта новой продукции на рынке и получение ожидаемых прибылей);</w:t>
      </w:r>
    </w:p>
    <w:p w:rsidR="002A547B" w:rsidRPr="001A4E18" w:rsidRDefault="0048180B" w:rsidP="001A4E18">
      <w:pPr>
        <w:spacing w:line="360" w:lineRule="auto"/>
        <w:ind w:firstLine="709"/>
        <w:jc w:val="both"/>
      </w:pPr>
      <w:r>
        <w:pict>
          <v:shape id="_x0000_i1081" type="#_x0000_t75" style="width:9.75pt;height:14.25pt">
            <v:imagedata r:id="rId45" o:title=""/>
          </v:shape>
        </w:pict>
      </w:r>
      <w:r w:rsidR="002A547B" w:rsidRPr="001A4E18">
        <w:t xml:space="preserve"> – сумма затрат на реализацию, включая затраты на разработку, освоение производства и текущие производственные затраты.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Вероятность технического и коммерческого успеха определяется экспертным методом.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При создании совместных предприятий используется расчетный индекс БЕРИ, регулярно публикуемый независимой фирмой БЕРИ в Германии. С его помощью проверяется степень риска от создания и деятельности совместных предприятий. Расчеты индекса БЕРИ осуществляются с помощью методов экспертных оценок три раза в год. Он  основан на исследовании и изучении всех сторон политической и экономической ситуации в стране партнера.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Анкета (табл. 1), на которую отвечают специалисты-эксперты (их около 100) содержит 15 вопросов, каждому из которых присущ определенный коэффициент значимости (свой удельный вес). Ответы на вопросы оцениваются по балльной системе и имеют 5 вариантов: от 0 (неприемлем 0) до 4. Чем выше сумма коэффициенто-баллов (проценто-баллов), тем ниже риск создания совместных предприятий.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Таблица 1</w:t>
      </w:r>
    </w:p>
    <w:p w:rsidR="002A547B" w:rsidRDefault="002A547B" w:rsidP="001A4E18">
      <w:pPr>
        <w:spacing w:line="360" w:lineRule="auto"/>
        <w:ind w:firstLine="709"/>
        <w:jc w:val="both"/>
      </w:pPr>
      <w:r w:rsidRPr="001A4E18">
        <w:t>Анализ степени риска создания СП</w:t>
      </w:r>
    </w:p>
    <w:p w:rsidR="00685BC0" w:rsidRPr="001A4E18" w:rsidRDefault="00685BC0" w:rsidP="001A4E18">
      <w:pPr>
        <w:spacing w:line="360" w:lineRule="auto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387"/>
        <w:gridCol w:w="1701"/>
        <w:gridCol w:w="1417"/>
      </w:tblGrid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№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Вопрос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удельный %, вес вопр.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Баллы</w:t>
            </w:r>
          </w:p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0-4</w:t>
            </w: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1.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Политическая стабильность в стране партнера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2.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Отношение к иностранным инвестициям и прибылям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3.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Степень национализации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4.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Вероятность и степень девальвации валюты и анализ факторов, влияющих на нее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5.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Состояние платежного баланса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6.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Бюрократические вопросы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 xml:space="preserve">7. 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Темпы экономического роста (темп роста ВП)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8.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Конвертируемость валюты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9.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Анализ выполнения договорных обязательств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10.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Расходы на заработную плату и уровень ПТ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11.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 xml:space="preserve"> Возможность использования экспертов и услуг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12.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 xml:space="preserve"> Организация связи и транспорта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13.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Взаимоотношения СП с государственными органами и общественными организациями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14.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Условия получения краткосрочного кредита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15.</w:t>
            </w: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Долгосрочный кредит и собственный капитал</w:t>
            </w: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547B" w:rsidRPr="001A4E18">
        <w:tc>
          <w:tcPr>
            <w:tcW w:w="992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38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  <w:r w:rsidRPr="00685BC0">
              <w:rPr>
                <w:sz w:val="20"/>
              </w:rPr>
              <w:t>100%</w:t>
            </w:r>
          </w:p>
        </w:tc>
        <w:tc>
          <w:tcPr>
            <w:tcW w:w="1417" w:type="dxa"/>
          </w:tcPr>
          <w:p w:rsidR="002A547B" w:rsidRPr="00685BC0" w:rsidRDefault="002A547B" w:rsidP="00685BC0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2A547B" w:rsidRPr="001A4E18" w:rsidRDefault="002A547B" w:rsidP="001A4E18">
      <w:pPr>
        <w:spacing w:line="360" w:lineRule="auto"/>
        <w:ind w:firstLine="709"/>
        <w:jc w:val="both"/>
      </w:pPr>
    </w:p>
    <w:p w:rsidR="002A547B" w:rsidRPr="00685BC0" w:rsidRDefault="00685BC0" w:rsidP="00685BC0">
      <w:pPr>
        <w:spacing w:line="360" w:lineRule="auto"/>
        <w:ind w:firstLine="709"/>
        <w:jc w:val="center"/>
        <w:rPr>
          <w:b/>
          <w:bCs/>
        </w:rPr>
      </w:pPr>
      <w:bookmarkStart w:id="6" w:name="zak5_2_3"/>
      <w:r>
        <w:rPr>
          <w:bCs/>
        </w:rPr>
        <w:br w:type="page"/>
      </w:r>
      <w:r w:rsidR="002A547B" w:rsidRPr="00685BC0">
        <w:rPr>
          <w:b/>
          <w:bCs/>
        </w:rPr>
        <w:t xml:space="preserve">6. Страхование </w:t>
      </w:r>
      <w:bookmarkEnd w:id="6"/>
      <w:r w:rsidR="002A547B" w:rsidRPr="00685BC0">
        <w:rPr>
          <w:b/>
          <w:bCs/>
        </w:rPr>
        <w:t>риска</w:t>
      </w:r>
    </w:p>
    <w:p w:rsidR="00685BC0" w:rsidRDefault="00685BC0" w:rsidP="001A4E18">
      <w:pPr>
        <w:spacing w:line="360" w:lineRule="auto"/>
        <w:ind w:firstLine="709"/>
        <w:jc w:val="both"/>
      </w:pP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 xml:space="preserve">Страхование представляет собой экономическое отношение, в которое его субъекты (участники) – страховщики и страхователи вступают по поводу установленной суммы денег (объект страхового отношения), выплачиваемой страховщиком страхователю при определенных условиях. 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Давая определение понятию «страхование», следует обратить внимание на следующее: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1. Страхование – это экономическое отношение, в котором участвуют все стороны (два субъекта).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2. Одна сторона (субъект) – это страховое общество (частное или государственное), которое называется страховщиком. Страховщик вырабатывает условия страхования, предлагает их своим клиентам – юридическим лицам и физическим. Если клиентов устраивают эти условия, то они подписывают договор установленной формы и регулярно вносят по нему страховщику денежные взносы, согласно договору.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3. Другая сторона (субъект) данного экономического отношения – это юридические или физические лица, называемые страхователями.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4. При наступлении страхового случая (стихийного бедствия, несчастного случая и т.д.), при котором страхователю нанесен ущерб (экономический или здоровью), страховщик, в соответствии с условиями договора, выплачивает страховку (страховое возмещение).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5. В приведенных случаях используется «страховой денежный фонд». Его также могут называть страховым резервным фондом. Это – сумма денежных средств, которая образуется у страховщика за счет взносов страхователей. При государственном страховании созданием и использованием этого фонда ведает государственная система страховых органов. Этот фонд является одним из централизованных денежных резервов государства. При альтернативном страховании созданием и использованием страхового резервного фонда ведает страховая компания.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6. Страховщики и страхователь регулируют страховое экономическое отношение специальным договором. В мировой практике он называется страховой полис. Это документ (именной или на предъявителя),  удостоверяющий заключение страхового договора и содержащий обязательство страховщика заплатить страхователю или третьему лицу (выгодоприобретателю) в пользу которого заключен договор при наступлении страхового случая определенную сумму денег, а также обязательство страхователя.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Страховые компании составляют конкуренцию Госстраху. Они выступают наряду с Госстрахом гарантом деятельности больших и малых предприятий при получении ими кредита, оказывают все виды услуг Госстраха, дополняя их новыми: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1) страхование имущества (движимого и недвижимого). Так, при страховании движимого имущества, например автомобиля, страховые компании заключают договор по стоимости, заявленной страхователем, т.е. по рыночной стоимости. На страхование принимаются все виды недвижимого имущества;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2) страхование домашних животных;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3) страхование коммерческих операций (коммерческого риска). Так, юридические и физические лица могут произвести накопительные страхования с начислениями на страховую сумму от 10% годовых, независимо от срока страхования. Они могут застраховать по рыночной стоимости движимое и недвижимое имущество. Частные лица могут застраховать гражданскую и автогражданскую ответственность. (В случае автомобильной аварии по вине гражданина он освобождается от уплаты ущерба). Страховые компании страхуют: перевозки грузов, банкротства, валютные инвестиции, прибыли, кредиты, риски платежа (у ЮЛ), персонал, занятость рабочих мест путем накопления собственных средств, безработицу.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Страхование кредитных операций включает две формы: 1) традиционную форму гарантирования кредитов и страхования заложенного имущества и 2) различные формы гарантий.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1) Наиболее распространено страхование материальных ценностей, которые предприятия представляют банку в качестве залога. Страхованию подлежат товарные запасы, складские помещения, прочее имущество.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При предоставлении кредитов на строительство или приобретение производственных помещений – коммерческого ипотечного кредита, залогом являются непосредственно здания и сооружения, подлежащие страхованию. Страховку выплачивает владелец имущества.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2) Наряду с прямым страхованием банк может требовать от предприятий различные формы гарантий. Гарантами в погашении ссуды могут выступать акционеры, подписывающие поручительство в том, что предприятие погасит полученную ссуду. В случае, если предприятие отказывается погасить кредит, банк может взыскать убытки с акционеров. В ряде случаев предприятие вынуждено диверсифицировать портфель кредитов, т.е. обращаться за займами не к одному, а к нескольким банкам. Один банк, имеющий постоянные финансовые связи с предприятием может оформить гарантию о погашении всех будущих займов у других банков.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Главный принцип конкуренции на страховом рынке: побеждает тот, кто предлагает клиенту наиболее выгодные условия страхования.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Например, страховщик победит в борьбе за клиента, если гарантирует ему следующие условия страхования: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1. Страховщик предоставляет предприятию, попавшему в стихийное бедствие, аварию и т.д., страховые выплаты, не урезанные против договорной суммы. При этом, если предприятию этих сумм не будет хватать, страховщик выдает ему кредит или помогает получить кредит в банке на льготных условиях.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2. Страховщик страхует имущество всех предприятий, граждан по рыночным ценам с учетом их реальной динамики. Страховщик при этом учитывает и свой интерес – динамику страховых взносов в зависимости от изменений рыночных цен.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3. Страховщик должен проводить страхование с учетом реальных инфляционных процессов.</w:t>
      </w:r>
    </w:p>
    <w:p w:rsidR="002A547B" w:rsidRPr="001A4E18" w:rsidRDefault="002A547B" w:rsidP="001A4E18">
      <w:pPr>
        <w:spacing w:line="360" w:lineRule="auto"/>
        <w:ind w:firstLine="709"/>
        <w:jc w:val="both"/>
      </w:pPr>
      <w:r w:rsidRPr="001A4E18">
        <w:t>4. Страховщик должен страховать имущество любых предприятий и граждан с учетом реальной динамики физического и морального износа этого имущества.</w:t>
      </w:r>
    </w:p>
    <w:p w:rsidR="004967EB" w:rsidRPr="001A4E18" w:rsidRDefault="002A547B" w:rsidP="001A4E18">
      <w:pPr>
        <w:spacing w:line="360" w:lineRule="auto"/>
        <w:ind w:firstLine="709"/>
        <w:jc w:val="both"/>
      </w:pPr>
      <w:r w:rsidRPr="001A4E18">
        <w:t>Если владелец имущества регулярно ремонтирует его, модернизирует и реконструирует и в результате этого в имущество вкладывается добавочная стоимость и оно приобретает новые, более высокие потребительские свойства, то здесь госстраховская шкала физического и морального износа оказывается непригодной и невыгодной страхователю. Учет данного фактора потребует от страховщиков иметь штаты высококвалифицированных экспертов, способных решить вопрос о модернизации или махинации со стороны клиента</w:t>
      </w:r>
      <w:r w:rsidR="0048180B">
        <w:pict>
          <v:shape id="_x0000_i1082" type="#_x0000_t75" style="width:17.25pt;height:12.75pt" fillcolor="window">
            <v:imagedata r:id="rId38" o:title=""/>
          </v:shape>
        </w:pict>
      </w:r>
      <w:r w:rsidRPr="001A4E18">
        <w:t xml:space="preserve"> (штраф или компенсация, адекватная повышенной стоимости, должны быть оговорены при наступлении страхового случая).</w:t>
      </w:r>
    </w:p>
    <w:p w:rsidR="00455CE5" w:rsidRPr="00685BC0" w:rsidRDefault="00455CE5" w:rsidP="00685BC0">
      <w:pPr>
        <w:spacing w:line="360" w:lineRule="auto"/>
        <w:ind w:firstLine="709"/>
        <w:jc w:val="center"/>
        <w:rPr>
          <w:b/>
        </w:rPr>
      </w:pPr>
      <w:r w:rsidRPr="001A4E18">
        <w:br w:type="page"/>
      </w:r>
      <w:r w:rsidRPr="00685BC0">
        <w:rPr>
          <w:b/>
        </w:rPr>
        <w:t>ЛИТЕРАТУРА</w:t>
      </w:r>
    </w:p>
    <w:p w:rsidR="00685BC0" w:rsidRPr="001A4E18" w:rsidRDefault="00685BC0" w:rsidP="001A4E18">
      <w:pPr>
        <w:spacing w:line="360" w:lineRule="auto"/>
        <w:ind w:firstLine="709"/>
        <w:jc w:val="both"/>
      </w:pPr>
    </w:p>
    <w:p w:rsidR="00455CE5" w:rsidRPr="001A4E18" w:rsidRDefault="00455CE5" w:rsidP="001A4E18">
      <w:pPr>
        <w:spacing w:line="360" w:lineRule="auto"/>
        <w:ind w:firstLine="709"/>
        <w:jc w:val="both"/>
      </w:pPr>
      <w:r w:rsidRPr="001A4E18">
        <w:t>1. Рыночная экономика. Т. 2, 3, ч. 1, 2 / Под ред. А.Д.Смирнова. – М.: Соинтэк, 2002.</w:t>
      </w:r>
    </w:p>
    <w:p w:rsidR="00455CE5" w:rsidRPr="001A4E18" w:rsidRDefault="00455CE5" w:rsidP="001A4E18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1A4E18">
        <w:t>Мескон М.Х., Альберт М., Хедоури Ф. Основы менеджмента. М., 2002.</w:t>
      </w:r>
    </w:p>
    <w:p w:rsidR="00455CE5" w:rsidRPr="001A4E18" w:rsidRDefault="00455CE5" w:rsidP="001A4E1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A4E18">
        <w:t>Шпицнер Р. Азбука бизнесмена. – Мн.: ООО “Мисанта”, 2004.</w:t>
      </w:r>
    </w:p>
    <w:p w:rsidR="00455CE5" w:rsidRPr="001A4E18" w:rsidRDefault="00455CE5" w:rsidP="001A4E1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A4E18">
        <w:t>Хоскинг А. Курс предпринимательства. – М.: Международные отношения, 2003.</w:t>
      </w:r>
    </w:p>
    <w:p w:rsidR="00455CE5" w:rsidRPr="001A4E18" w:rsidRDefault="00455CE5" w:rsidP="001A4E1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A4E18">
        <w:t>Правовые основы бизнеса / Под ред. Л.И.Липеня. – Мн.: “Амалфея”, 2007.</w:t>
      </w:r>
      <w:bookmarkStart w:id="7" w:name="_GoBack"/>
      <w:bookmarkEnd w:id="7"/>
    </w:p>
    <w:sectPr w:rsidR="00455CE5" w:rsidRPr="001A4E18" w:rsidSect="001A4E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2401D"/>
    <w:multiLevelType w:val="hybridMultilevel"/>
    <w:tmpl w:val="D7C2D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2A4570"/>
    <w:multiLevelType w:val="hybridMultilevel"/>
    <w:tmpl w:val="7700B502"/>
    <w:lvl w:ilvl="0" w:tplc="230CF1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397DB1"/>
    <w:multiLevelType w:val="singleLevel"/>
    <w:tmpl w:val="8CB21B82"/>
    <w:lvl w:ilvl="0">
      <w:start w:val="4"/>
      <w:numFmt w:val="bullet"/>
      <w:lvlText w:val="-"/>
      <w:lvlJc w:val="left"/>
      <w:pPr>
        <w:tabs>
          <w:tab w:val="num" w:pos="7804"/>
        </w:tabs>
        <w:ind w:left="780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47B"/>
    <w:rsid w:val="001A4E18"/>
    <w:rsid w:val="002A547B"/>
    <w:rsid w:val="00411547"/>
    <w:rsid w:val="00455CE5"/>
    <w:rsid w:val="0048180B"/>
    <w:rsid w:val="004967EB"/>
    <w:rsid w:val="005B4592"/>
    <w:rsid w:val="00685BC0"/>
    <w:rsid w:val="00725100"/>
    <w:rsid w:val="007B7732"/>
    <w:rsid w:val="008463FA"/>
    <w:rsid w:val="00E24D4F"/>
    <w:rsid w:val="00EF7351"/>
    <w:rsid w:val="00F9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29A1AA39-DB24-418A-B1AA-FA2EF7E7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7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A547B"/>
    <w:pPr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styleId="2">
    <w:name w:val="Body Text Indent 2"/>
    <w:basedOn w:val="a"/>
    <w:link w:val="20"/>
    <w:uiPriority w:val="99"/>
    <w:rsid w:val="002A547B"/>
    <w:pPr>
      <w:ind w:firstLine="709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8"/>
    </w:rPr>
  </w:style>
  <w:style w:type="paragraph" w:styleId="3">
    <w:name w:val="Body Text Indent 3"/>
    <w:basedOn w:val="a"/>
    <w:link w:val="30"/>
    <w:uiPriority w:val="99"/>
    <w:rsid w:val="002A547B"/>
    <w:pPr>
      <w:ind w:firstLine="709"/>
      <w:jc w:val="both"/>
    </w:pPr>
    <w:rPr>
      <w:b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styleId="a5">
    <w:name w:val="Hyperlink"/>
    <w:uiPriority w:val="99"/>
    <w:rsid w:val="002A54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2014-02-24T08:46:00Z</dcterms:created>
  <dcterms:modified xsi:type="dcterms:W3CDTF">2014-02-24T08:46:00Z</dcterms:modified>
</cp:coreProperties>
</file>