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F7" w:rsidRDefault="002A2EF7" w:rsidP="002A2EF7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2A2EF7" w:rsidRDefault="002A2EF7" w:rsidP="002A2EF7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2A2EF7" w:rsidRDefault="002A2EF7" w:rsidP="002A2EF7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2A2EF7" w:rsidRDefault="002A2EF7" w:rsidP="002A2EF7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2A2EF7" w:rsidRDefault="002A2EF7" w:rsidP="002A2EF7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2A2EF7" w:rsidRDefault="002A2EF7" w:rsidP="002A2EF7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2A2EF7" w:rsidRDefault="002A2EF7" w:rsidP="002A2EF7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2A2EF7" w:rsidRDefault="002A2EF7" w:rsidP="002A2EF7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2A2EF7" w:rsidRDefault="002A2EF7" w:rsidP="002A2EF7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2A2EF7" w:rsidRDefault="002A2EF7" w:rsidP="002A2EF7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2A2EF7" w:rsidRDefault="002A2EF7" w:rsidP="002A2EF7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2A2EF7" w:rsidRDefault="002A2EF7" w:rsidP="002A2EF7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2A2EF7" w:rsidRDefault="002A2EF7" w:rsidP="002A2EF7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2A2EF7" w:rsidRDefault="002A2EF7" w:rsidP="002A2EF7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35719D" w:rsidRPr="002A2EF7" w:rsidRDefault="00AD3A82" w:rsidP="002A2EF7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  <w:r w:rsidRPr="002A2EF7">
        <w:rPr>
          <w:rFonts w:ascii="Times New Roman" w:hAnsi="Times New Roman"/>
          <w:sz w:val="28"/>
          <w:szCs w:val="72"/>
          <w:lang w:eastAsia="ru-RU"/>
        </w:rPr>
        <w:t>РЕФЕРАТ</w:t>
      </w:r>
    </w:p>
    <w:p w:rsidR="0035719D" w:rsidRPr="002A2EF7" w:rsidRDefault="0035719D" w:rsidP="002A2EF7">
      <w:pPr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2EF7">
        <w:rPr>
          <w:rFonts w:ascii="Times New Roman" w:hAnsi="Times New Roman"/>
          <w:sz w:val="28"/>
          <w:szCs w:val="30"/>
          <w:lang w:eastAsia="ru-RU"/>
        </w:rPr>
        <w:t xml:space="preserve">по </w:t>
      </w:r>
      <w:r w:rsidRPr="002A2EF7">
        <w:rPr>
          <w:rFonts w:ascii="Times New Roman" w:hAnsi="Times New Roman"/>
          <w:sz w:val="28"/>
          <w:szCs w:val="28"/>
          <w:lang w:eastAsia="ru-RU"/>
        </w:rPr>
        <w:t xml:space="preserve">курсу </w:t>
      </w:r>
      <w:r w:rsidR="002A2EF7">
        <w:rPr>
          <w:rFonts w:ascii="Times New Roman" w:hAnsi="Times New Roman"/>
          <w:sz w:val="28"/>
          <w:szCs w:val="28"/>
          <w:lang w:eastAsia="ru-RU"/>
        </w:rPr>
        <w:t>Уголовно-процессуальное право</w:t>
      </w:r>
    </w:p>
    <w:p w:rsidR="002A2EF7" w:rsidRDefault="002A2EF7" w:rsidP="002A2EF7">
      <w:pPr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теме</w:t>
      </w:r>
    </w:p>
    <w:p w:rsidR="0035719D" w:rsidRPr="002A2EF7" w:rsidRDefault="00207478" w:rsidP="002A2EF7">
      <w:pPr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2EF7">
        <w:rPr>
          <w:rFonts w:ascii="Times New Roman" w:hAnsi="Times New Roman"/>
          <w:sz w:val="28"/>
          <w:szCs w:val="28"/>
          <w:lang w:eastAsia="ru-RU"/>
        </w:rPr>
        <w:t>Предварительное следствие и слушание</w:t>
      </w:r>
    </w:p>
    <w:p w:rsidR="00724B6D" w:rsidRPr="002A2EF7" w:rsidRDefault="002A2EF7" w:rsidP="002A2EF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07478" w:rsidRPr="002A2EF7">
        <w:rPr>
          <w:rFonts w:ascii="Times New Roman" w:hAnsi="Times New Roman" w:cs="Times New Roman"/>
          <w:b/>
          <w:sz w:val="28"/>
          <w:szCs w:val="28"/>
        </w:rPr>
        <w:t>1</w:t>
      </w:r>
      <w:r w:rsidR="00724B6D" w:rsidRPr="002A2EF7">
        <w:rPr>
          <w:rFonts w:ascii="Times New Roman" w:hAnsi="Times New Roman" w:cs="Times New Roman"/>
          <w:b/>
          <w:sz w:val="28"/>
          <w:szCs w:val="28"/>
        </w:rPr>
        <w:t>. Приостановление и возобновление предварительного следствия</w:t>
      </w:r>
    </w:p>
    <w:p w:rsidR="00724B6D" w:rsidRPr="002A2EF7" w:rsidRDefault="00724B6D" w:rsidP="002A2EF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B6D" w:rsidRPr="002A2EF7" w:rsidRDefault="00724B6D" w:rsidP="002A2EF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EF7">
        <w:rPr>
          <w:rFonts w:ascii="Times New Roman" w:hAnsi="Times New Roman" w:cs="Times New Roman"/>
          <w:sz w:val="28"/>
          <w:szCs w:val="28"/>
        </w:rPr>
        <w:t>Приостановление предварительного следствия означает вызванный указанными в законе обстоятельствами временный перерыв в производстве следственных действий. Время, на которое было приостановлено следствие, не включается в срок следствия. Предварительное следствие приостанавливается, когда не установлено лицо, подлежащее привлечению в качестве обвиняемого; подозреваемый или обвиняемый скрылся от следствия либо место его нахождения не установлено по каким-либо причинам; когда местонахождение подозреваемого или обвиняемого известно, но нет реальной возможности участия его в деле; когда подозреваемый или обвиняемый страдает временным тяжелым заболеванием, наличие которого удостоверяется медицинским заключением и препятствует его участию в следственных и иных процессуальных действиях (ст. 208 УПК).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Приостановление предварительного следствия в связи с уклонением обвиняемого или подозреваемого от следствия и суда, неустановлением лица, подлежащего привлечению в качестве обвиняемого, а также в связи с неизвестностью его местонахождения допускается лишь по истечении срока предварительного следствия.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До приостановления предварительного следствия следователь обязан выполнить все действия, производство которых возможно в отсутствие подозреваемого, обвиняемого, принять необходимые меры к их обнаружению, а равно к установлению лица, подлежащего привлечению в качестве обвиняемого, если оно неизвестно. Для розыска подозреваемого или обвиняемого следователь собирает данные об их личности, о возможном местопребывании и т.д.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Приостановление следствия в связи с психическим расстройством или иным тяжелым, болезненным состоянием подозреваемого или обвиняемого может иметь место и до окончания общего срока следствия, если этот факт удостоверен врачом, работающим в медицинском учреждении. Если установить характер болезненного состояния затруднительно, то следователь вправе поместить подозреваемого или обвиняемого в лечебное учреждение. В этом случае основанием к приостановлению следствия будет заключение, данное этим учреждением.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Если по уголовному делу проходит несколько лиц, а основания приостановления относятся к одному из них, дело в отношении этого лица выделяется в порядке ст. 154 УПК в отдельное производство и приостанавливается. До приостановления должны быть выполнены все необходимые следственные действия.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О приостановлении выносится постановление, копия которого должна быть направлена прокурору. О приостановлении следствия должны быть извещены потерпевший или его представитель, гражданский истец, гражданский ответчик или их представители и разъяснены их право и порядок обжалования прокурору или в суд решения о приостановлении следствия (ст. 209 УПК).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После приостановления следствия следователь обязан принимать меры по установлению лица, подлежащего привлечению в качестве обвиняемого, или розыску подозреваемого или обвиняемого, в случае если они скрылись.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Следователь вправе поручить производство розыска органам дознания. Об этом указывается в постановлении о приостановлении следствия либо в особом постановлении (ст. 210 УПК). В случае обнаружения обвиняемого, он может быть задержан в порядке, установленном гл. 12 УПК.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После приостановления следствия в связи с неустановлением лица, совершившего преступление, равно и для розыска скрывшегося подозреваемого, обвиняемого следователь обязан как непосредственно, так и через органы дознания принять все необходимые меры к установлению этого лица и его задержанию. При этом следователь вправе направлять запросы, проводить соответствующие проверки, истребовать документы, поручать органам дознания производство оперативно-розыскных действий, но не вправе проводить следственные действия.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После того как отпадают основания для приостановления следствия или возникает необходимость в производстве дополнительных следственных действий, предварительное следствие возобновляется.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О возобновлении следствия выносится постановление следователем, прокурором или начальником следственного отдела.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О возобновлении следствия извещаются подозреваемый, обвиняемый, его защитник, потерпевший, гражданский истец, гражданский ответчик или их представители, а также прокурор (ст. 211 УПК).</w:t>
      </w:r>
    </w:p>
    <w:p w:rsidR="00207478" w:rsidRPr="008A7A38" w:rsidRDefault="00207478" w:rsidP="002A2EF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D5F" w:rsidRPr="008A7A38" w:rsidRDefault="00207478" w:rsidP="002A2EF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A38">
        <w:rPr>
          <w:rFonts w:ascii="Times New Roman" w:hAnsi="Times New Roman" w:cs="Times New Roman"/>
          <w:b/>
          <w:sz w:val="28"/>
          <w:szCs w:val="28"/>
        </w:rPr>
        <w:t>2</w:t>
      </w:r>
      <w:r w:rsidR="00933D5F" w:rsidRPr="008A7A38">
        <w:rPr>
          <w:rFonts w:ascii="Times New Roman" w:hAnsi="Times New Roman" w:cs="Times New Roman"/>
          <w:b/>
          <w:sz w:val="28"/>
          <w:szCs w:val="28"/>
        </w:rPr>
        <w:t>. Предварительное слушание: процедура, принимаемые решения</w:t>
      </w:r>
    </w:p>
    <w:p w:rsidR="00933D5F" w:rsidRPr="002A2EF7" w:rsidRDefault="00933D5F" w:rsidP="002A2EF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D5F" w:rsidRPr="002A2EF7" w:rsidRDefault="00933D5F" w:rsidP="002A2EF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EF7">
        <w:rPr>
          <w:rFonts w:ascii="Times New Roman" w:hAnsi="Times New Roman" w:cs="Times New Roman"/>
          <w:sz w:val="28"/>
          <w:szCs w:val="28"/>
        </w:rPr>
        <w:t>Введение в УПК такого вида порядка подготовки к судебному заседанию, как проведение судьей предварительного слушания с участием сторон, обусловлено расширением действия принципа состязательности сторон при производстве по уголовному делу в суде первой инстанции. Это слушание направлено на своевременное устранение препятствий по делу до разрешения его по существу в стадии судебного разбирательства и выявления нарушений требований процессуального закона, касающихся собирания доказательств, что должно привести к признанию доказательства недопустимым и его исключению из дела.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Предварительное слушание представляет собой особый порядок подготовки к судебному заседанию, обусловленный специфическим кругом разрешаемых судьей вопросов, особенностями процедуры его проведения и видами решений, принимаемых судьей по итогам проведения предварительного слушания. О назначении предварительного слушания судья при наличии оснований его проведения выносит постановление (ст. ст. 227, 229 УПК).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Судья в связи с заявленным ходатайством стороны или по собственной инициативе проводит предварительное слушание при наличии следующих оснований: 1) имеется ходатайство стороны об исключении доказательства из дела; 2) наличие основания для возвращения уголовного дела прокурору в случаях, предусмотренных законом (ст. 237 УПК); 3) наличие основания для приостановления или прекращения уголовного дела; 4) наличие оснований для решения вопроса о рассмотрении уголовного дела судом с участием присяжных заседателей.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Исходя из содержания указанных оснований основным условием для принятия судьей решения о проведении предварительного слушания, как правило, является заявленное стороной ходатайство. Такое ходатайство вправе заявить обвиняемый и его защитник, потерпевший, гражданский истец, гражданский ответчик и их представители, а также прокурор либо после ознакомления с материалами уголовного дела, либо после направления уголовного дела с обвинительным заключением или обвинительным актом в суд в течение трех суток со дня получения обвиняемым копии указанных процессуальных документов (ч. 3 ст. 229 УПК). При рассмотрении ходатайства стороны судья, руководствуясь общими правилами порядка разрешения ходатайств (ст.ст. 119-122 УПК), устанавливает наличие предусмотренных в законе оснований для проведения предварительного слушания.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Процедура предварительного слушания включает три части: 1) открытие судебного заседания, объявление явившихся по вызову участников заседания, установление личности обвиняемого и своевременности вручения ему копии обвинительного заключения или обвинительного акта, рассмотрение вопроса об отводах; 2) рассмотрение ходатайств сторон и выслушивание их мнений, возражений; 3) принятие судьей решения по результатам предварительного слушания.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Основной особенностью проведения предварительного слушания является процедура рассмотрения ходатайства стороны об исключении доказательства, признание его недопустимым и принятие решения о его исключении из дела. При наличии такого ходатайства судья выясняет у другой стороны, имеются ли у нее возражения против данного ходатайства. При отсутствии возражений судья удовлетворяет ходатайство и принимает решение о назначении судебного заседания, если отсутствуют иные основания для проведения предварительного слушания. При рассмотрении ходатайства стороны об исключении доказательства и признании его недопустимым судья проверяет процессуальный порядок получения или закрепления такого доказательства. С этой целью судья вправе допросить свидетеля, огласить и приобщить к уголовному делу документ, указанный стороной в ходатайстве. Однако, в случае возражения одной из сторон против исключения доказательства, судья может огласить протоколы следственных действий и иные документы, как имеющиеся в деле, так и представленные сторонами.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Новым принципиальным положением является правило о бремени доказывания в связи с заявленным стороной ходатайством об исключении доказательства. Так, при рассмотрении судьей на предварительном слушании ходатайства об исключении доказательства, заявленного стороной защиты на том основании, что доказательство было получено с нарушением требований процессуального закона (например, при даче показаний обвиняемый подвергся психическому или физическому насилию), то бремя опровержения представленных стороной защиты доводов возложено на прокурора. В остальных случаях бремя доказывания лежит на стороне, заявившей ходатайство (ч. 4 ст. 235 УПК).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Судебное решение, принятое по результатам предварительного слушания, обжалованию не подлежит, за исключением решений о прекращении уголовного дела и (или) о назначении судебного заседания в части разрешения вопроса о мере пресечения (ч. 7 ст. 236 УПК).</w:t>
      </w:r>
    </w:p>
    <w:p w:rsidR="00933D5F" w:rsidRPr="002A2EF7" w:rsidRDefault="00933D5F" w:rsidP="002A2EF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EF7">
        <w:rPr>
          <w:rFonts w:ascii="Times New Roman" w:hAnsi="Times New Roman" w:cs="Times New Roman"/>
          <w:sz w:val="28"/>
          <w:szCs w:val="28"/>
        </w:rPr>
        <w:t>По результатам предварительного слушания судья вправе принять одно из следующих решений: 1) о направлении уголовного дела по подсудности; 2) о возвращении уголовного дела прокурору; 3) о приостановлении производства по уголовному делу; 4) о прекращении уголовного дела; 5) о назначении судебного заседания (ст. 236 УПК).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Вопрос о подсудности дела должен быть решен судьей положительно по поступившему в суд делу уже при проведении общего порядка подготовки к судебному заседанию (ст. 228</w:t>
      </w:r>
      <w:r w:rsidR="00BA7C58" w:rsidRPr="002A2EF7">
        <w:rPr>
          <w:rFonts w:ascii="Times New Roman" w:hAnsi="Times New Roman" w:cs="Times New Roman"/>
          <w:sz w:val="28"/>
          <w:szCs w:val="28"/>
        </w:rPr>
        <w:t xml:space="preserve"> УПК</w:t>
      </w:r>
      <w:r w:rsidRPr="002A2EF7">
        <w:rPr>
          <w:rFonts w:ascii="Times New Roman" w:hAnsi="Times New Roman" w:cs="Times New Roman"/>
          <w:sz w:val="28"/>
          <w:szCs w:val="28"/>
        </w:rPr>
        <w:t>, ч. 5 ст. 236 УПК) и до решения о проведении предварительного слушания. Постановление о направлении уголовного дела по подсудности в результате предварительного слушания судья вправе принять лишь в случае, если в ходе предварительного слушания прокурор изменил обвинение, влекущее и изменение подсудности дела; при этом судья не вправе принимать никаких других решений по делу.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 xml:space="preserve">Постановление судьи о возвращении уголовного дела прокурору выносится в случаях, когда: 1) допущены нарушения требований закона при составлении обвинительного заключения или обвинительного акта; 2) обвиняемому не вручена копия обвинительного заключения или обвинительного акта при нарушении правил ч. 4 ст. 222 </w:t>
      </w:r>
      <w:r w:rsidR="00BA7C58" w:rsidRPr="002A2EF7">
        <w:rPr>
          <w:rFonts w:ascii="Times New Roman" w:hAnsi="Times New Roman" w:cs="Times New Roman"/>
          <w:sz w:val="28"/>
          <w:szCs w:val="28"/>
        </w:rPr>
        <w:t xml:space="preserve">УПК </w:t>
      </w:r>
      <w:r w:rsidRPr="002A2EF7">
        <w:rPr>
          <w:rFonts w:ascii="Times New Roman" w:hAnsi="Times New Roman" w:cs="Times New Roman"/>
          <w:sz w:val="28"/>
          <w:szCs w:val="28"/>
        </w:rPr>
        <w:t>и ч. 3 ст. 226 УПК; 3) необходимо составление обвинительного заключения или обвинительного акта по делу, направленному в суд с постановлением о применении принудительных мер медицинского характера; 4) имеются основания для соединения уголовных дел; 5) обвиняемому не были разъяснены права, предусмотренные ч. 5 ст. 217 УПК. В постановлении судья должен указать, по какому основанию дело возвращается прокурору, а также разрешить вопрос о мере пресечения в отношении обвиняемого с учетом конкретных обстоятельств преступления и личности обвиняемого. Прокурор в течение пяти суток должен обеспечить устранение допущенных нарушений. Запрет производства каких-либо следственных или иных процессуальных действий, не предусмотренных ст. 237 УПК по уголовному делу, возвращенному прокурором (ч.ч. 4, 5 ст. 237 УПК), признан не соответствующим Конституции РФ.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В п. 4 Постановления Конституционного Суда РФ от 8 декабря 2003 г., а также в п. 14 Постановления Пленума Верховного Суда РФ от 5 марта 2004 г. разъяснены правила применения судами ст. 237 УПК.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Суд первой инстанции вправе возвратить уголовное дело прокурору для исправления нарушений, неустранимых в судебном заседании (например, обвиняемый не был обеспечен переводчиком при ознакомлении с материалами дела). Прокурор может принять меры к производству следственных и процессуальных действий для устранения выявленных недостатков, если они не направлены на восполнение неполноты доказательств, представленных обвинением, а имеют целью обеспечение права обвиняемого на защиту и право потерпевшего на доступ к правосудию и на компенсацию причиненного ущерба.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Одновременно с постановлением о возвращении дела прокурору судья вправе вынести частное постановление, в котором обращается внимание соответствующих должностных лиц на факты нарушений закона, допущенные при производстве предварительного расследования и требующие принятия необходимых мер (ч. 4 ст. 29 УПК).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Постановление судьи о приостановлении производства по уголовному делу должно содержать факты, обосновывающие выводы о том, что обвиняемый действительно скрылся от суда, и место его пребывания неизвестно, или что он болен тяжелой болезнью, подтвержденной медицинским заключением и исключающей возможность его участия в судебном заседании, либо что, хотя место его нахождения известно, но отсутствует реальная возможность участия обвиняемого в судебном разбирательстве, или в случае, если судом направлен запрос в Конституционный Суд РФ, а также если Конституционным Судом РФ принята к рассмотрению жалоба о соответствии закона, подлежащего применению по данному делу, Конституции РФ.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Постановление судьи о прекращении уголовного дела или уголовного преследования выносится в случаях, во-первых, при наличии обстоятельств, предусмотренн</w:t>
      </w:r>
      <w:r w:rsidR="00985F27" w:rsidRPr="002A2EF7">
        <w:rPr>
          <w:rFonts w:ascii="Times New Roman" w:hAnsi="Times New Roman" w:cs="Times New Roman"/>
          <w:sz w:val="28"/>
          <w:szCs w:val="28"/>
        </w:rPr>
        <w:t>ых п. п. 3-6 ч. 1, ч. 2 ст. 24, п.п. 3-</w:t>
      </w:r>
      <w:r w:rsidRPr="002A2EF7">
        <w:rPr>
          <w:rFonts w:ascii="Times New Roman" w:hAnsi="Times New Roman" w:cs="Times New Roman"/>
          <w:sz w:val="28"/>
          <w:szCs w:val="28"/>
        </w:rPr>
        <w:t>6 ч. 1 ст. 27 УПК; во-вторых, при отказе прокурора от обвинения в порядке, установленном ч. 7 ст. 246 УПК; в-третьих, при наличии оснований, предусмотренных ст. ст. 25, 26, 28 УПК. В данном постановлении судьи должно содержаться: основания прекращения дела или уголовного преследования, решение об отмене меры пресечения, а также наложения ареста на имущество, корреспонденцию, временного отстранения от должности, контроля и записи переговоров, а также разрешение вопроса о вещественных доказательствах (ст. 239 УПК). Копия постановления о прекращении дела подлежит направлению прокурору, а также лицу, в отношении которого прекращено уголовное преследование, и потерпевшему в течение пяти суток со дня его вынесения.</w:t>
      </w:r>
      <w:r w:rsidR="008A7A38">
        <w:rPr>
          <w:rFonts w:ascii="Times New Roman" w:hAnsi="Times New Roman" w:cs="Times New Roman"/>
          <w:sz w:val="28"/>
          <w:szCs w:val="28"/>
        </w:rPr>
        <w:t xml:space="preserve"> </w:t>
      </w:r>
      <w:r w:rsidRPr="002A2EF7">
        <w:rPr>
          <w:rFonts w:ascii="Times New Roman" w:hAnsi="Times New Roman" w:cs="Times New Roman"/>
          <w:sz w:val="28"/>
          <w:szCs w:val="28"/>
        </w:rPr>
        <w:t>Постановление судьи о назначении судебного заседания выносится при условии, что дело подсудно данному суду и при наличии достаточных и допустимых доказательств по делу для его рассмотрения по существу в судебном разбирательстве, а также при отсутствии обстоятельств, влекущих возвращение дела прокурору или приостановление либо прекращение дела. Данное постановление судьи оформляется в соответствии с общими требованиями, предъявляемыми к решению судьи, принимаемому им при проведении общего порядка подготовки к судебному заседанию (ч. 2 ст. 227 УПК).</w:t>
      </w:r>
    </w:p>
    <w:p w:rsidR="0035719D" w:rsidRPr="008A7A38" w:rsidRDefault="008A7A38" w:rsidP="002A2EF7">
      <w:pPr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35719D" w:rsidRPr="008A7A38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8A7A38">
        <w:rPr>
          <w:rFonts w:ascii="Times New Roman" w:hAnsi="Times New Roman"/>
          <w:b/>
          <w:sz w:val="28"/>
          <w:szCs w:val="28"/>
          <w:lang w:eastAsia="ru-RU"/>
        </w:rPr>
        <w:t>писок использованных источников</w:t>
      </w:r>
    </w:p>
    <w:p w:rsidR="0035719D" w:rsidRPr="002A2EF7" w:rsidRDefault="0035719D" w:rsidP="002A2EF7">
      <w:p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19D" w:rsidRPr="002A2EF7" w:rsidRDefault="0035719D" w:rsidP="008A7A38">
      <w:pPr>
        <w:numPr>
          <w:ilvl w:val="0"/>
          <w:numId w:val="12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EF7">
        <w:rPr>
          <w:rFonts w:ascii="Times New Roman" w:hAnsi="Times New Roman"/>
          <w:sz w:val="28"/>
          <w:szCs w:val="28"/>
          <w:lang w:eastAsia="ru-RU"/>
        </w:rPr>
        <w:t>Конституция РФ.</w:t>
      </w:r>
    </w:p>
    <w:p w:rsidR="0035719D" w:rsidRPr="002A2EF7" w:rsidRDefault="0035719D" w:rsidP="008A7A38">
      <w:pPr>
        <w:numPr>
          <w:ilvl w:val="0"/>
          <w:numId w:val="12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EF7">
        <w:rPr>
          <w:rFonts w:ascii="Times New Roman" w:hAnsi="Times New Roman"/>
          <w:sz w:val="28"/>
          <w:szCs w:val="28"/>
          <w:lang w:eastAsia="ru-RU"/>
        </w:rPr>
        <w:t>Уголовно-процессуальный Кодекс РФ.</w:t>
      </w:r>
    </w:p>
    <w:p w:rsidR="0035719D" w:rsidRPr="002A2EF7" w:rsidRDefault="0035719D" w:rsidP="008A7A38">
      <w:pPr>
        <w:numPr>
          <w:ilvl w:val="0"/>
          <w:numId w:val="12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EF7">
        <w:rPr>
          <w:rFonts w:ascii="Times New Roman" w:hAnsi="Times New Roman"/>
          <w:sz w:val="28"/>
          <w:szCs w:val="28"/>
          <w:lang w:eastAsia="ru-RU"/>
        </w:rPr>
        <w:t>Комментарий к УПК РФ. Под ред. А.Я. Сухарева. – М. 2006.</w:t>
      </w:r>
    </w:p>
    <w:p w:rsidR="0035719D" w:rsidRPr="002A2EF7" w:rsidRDefault="0035719D" w:rsidP="008A7A38">
      <w:pPr>
        <w:numPr>
          <w:ilvl w:val="0"/>
          <w:numId w:val="12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EF7">
        <w:rPr>
          <w:rFonts w:ascii="Times New Roman" w:hAnsi="Times New Roman"/>
          <w:sz w:val="28"/>
          <w:szCs w:val="28"/>
          <w:lang w:eastAsia="ru-RU"/>
        </w:rPr>
        <w:t>Комментарий к УПК РФ. Под ред. Д.Н. Козака, Е.Б. Мизулиной. – М. 2002.</w:t>
      </w:r>
    </w:p>
    <w:p w:rsidR="0035719D" w:rsidRPr="002A2EF7" w:rsidRDefault="0035719D" w:rsidP="008A7A38">
      <w:pPr>
        <w:numPr>
          <w:ilvl w:val="0"/>
          <w:numId w:val="12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EF7">
        <w:rPr>
          <w:rFonts w:ascii="Times New Roman" w:hAnsi="Times New Roman"/>
          <w:sz w:val="28"/>
          <w:szCs w:val="28"/>
          <w:lang w:eastAsia="ru-RU"/>
        </w:rPr>
        <w:t>Комментарий к УПК РФ. Под. Ред. И.Л. Петрухина. – М.</w:t>
      </w:r>
      <w:r w:rsidR="008A7A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2EF7">
        <w:rPr>
          <w:rFonts w:ascii="Times New Roman" w:hAnsi="Times New Roman"/>
          <w:sz w:val="28"/>
          <w:szCs w:val="28"/>
          <w:lang w:eastAsia="ru-RU"/>
        </w:rPr>
        <w:t>2002.</w:t>
      </w:r>
    </w:p>
    <w:p w:rsidR="0035719D" w:rsidRPr="002A2EF7" w:rsidRDefault="0035719D" w:rsidP="008A7A38">
      <w:pPr>
        <w:numPr>
          <w:ilvl w:val="0"/>
          <w:numId w:val="12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EF7">
        <w:rPr>
          <w:rFonts w:ascii="Times New Roman" w:hAnsi="Times New Roman"/>
          <w:sz w:val="28"/>
          <w:szCs w:val="28"/>
          <w:lang w:eastAsia="ru-RU"/>
        </w:rPr>
        <w:t>Пикалов И.А. Равноправие сторон на досудебных стадиях уголовного процесса // Закон и право. 2007. № 6.</w:t>
      </w:r>
    </w:p>
    <w:p w:rsidR="000B09AB" w:rsidRPr="002A2EF7" w:rsidRDefault="0035719D" w:rsidP="008A7A38">
      <w:pPr>
        <w:numPr>
          <w:ilvl w:val="0"/>
          <w:numId w:val="12"/>
        </w:numPr>
        <w:shd w:val="clear" w:color="auto" w:fill="FFFFFF"/>
        <w:tabs>
          <w:tab w:val="num" w:pos="360"/>
          <w:tab w:val="left" w:pos="108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2EF7">
        <w:rPr>
          <w:rFonts w:ascii="Times New Roman" w:hAnsi="Times New Roman"/>
          <w:sz w:val="28"/>
          <w:szCs w:val="28"/>
          <w:lang w:eastAsia="ru-RU"/>
        </w:rPr>
        <w:t>Уголовный процесс: Учебник для студентов вузов, обучающихся по специальности «Юриспруденция»/Под ред. В.П.</w:t>
      </w:r>
      <w:r w:rsidR="008A7A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2EF7">
        <w:rPr>
          <w:rFonts w:ascii="Times New Roman" w:hAnsi="Times New Roman"/>
          <w:sz w:val="28"/>
          <w:szCs w:val="28"/>
          <w:lang w:eastAsia="ru-RU"/>
        </w:rPr>
        <w:t xml:space="preserve">Божьева. </w:t>
      </w:r>
      <w:r w:rsidRPr="002A2EF7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2A2EF7">
        <w:rPr>
          <w:rFonts w:ascii="Times New Roman" w:hAnsi="Times New Roman"/>
          <w:sz w:val="28"/>
          <w:szCs w:val="28"/>
          <w:lang w:eastAsia="ru-RU"/>
        </w:rPr>
        <w:t xml:space="preserve"> М.: Спарк, 2006. С.384.</w:t>
      </w:r>
      <w:bookmarkStart w:id="0" w:name="_GoBack"/>
      <w:bookmarkEnd w:id="0"/>
    </w:p>
    <w:sectPr w:rsidR="000B09AB" w:rsidRPr="002A2EF7" w:rsidSect="002A2EF7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116" w:rsidRDefault="00E53116" w:rsidP="00896B7B">
      <w:pPr>
        <w:spacing w:line="240" w:lineRule="auto"/>
      </w:pPr>
      <w:r>
        <w:separator/>
      </w:r>
    </w:p>
  </w:endnote>
  <w:endnote w:type="continuationSeparator" w:id="0">
    <w:p w:rsidR="00E53116" w:rsidRDefault="00E53116" w:rsidP="00896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116" w:rsidRDefault="00E53116" w:rsidP="00896B7B">
      <w:pPr>
        <w:spacing w:line="240" w:lineRule="auto"/>
      </w:pPr>
      <w:r>
        <w:separator/>
      </w:r>
    </w:p>
  </w:footnote>
  <w:footnote w:type="continuationSeparator" w:id="0">
    <w:p w:rsidR="00E53116" w:rsidRDefault="00E53116" w:rsidP="00896B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702E1"/>
    <w:multiLevelType w:val="singleLevel"/>
    <w:tmpl w:val="8F04EF1C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">
    <w:nsid w:val="313B651F"/>
    <w:multiLevelType w:val="singleLevel"/>
    <w:tmpl w:val="8F04EF1C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2">
    <w:nsid w:val="4AC22827"/>
    <w:multiLevelType w:val="hybridMultilevel"/>
    <w:tmpl w:val="109EF4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B041A46"/>
    <w:multiLevelType w:val="hybridMultilevel"/>
    <w:tmpl w:val="DAAA4778"/>
    <w:lvl w:ilvl="0" w:tplc="42F2BFF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E740437"/>
    <w:multiLevelType w:val="hybridMultilevel"/>
    <w:tmpl w:val="D9181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314F6"/>
    <w:multiLevelType w:val="hybridMultilevel"/>
    <w:tmpl w:val="BC7456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4AD3948"/>
    <w:multiLevelType w:val="singleLevel"/>
    <w:tmpl w:val="780CBF1C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7">
    <w:nsid w:val="5F5F7A0F"/>
    <w:multiLevelType w:val="hybridMultilevel"/>
    <w:tmpl w:val="1B085764"/>
    <w:lvl w:ilvl="0" w:tplc="1862D0F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2AA66E8"/>
    <w:multiLevelType w:val="singleLevel"/>
    <w:tmpl w:val="3AFA0162"/>
    <w:lvl w:ilvl="0">
      <w:start w:val="3"/>
      <w:numFmt w:val="decimal"/>
      <w:lvlText w:val="%1)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9">
    <w:nsid w:val="69AD61B3"/>
    <w:multiLevelType w:val="hybridMultilevel"/>
    <w:tmpl w:val="BCD6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50ED7"/>
    <w:multiLevelType w:val="hybridMultilevel"/>
    <w:tmpl w:val="43C43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E264803"/>
    <w:multiLevelType w:val="hybridMultilevel"/>
    <w:tmpl w:val="9EB2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B7B"/>
    <w:rsid w:val="00002129"/>
    <w:rsid w:val="000147D6"/>
    <w:rsid w:val="00025D9E"/>
    <w:rsid w:val="00031F65"/>
    <w:rsid w:val="000468FB"/>
    <w:rsid w:val="000555E2"/>
    <w:rsid w:val="00066BE4"/>
    <w:rsid w:val="00071EE9"/>
    <w:rsid w:val="00081E8A"/>
    <w:rsid w:val="00085B6F"/>
    <w:rsid w:val="00087D42"/>
    <w:rsid w:val="0009142D"/>
    <w:rsid w:val="00092A8C"/>
    <w:rsid w:val="000979BE"/>
    <w:rsid w:val="000A3BB0"/>
    <w:rsid w:val="000A5F28"/>
    <w:rsid w:val="000B09AB"/>
    <w:rsid w:val="000B3A70"/>
    <w:rsid w:val="000C5D24"/>
    <w:rsid w:val="000D3DA1"/>
    <w:rsid w:val="000F2B3F"/>
    <w:rsid w:val="000F2E24"/>
    <w:rsid w:val="00106B9B"/>
    <w:rsid w:val="00110774"/>
    <w:rsid w:val="00115F26"/>
    <w:rsid w:val="00124251"/>
    <w:rsid w:val="00125B12"/>
    <w:rsid w:val="00127F5B"/>
    <w:rsid w:val="00137B1D"/>
    <w:rsid w:val="0014142E"/>
    <w:rsid w:val="001426C3"/>
    <w:rsid w:val="00151394"/>
    <w:rsid w:val="0015172B"/>
    <w:rsid w:val="0015382C"/>
    <w:rsid w:val="001556CD"/>
    <w:rsid w:val="001565CA"/>
    <w:rsid w:val="00160CC2"/>
    <w:rsid w:val="00164207"/>
    <w:rsid w:val="001701F9"/>
    <w:rsid w:val="0018757F"/>
    <w:rsid w:val="0019327A"/>
    <w:rsid w:val="001A12F6"/>
    <w:rsid w:val="001A4BDF"/>
    <w:rsid w:val="001A565D"/>
    <w:rsid w:val="001B14AF"/>
    <w:rsid w:val="001B4889"/>
    <w:rsid w:val="001C1712"/>
    <w:rsid w:val="001C1ED4"/>
    <w:rsid w:val="001C2BBF"/>
    <w:rsid w:val="001D17AD"/>
    <w:rsid w:val="001D42F7"/>
    <w:rsid w:val="001D75C9"/>
    <w:rsid w:val="001E1466"/>
    <w:rsid w:val="001F22A0"/>
    <w:rsid w:val="001F4488"/>
    <w:rsid w:val="001F75AD"/>
    <w:rsid w:val="001F7A1A"/>
    <w:rsid w:val="00202669"/>
    <w:rsid w:val="00202DAE"/>
    <w:rsid w:val="00204F01"/>
    <w:rsid w:val="00207478"/>
    <w:rsid w:val="00207510"/>
    <w:rsid w:val="00207B67"/>
    <w:rsid w:val="00215077"/>
    <w:rsid w:val="002162B7"/>
    <w:rsid w:val="00216508"/>
    <w:rsid w:val="00222D69"/>
    <w:rsid w:val="002377E2"/>
    <w:rsid w:val="00241440"/>
    <w:rsid w:val="00250D75"/>
    <w:rsid w:val="0025577F"/>
    <w:rsid w:val="00260602"/>
    <w:rsid w:val="00261539"/>
    <w:rsid w:val="0026263B"/>
    <w:rsid w:val="002632EB"/>
    <w:rsid w:val="00264C99"/>
    <w:rsid w:val="00272AB4"/>
    <w:rsid w:val="00290E5E"/>
    <w:rsid w:val="00293259"/>
    <w:rsid w:val="00293C10"/>
    <w:rsid w:val="00296245"/>
    <w:rsid w:val="00297162"/>
    <w:rsid w:val="002A2EF7"/>
    <w:rsid w:val="002D086B"/>
    <w:rsid w:val="002D2449"/>
    <w:rsid w:val="002D24A0"/>
    <w:rsid w:val="002D4866"/>
    <w:rsid w:val="002D4C90"/>
    <w:rsid w:val="002E2595"/>
    <w:rsid w:val="002F153E"/>
    <w:rsid w:val="002F32A3"/>
    <w:rsid w:val="00306653"/>
    <w:rsid w:val="00307F64"/>
    <w:rsid w:val="00311E06"/>
    <w:rsid w:val="003136D2"/>
    <w:rsid w:val="00313C69"/>
    <w:rsid w:val="00324257"/>
    <w:rsid w:val="0032682C"/>
    <w:rsid w:val="00326DEE"/>
    <w:rsid w:val="00334F46"/>
    <w:rsid w:val="00336F9B"/>
    <w:rsid w:val="00357084"/>
    <w:rsid w:val="0035719D"/>
    <w:rsid w:val="003637D8"/>
    <w:rsid w:val="00387357"/>
    <w:rsid w:val="00393C7C"/>
    <w:rsid w:val="00394FAA"/>
    <w:rsid w:val="003A2FB8"/>
    <w:rsid w:val="003B0A4C"/>
    <w:rsid w:val="003C1BC5"/>
    <w:rsid w:val="003C5EF0"/>
    <w:rsid w:val="003D5E81"/>
    <w:rsid w:val="003E25CD"/>
    <w:rsid w:val="003F03CF"/>
    <w:rsid w:val="003F320F"/>
    <w:rsid w:val="003F7A48"/>
    <w:rsid w:val="003F7AC2"/>
    <w:rsid w:val="003F7BCD"/>
    <w:rsid w:val="0042351A"/>
    <w:rsid w:val="004249A8"/>
    <w:rsid w:val="00427D12"/>
    <w:rsid w:val="00427E6F"/>
    <w:rsid w:val="00432468"/>
    <w:rsid w:val="0043795E"/>
    <w:rsid w:val="00440368"/>
    <w:rsid w:val="004467C2"/>
    <w:rsid w:val="004500C9"/>
    <w:rsid w:val="00465970"/>
    <w:rsid w:val="004673FD"/>
    <w:rsid w:val="004703FB"/>
    <w:rsid w:val="00470B3C"/>
    <w:rsid w:val="0047455C"/>
    <w:rsid w:val="00475112"/>
    <w:rsid w:val="00480CB6"/>
    <w:rsid w:val="0048606B"/>
    <w:rsid w:val="00490058"/>
    <w:rsid w:val="0049419E"/>
    <w:rsid w:val="004948AC"/>
    <w:rsid w:val="004A0010"/>
    <w:rsid w:val="004A5138"/>
    <w:rsid w:val="004B2EAB"/>
    <w:rsid w:val="004B3B78"/>
    <w:rsid w:val="004C11C2"/>
    <w:rsid w:val="004C22E2"/>
    <w:rsid w:val="004D20D5"/>
    <w:rsid w:val="004D377D"/>
    <w:rsid w:val="004E46F2"/>
    <w:rsid w:val="004E6DF1"/>
    <w:rsid w:val="004F3C4E"/>
    <w:rsid w:val="004F4D1C"/>
    <w:rsid w:val="00501EFE"/>
    <w:rsid w:val="0051313A"/>
    <w:rsid w:val="00517DAD"/>
    <w:rsid w:val="00521438"/>
    <w:rsid w:val="005220A0"/>
    <w:rsid w:val="00523183"/>
    <w:rsid w:val="005440FF"/>
    <w:rsid w:val="0054561D"/>
    <w:rsid w:val="00553AD7"/>
    <w:rsid w:val="00561819"/>
    <w:rsid w:val="005824DF"/>
    <w:rsid w:val="005900AF"/>
    <w:rsid w:val="00590E00"/>
    <w:rsid w:val="00591926"/>
    <w:rsid w:val="00591C32"/>
    <w:rsid w:val="005929D0"/>
    <w:rsid w:val="005946FA"/>
    <w:rsid w:val="00596AF3"/>
    <w:rsid w:val="00596E7C"/>
    <w:rsid w:val="005A1532"/>
    <w:rsid w:val="005A4C4A"/>
    <w:rsid w:val="005B02D8"/>
    <w:rsid w:val="005C0AFB"/>
    <w:rsid w:val="005C545E"/>
    <w:rsid w:val="005D7C3A"/>
    <w:rsid w:val="005E2B14"/>
    <w:rsid w:val="00603891"/>
    <w:rsid w:val="006052A8"/>
    <w:rsid w:val="00616456"/>
    <w:rsid w:val="00621CA6"/>
    <w:rsid w:val="00625C0B"/>
    <w:rsid w:val="00636CA1"/>
    <w:rsid w:val="00636EB0"/>
    <w:rsid w:val="0063768D"/>
    <w:rsid w:val="00640384"/>
    <w:rsid w:val="00665637"/>
    <w:rsid w:val="00665898"/>
    <w:rsid w:val="00670C75"/>
    <w:rsid w:val="00675783"/>
    <w:rsid w:val="00682832"/>
    <w:rsid w:val="0068349C"/>
    <w:rsid w:val="006847E6"/>
    <w:rsid w:val="006847FA"/>
    <w:rsid w:val="00687475"/>
    <w:rsid w:val="006929C3"/>
    <w:rsid w:val="00695F93"/>
    <w:rsid w:val="0069603B"/>
    <w:rsid w:val="006B03B6"/>
    <w:rsid w:val="006B07E7"/>
    <w:rsid w:val="006B5E95"/>
    <w:rsid w:val="006C0334"/>
    <w:rsid w:val="006C1A3E"/>
    <w:rsid w:val="006C1E51"/>
    <w:rsid w:val="006C477C"/>
    <w:rsid w:val="006C7FE1"/>
    <w:rsid w:val="006D090F"/>
    <w:rsid w:val="006F16EE"/>
    <w:rsid w:val="00701A52"/>
    <w:rsid w:val="007128F6"/>
    <w:rsid w:val="007138B3"/>
    <w:rsid w:val="00717B2D"/>
    <w:rsid w:val="00724B6D"/>
    <w:rsid w:val="007324C6"/>
    <w:rsid w:val="007334E6"/>
    <w:rsid w:val="007351F4"/>
    <w:rsid w:val="00745AB7"/>
    <w:rsid w:val="007503A8"/>
    <w:rsid w:val="00755CBF"/>
    <w:rsid w:val="00756818"/>
    <w:rsid w:val="00757302"/>
    <w:rsid w:val="0076741D"/>
    <w:rsid w:val="007707CF"/>
    <w:rsid w:val="007727DD"/>
    <w:rsid w:val="007842B9"/>
    <w:rsid w:val="00784A79"/>
    <w:rsid w:val="0079615A"/>
    <w:rsid w:val="007A52CC"/>
    <w:rsid w:val="007B1E62"/>
    <w:rsid w:val="007B2633"/>
    <w:rsid w:val="007B6633"/>
    <w:rsid w:val="007B6A19"/>
    <w:rsid w:val="007B6C9A"/>
    <w:rsid w:val="007D48A7"/>
    <w:rsid w:val="007D649F"/>
    <w:rsid w:val="007E0DFA"/>
    <w:rsid w:val="007E5D37"/>
    <w:rsid w:val="007E7B1D"/>
    <w:rsid w:val="007F7DBD"/>
    <w:rsid w:val="00800F7B"/>
    <w:rsid w:val="00806ED2"/>
    <w:rsid w:val="008138A9"/>
    <w:rsid w:val="00814BAE"/>
    <w:rsid w:val="0082317F"/>
    <w:rsid w:val="00824987"/>
    <w:rsid w:val="00826BDC"/>
    <w:rsid w:val="00826D0D"/>
    <w:rsid w:val="008371C9"/>
    <w:rsid w:val="00843516"/>
    <w:rsid w:val="00846C47"/>
    <w:rsid w:val="00850C50"/>
    <w:rsid w:val="00854C38"/>
    <w:rsid w:val="00854DF9"/>
    <w:rsid w:val="00855BD6"/>
    <w:rsid w:val="00857FDA"/>
    <w:rsid w:val="00865F4F"/>
    <w:rsid w:val="00891CD0"/>
    <w:rsid w:val="00894A5F"/>
    <w:rsid w:val="00896B7B"/>
    <w:rsid w:val="008A329A"/>
    <w:rsid w:val="008A7A38"/>
    <w:rsid w:val="008A7C6E"/>
    <w:rsid w:val="008B0063"/>
    <w:rsid w:val="008C273B"/>
    <w:rsid w:val="008D2042"/>
    <w:rsid w:val="008F6859"/>
    <w:rsid w:val="00904022"/>
    <w:rsid w:val="0090543B"/>
    <w:rsid w:val="0090586C"/>
    <w:rsid w:val="009066BC"/>
    <w:rsid w:val="0090685D"/>
    <w:rsid w:val="00907CA2"/>
    <w:rsid w:val="009106B6"/>
    <w:rsid w:val="00910E0B"/>
    <w:rsid w:val="00911134"/>
    <w:rsid w:val="0091289E"/>
    <w:rsid w:val="0091791D"/>
    <w:rsid w:val="00920AAD"/>
    <w:rsid w:val="00925E17"/>
    <w:rsid w:val="0092643D"/>
    <w:rsid w:val="00933D5F"/>
    <w:rsid w:val="00933E8B"/>
    <w:rsid w:val="00940BE6"/>
    <w:rsid w:val="00942A58"/>
    <w:rsid w:val="009442C2"/>
    <w:rsid w:val="00947AAC"/>
    <w:rsid w:val="0096133E"/>
    <w:rsid w:val="009725BB"/>
    <w:rsid w:val="00977603"/>
    <w:rsid w:val="00983070"/>
    <w:rsid w:val="00984557"/>
    <w:rsid w:val="00985F27"/>
    <w:rsid w:val="009936D5"/>
    <w:rsid w:val="009A01CC"/>
    <w:rsid w:val="009B2FA2"/>
    <w:rsid w:val="009B61BA"/>
    <w:rsid w:val="009C27AB"/>
    <w:rsid w:val="009F10EA"/>
    <w:rsid w:val="009F4364"/>
    <w:rsid w:val="00A05320"/>
    <w:rsid w:val="00A20E08"/>
    <w:rsid w:val="00A279A3"/>
    <w:rsid w:val="00A33B61"/>
    <w:rsid w:val="00A40BAC"/>
    <w:rsid w:val="00A44223"/>
    <w:rsid w:val="00A504C4"/>
    <w:rsid w:val="00A5221E"/>
    <w:rsid w:val="00A52665"/>
    <w:rsid w:val="00A566FC"/>
    <w:rsid w:val="00A60CF3"/>
    <w:rsid w:val="00A62CB3"/>
    <w:rsid w:val="00A62DDA"/>
    <w:rsid w:val="00A80D86"/>
    <w:rsid w:val="00A80F06"/>
    <w:rsid w:val="00A93064"/>
    <w:rsid w:val="00A949B7"/>
    <w:rsid w:val="00AA4318"/>
    <w:rsid w:val="00AA4BDC"/>
    <w:rsid w:val="00AA7084"/>
    <w:rsid w:val="00AB62AB"/>
    <w:rsid w:val="00AB7339"/>
    <w:rsid w:val="00AB7F18"/>
    <w:rsid w:val="00AC1AEF"/>
    <w:rsid w:val="00AC68FE"/>
    <w:rsid w:val="00AD2D92"/>
    <w:rsid w:val="00AD3A82"/>
    <w:rsid w:val="00AD635D"/>
    <w:rsid w:val="00AD679D"/>
    <w:rsid w:val="00AD745E"/>
    <w:rsid w:val="00AF33FB"/>
    <w:rsid w:val="00AF4E33"/>
    <w:rsid w:val="00AF7B75"/>
    <w:rsid w:val="00B02B01"/>
    <w:rsid w:val="00B02ED2"/>
    <w:rsid w:val="00B169B3"/>
    <w:rsid w:val="00B259A7"/>
    <w:rsid w:val="00B27A36"/>
    <w:rsid w:val="00B3312D"/>
    <w:rsid w:val="00B36F36"/>
    <w:rsid w:val="00B56BF3"/>
    <w:rsid w:val="00B5734F"/>
    <w:rsid w:val="00B63551"/>
    <w:rsid w:val="00B65191"/>
    <w:rsid w:val="00B66111"/>
    <w:rsid w:val="00B720EB"/>
    <w:rsid w:val="00B84051"/>
    <w:rsid w:val="00B92757"/>
    <w:rsid w:val="00B943E9"/>
    <w:rsid w:val="00B97F8E"/>
    <w:rsid w:val="00BA6472"/>
    <w:rsid w:val="00BA7C58"/>
    <w:rsid w:val="00BB109F"/>
    <w:rsid w:val="00BB5A20"/>
    <w:rsid w:val="00BB6B6B"/>
    <w:rsid w:val="00BC0429"/>
    <w:rsid w:val="00BC2240"/>
    <w:rsid w:val="00BC53F3"/>
    <w:rsid w:val="00BD4778"/>
    <w:rsid w:val="00BD5AD4"/>
    <w:rsid w:val="00BF1C55"/>
    <w:rsid w:val="00BF7A47"/>
    <w:rsid w:val="00C040F4"/>
    <w:rsid w:val="00C14672"/>
    <w:rsid w:val="00C231EA"/>
    <w:rsid w:val="00C27962"/>
    <w:rsid w:val="00C33075"/>
    <w:rsid w:val="00C35438"/>
    <w:rsid w:val="00C357B4"/>
    <w:rsid w:val="00C648DF"/>
    <w:rsid w:val="00C92FB4"/>
    <w:rsid w:val="00C94407"/>
    <w:rsid w:val="00CA7540"/>
    <w:rsid w:val="00CB675C"/>
    <w:rsid w:val="00CC0ED4"/>
    <w:rsid w:val="00CC18D8"/>
    <w:rsid w:val="00CD12CD"/>
    <w:rsid w:val="00CD2530"/>
    <w:rsid w:val="00CD3D11"/>
    <w:rsid w:val="00CF2429"/>
    <w:rsid w:val="00CF315C"/>
    <w:rsid w:val="00CF32D6"/>
    <w:rsid w:val="00D03878"/>
    <w:rsid w:val="00D071AE"/>
    <w:rsid w:val="00D3049D"/>
    <w:rsid w:val="00D40040"/>
    <w:rsid w:val="00D536C2"/>
    <w:rsid w:val="00D5630B"/>
    <w:rsid w:val="00D610EF"/>
    <w:rsid w:val="00D64C00"/>
    <w:rsid w:val="00D65CAD"/>
    <w:rsid w:val="00D708DD"/>
    <w:rsid w:val="00D816CA"/>
    <w:rsid w:val="00D83B81"/>
    <w:rsid w:val="00D8580B"/>
    <w:rsid w:val="00D93E76"/>
    <w:rsid w:val="00D974D0"/>
    <w:rsid w:val="00DB1DA7"/>
    <w:rsid w:val="00DB344D"/>
    <w:rsid w:val="00DC0D0C"/>
    <w:rsid w:val="00DC502B"/>
    <w:rsid w:val="00DE30C6"/>
    <w:rsid w:val="00DE719F"/>
    <w:rsid w:val="00DF27CA"/>
    <w:rsid w:val="00DF34DC"/>
    <w:rsid w:val="00DF35C0"/>
    <w:rsid w:val="00DF707C"/>
    <w:rsid w:val="00E002CD"/>
    <w:rsid w:val="00E05C26"/>
    <w:rsid w:val="00E14732"/>
    <w:rsid w:val="00E219C2"/>
    <w:rsid w:val="00E22A58"/>
    <w:rsid w:val="00E230EB"/>
    <w:rsid w:val="00E35747"/>
    <w:rsid w:val="00E377CE"/>
    <w:rsid w:val="00E53116"/>
    <w:rsid w:val="00E534D6"/>
    <w:rsid w:val="00E6093F"/>
    <w:rsid w:val="00E64320"/>
    <w:rsid w:val="00E67B95"/>
    <w:rsid w:val="00E7335D"/>
    <w:rsid w:val="00E76EDC"/>
    <w:rsid w:val="00E77176"/>
    <w:rsid w:val="00E90A00"/>
    <w:rsid w:val="00E92BAE"/>
    <w:rsid w:val="00E9428B"/>
    <w:rsid w:val="00EA2540"/>
    <w:rsid w:val="00EB188A"/>
    <w:rsid w:val="00EC534C"/>
    <w:rsid w:val="00EC6537"/>
    <w:rsid w:val="00ED21F9"/>
    <w:rsid w:val="00ED6322"/>
    <w:rsid w:val="00EE2712"/>
    <w:rsid w:val="00EE5F7F"/>
    <w:rsid w:val="00EF714A"/>
    <w:rsid w:val="00EF74AE"/>
    <w:rsid w:val="00F013C6"/>
    <w:rsid w:val="00F01F1E"/>
    <w:rsid w:val="00F0352C"/>
    <w:rsid w:val="00F04ED8"/>
    <w:rsid w:val="00F074C2"/>
    <w:rsid w:val="00F11515"/>
    <w:rsid w:val="00F14914"/>
    <w:rsid w:val="00F239EC"/>
    <w:rsid w:val="00F24E51"/>
    <w:rsid w:val="00F251E3"/>
    <w:rsid w:val="00F338EE"/>
    <w:rsid w:val="00F430AB"/>
    <w:rsid w:val="00F47D2F"/>
    <w:rsid w:val="00F516AB"/>
    <w:rsid w:val="00F51FF0"/>
    <w:rsid w:val="00F603B7"/>
    <w:rsid w:val="00F65298"/>
    <w:rsid w:val="00F7404F"/>
    <w:rsid w:val="00F80D71"/>
    <w:rsid w:val="00F820C2"/>
    <w:rsid w:val="00F82330"/>
    <w:rsid w:val="00F849DC"/>
    <w:rsid w:val="00F84CA0"/>
    <w:rsid w:val="00F8585D"/>
    <w:rsid w:val="00F85F69"/>
    <w:rsid w:val="00FB2E77"/>
    <w:rsid w:val="00FC1204"/>
    <w:rsid w:val="00FC75E4"/>
    <w:rsid w:val="00FD1B8E"/>
    <w:rsid w:val="00FE1F7E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55B1EB-3CFE-42A1-98C1-C43A42F2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D9E"/>
    <w:pPr>
      <w:spacing w:line="360" w:lineRule="auto"/>
      <w:ind w:left="357" w:hanging="357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6B7B"/>
    <w:pPr>
      <w:tabs>
        <w:tab w:val="center" w:pos="4677"/>
        <w:tab w:val="right" w:pos="9355"/>
      </w:tabs>
      <w:spacing w:line="240" w:lineRule="auto"/>
    </w:pPr>
  </w:style>
  <w:style w:type="paragraph" w:styleId="a5">
    <w:name w:val="footer"/>
    <w:basedOn w:val="a"/>
    <w:link w:val="a6"/>
    <w:uiPriority w:val="99"/>
    <w:semiHidden/>
    <w:rsid w:val="00896B7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96B7B"/>
    <w:rPr>
      <w:rFonts w:cs="Times New Roman"/>
    </w:rPr>
  </w:style>
  <w:style w:type="paragraph" w:styleId="a7">
    <w:name w:val="List Paragraph"/>
    <w:basedOn w:val="a"/>
    <w:uiPriority w:val="99"/>
    <w:qFormat/>
    <w:rsid w:val="00896B7B"/>
    <w:pPr>
      <w:ind w:left="720"/>
      <w:contextualSpacing/>
    </w:pPr>
  </w:style>
  <w:style w:type="character" w:customStyle="1" w:styleId="a6">
    <w:name w:val="Нижний колонтитул Знак"/>
    <w:link w:val="a5"/>
    <w:uiPriority w:val="99"/>
    <w:semiHidden/>
    <w:locked/>
    <w:rsid w:val="00896B7B"/>
    <w:rPr>
      <w:rFonts w:cs="Times New Roman"/>
    </w:rPr>
  </w:style>
  <w:style w:type="paragraph" w:customStyle="1" w:styleId="ConsNormal">
    <w:name w:val="ConsNormal"/>
    <w:uiPriority w:val="99"/>
    <w:rsid w:val="001A56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F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334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14816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1</dc:creator>
  <cp:keywords/>
  <dc:description/>
  <cp:lastModifiedBy>admin</cp:lastModifiedBy>
  <cp:revision>2</cp:revision>
  <dcterms:created xsi:type="dcterms:W3CDTF">2014-03-07T00:45:00Z</dcterms:created>
  <dcterms:modified xsi:type="dcterms:W3CDTF">2014-03-07T00:45:00Z</dcterms:modified>
</cp:coreProperties>
</file>