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6F43" w:rsidRDefault="00636F43">
      <w:pPr>
        <w:jc w:val="right"/>
        <w:rPr>
          <w:sz w:val="24"/>
        </w:rPr>
      </w:pPr>
      <w:r>
        <w:rPr>
          <w:b/>
          <w:sz w:val="24"/>
        </w:rPr>
        <w:t xml:space="preserve">ГОСТ 17.2.2.03-87  </w:t>
      </w:r>
      <w:r>
        <w:rPr>
          <w:sz w:val="24"/>
        </w:rPr>
        <w:t xml:space="preserve"> Нормы и методы измерений содержания окиси </w:t>
      </w:r>
    </w:p>
    <w:p w:rsidR="00636F43" w:rsidRDefault="00636F43">
      <w:pPr>
        <w:jc w:val="right"/>
        <w:rPr>
          <w:sz w:val="24"/>
        </w:rPr>
      </w:pPr>
      <w:r>
        <w:rPr>
          <w:sz w:val="24"/>
        </w:rPr>
        <w:t xml:space="preserve">углерода и углеводородов в отработавших газах </w:t>
      </w:r>
    </w:p>
    <w:p w:rsidR="00636F43" w:rsidRDefault="00636F43">
      <w:pPr>
        <w:jc w:val="right"/>
        <w:rPr>
          <w:sz w:val="24"/>
        </w:rPr>
      </w:pPr>
      <w:r>
        <w:rPr>
          <w:sz w:val="24"/>
        </w:rPr>
        <w:t>автомобилей с бензиновыми двигателями.</w:t>
      </w:r>
    </w:p>
    <w:p w:rsidR="00636F43" w:rsidRDefault="00636F43">
      <w:pPr>
        <w:jc w:val="both"/>
        <w:rPr>
          <w:sz w:val="24"/>
        </w:rPr>
      </w:pPr>
    </w:p>
    <w:p w:rsidR="00636F43" w:rsidRDefault="00636F43">
      <w:pPr>
        <w:pStyle w:val="1"/>
      </w:pPr>
      <w:r>
        <w:t>ТРЕБОВАНИЯ БЕЗОПАСНОСТИ</w:t>
      </w:r>
    </w:p>
    <w:p w:rsidR="00636F43" w:rsidRDefault="00636F43">
      <w:pPr>
        <w:jc w:val="center"/>
        <w:rPr>
          <w:b/>
          <w:i/>
          <w:sz w:val="24"/>
        </w:rPr>
      </w:pPr>
    </w:p>
    <w:p w:rsidR="00636F43" w:rsidRDefault="00636F43">
      <w:pPr>
        <w:jc w:val="both"/>
        <w:rPr>
          <w:i/>
          <w:sz w:val="24"/>
        </w:rPr>
      </w:pPr>
      <w:r>
        <w:rPr>
          <w:b/>
          <w:i/>
          <w:sz w:val="24"/>
        </w:rPr>
        <w:t xml:space="preserve">           </w:t>
      </w:r>
      <w:r>
        <w:rPr>
          <w:i/>
          <w:sz w:val="24"/>
        </w:rPr>
        <w:t>Настоящий стандарт распространяется на автотранспортный средства с бензиновыми двигателями (далее – автомобили), изготавливаемые и эксплуатируемые в России. Стандарт устанавливает нормы предельно допустимого содержания окиси углерода и углеводородов в отработавших газах автомобилей при работе на режимах холостого хода, а также методы их измерения. Стандарт не распространяется на автомобили, полная масса которых менее 400 кг  или максимальная скорость не превышает 50 км</w:t>
      </w:r>
      <w:r>
        <w:rPr>
          <w:i/>
          <w:sz w:val="24"/>
          <w:lang w:val="en-US"/>
        </w:rPr>
        <w:t>/</w:t>
      </w:r>
      <w:r>
        <w:rPr>
          <w:i/>
          <w:sz w:val="24"/>
        </w:rPr>
        <w:t>ч, на автомобили с двухтактными и роторными двигателями, на автомобили высшего класса, а также не автомобили, эксплуатируемые в высокогорных условиях.</w:t>
      </w:r>
    </w:p>
    <w:p w:rsidR="00636F43" w:rsidRDefault="00636F43">
      <w:pPr>
        <w:jc w:val="both"/>
        <w:rPr>
          <w:i/>
          <w:sz w:val="24"/>
        </w:rPr>
      </w:pPr>
    </w:p>
    <w:p w:rsidR="00636F43" w:rsidRDefault="00636F43">
      <w:pPr>
        <w:numPr>
          <w:ilvl w:val="0"/>
          <w:numId w:val="1"/>
        </w:numPr>
        <w:jc w:val="center"/>
        <w:rPr>
          <w:b/>
          <w:i/>
          <w:sz w:val="24"/>
        </w:rPr>
      </w:pPr>
      <w:r>
        <w:rPr>
          <w:b/>
          <w:i/>
          <w:sz w:val="24"/>
        </w:rPr>
        <w:t>ПРЕДЕЛЬНО-ДОПУСТИМОЕ СОДЕРЖАНИЕ ВРЕДНЫХ ВЕЩЕСТВ</w:t>
      </w:r>
    </w:p>
    <w:p w:rsidR="00636F43" w:rsidRDefault="00636F43">
      <w:pPr>
        <w:numPr>
          <w:ilvl w:val="1"/>
          <w:numId w:val="1"/>
        </w:numPr>
        <w:jc w:val="both"/>
        <w:rPr>
          <w:i/>
          <w:sz w:val="24"/>
        </w:rPr>
      </w:pPr>
      <w:r>
        <w:rPr>
          <w:i/>
          <w:sz w:val="24"/>
        </w:rPr>
        <w:t>Содержание окиси углерода и углеводородов в отработавших газах автомобилей определяют при работе двигателя на холостом ходу для двух частот вращения коленчатого вала, установленных предприятием-изготовителем: минимальной (</w:t>
      </w:r>
      <w:r w:rsidR="004B4859">
        <w:rPr>
          <w:i/>
          <w:position w:val="-10"/>
          <w:sz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1pt;height:17.25pt" fillcolor="window">
            <v:imagedata r:id="rId5" o:title=""/>
          </v:shape>
        </w:pict>
      </w:r>
      <w:r>
        <w:rPr>
          <w:i/>
          <w:sz w:val="24"/>
        </w:rPr>
        <w:t>) и повышенной (</w:t>
      </w:r>
      <w:r w:rsidR="004B4859">
        <w:rPr>
          <w:i/>
          <w:position w:val="-12"/>
          <w:sz w:val="24"/>
        </w:rPr>
        <w:pict>
          <v:shape id="_x0000_i1026" type="#_x0000_t75" style="width:21pt;height:18pt" fillcolor="window">
            <v:imagedata r:id="rId6" o:title=""/>
          </v:shape>
        </w:pict>
      </w:r>
      <w:r>
        <w:rPr>
          <w:i/>
          <w:sz w:val="24"/>
        </w:rPr>
        <w:t>) в диапазоне  2000  1</w:t>
      </w:r>
      <w:r>
        <w:rPr>
          <w:i/>
          <w:sz w:val="24"/>
          <w:lang w:val="en-US"/>
        </w:rPr>
        <w:t>/</w:t>
      </w:r>
      <w:r>
        <w:rPr>
          <w:i/>
          <w:sz w:val="24"/>
        </w:rPr>
        <w:t>мин – 0.8</w:t>
      </w:r>
      <w:r>
        <w:rPr>
          <w:i/>
          <w:sz w:val="24"/>
          <w:lang w:val="en-US"/>
        </w:rPr>
        <w:t>N</w:t>
      </w:r>
      <w:r>
        <w:rPr>
          <w:i/>
          <w:sz w:val="24"/>
          <w:vertAlign w:val="subscript"/>
        </w:rPr>
        <w:t>ном</w:t>
      </w:r>
      <w:r>
        <w:rPr>
          <w:i/>
          <w:sz w:val="24"/>
        </w:rPr>
        <w:t xml:space="preserve">. </w:t>
      </w:r>
    </w:p>
    <w:p w:rsidR="00636F43" w:rsidRDefault="00636F43">
      <w:pPr>
        <w:numPr>
          <w:ilvl w:val="1"/>
          <w:numId w:val="1"/>
        </w:numPr>
        <w:jc w:val="both"/>
        <w:rPr>
          <w:i/>
          <w:sz w:val="24"/>
        </w:rPr>
      </w:pPr>
      <w:r>
        <w:rPr>
          <w:i/>
          <w:sz w:val="24"/>
        </w:rPr>
        <w:t>Содержание окиси углерода и углеводородов в отработавших газах автомобилей должно быть в пределах значений, установленных предприятием-изготовителем, но не выше приведенных в таблице.</w:t>
      </w:r>
    </w:p>
    <w:p w:rsidR="00636F43" w:rsidRDefault="00636F43">
      <w:pPr>
        <w:jc w:val="center"/>
        <w:rPr>
          <w:i/>
          <w:sz w:val="24"/>
        </w:rPr>
      </w:pPr>
    </w:p>
    <w:p w:rsidR="00636F43" w:rsidRDefault="00636F43">
      <w:pPr>
        <w:jc w:val="center"/>
        <w:rPr>
          <w:i/>
          <w:sz w:val="24"/>
        </w:rPr>
      </w:pPr>
      <w:r>
        <w:rPr>
          <w:i/>
          <w:sz w:val="24"/>
        </w:rPr>
        <w:t>Допустимое содержание СО в ОГ для карбюраторных двигателей (ГОСТ 17.2.03-87)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34"/>
        <w:gridCol w:w="2534"/>
        <w:gridCol w:w="2534"/>
        <w:gridCol w:w="2534"/>
      </w:tblGrid>
      <w:tr w:rsidR="00636F43">
        <w:trPr>
          <w:cantSplit/>
        </w:trPr>
        <w:tc>
          <w:tcPr>
            <w:tcW w:w="2534" w:type="dxa"/>
            <w:vMerge w:val="restart"/>
          </w:tcPr>
          <w:p w:rsidR="00636F43" w:rsidRDefault="00636F43">
            <w:pPr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Режим работы двигателя</w:t>
            </w:r>
          </w:p>
        </w:tc>
        <w:tc>
          <w:tcPr>
            <w:tcW w:w="2534" w:type="dxa"/>
          </w:tcPr>
          <w:p w:rsidR="00636F43" w:rsidRDefault="00636F43">
            <w:pPr>
              <w:jc w:val="center"/>
              <w:rPr>
                <w:i/>
                <w:sz w:val="24"/>
              </w:rPr>
            </w:pPr>
            <w:r>
              <w:rPr>
                <w:i/>
                <w:sz w:val="24"/>
                <w:lang w:val="en-US"/>
              </w:rPr>
              <w:t>[</w:t>
            </w:r>
            <w:r>
              <w:rPr>
                <w:i/>
                <w:sz w:val="24"/>
              </w:rPr>
              <w:t>СО</w:t>
            </w:r>
            <w:r>
              <w:rPr>
                <w:i/>
                <w:sz w:val="24"/>
                <w:lang w:val="en-US"/>
              </w:rPr>
              <w:t>]</w:t>
            </w:r>
            <w:r>
              <w:rPr>
                <w:i/>
                <w:sz w:val="24"/>
              </w:rPr>
              <w:t>, %</w:t>
            </w:r>
          </w:p>
        </w:tc>
        <w:tc>
          <w:tcPr>
            <w:tcW w:w="5068" w:type="dxa"/>
            <w:gridSpan w:val="2"/>
          </w:tcPr>
          <w:p w:rsidR="00636F43" w:rsidRDefault="00636F43">
            <w:pPr>
              <w:jc w:val="center"/>
              <w:rPr>
                <w:i/>
                <w:sz w:val="24"/>
                <w:vertAlign w:val="superscript"/>
              </w:rPr>
            </w:pPr>
            <w:r>
              <w:rPr>
                <w:i/>
                <w:sz w:val="24"/>
                <w:lang w:val="en-US"/>
              </w:rPr>
              <w:t>[</w:t>
            </w:r>
            <w:r>
              <w:rPr>
                <w:i/>
                <w:sz w:val="24"/>
              </w:rPr>
              <w:t>СН</w:t>
            </w:r>
            <w:r>
              <w:rPr>
                <w:i/>
                <w:sz w:val="24"/>
                <w:lang w:val="en-US"/>
              </w:rPr>
              <w:t>]</w:t>
            </w:r>
            <w:r>
              <w:rPr>
                <w:i/>
                <w:sz w:val="24"/>
              </w:rPr>
              <w:t>, млн</w:t>
            </w:r>
            <w:r>
              <w:rPr>
                <w:i/>
                <w:sz w:val="24"/>
                <w:vertAlign w:val="superscript"/>
              </w:rPr>
              <w:t>-1</w:t>
            </w:r>
          </w:p>
        </w:tc>
      </w:tr>
      <w:tr w:rsidR="00636F43">
        <w:trPr>
          <w:cantSplit/>
        </w:trPr>
        <w:tc>
          <w:tcPr>
            <w:tcW w:w="2534" w:type="dxa"/>
            <w:vMerge/>
          </w:tcPr>
          <w:p w:rsidR="00636F43" w:rsidRDefault="00636F43">
            <w:pPr>
              <w:jc w:val="center"/>
              <w:rPr>
                <w:i/>
                <w:sz w:val="24"/>
              </w:rPr>
            </w:pPr>
          </w:p>
        </w:tc>
        <w:tc>
          <w:tcPr>
            <w:tcW w:w="2534" w:type="dxa"/>
          </w:tcPr>
          <w:p w:rsidR="00636F43" w:rsidRDefault="00636F43">
            <w:pPr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по объему</w:t>
            </w:r>
          </w:p>
        </w:tc>
        <w:tc>
          <w:tcPr>
            <w:tcW w:w="2534" w:type="dxa"/>
          </w:tcPr>
          <w:p w:rsidR="00636F43" w:rsidRDefault="00636F43">
            <w:pPr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до 4</w:t>
            </w:r>
          </w:p>
        </w:tc>
        <w:tc>
          <w:tcPr>
            <w:tcW w:w="2534" w:type="dxa"/>
          </w:tcPr>
          <w:p w:rsidR="00636F43" w:rsidRDefault="00636F43">
            <w:pPr>
              <w:jc w:val="center"/>
              <w:rPr>
                <w:i/>
                <w:sz w:val="24"/>
              </w:rPr>
            </w:pPr>
            <w:r>
              <w:rPr>
                <w:i/>
                <w:sz w:val="24"/>
                <w:lang w:val="en-US"/>
              </w:rPr>
              <w:t>&gt;</w:t>
            </w:r>
            <w:r>
              <w:rPr>
                <w:i/>
                <w:sz w:val="24"/>
              </w:rPr>
              <w:t xml:space="preserve"> 4</w:t>
            </w:r>
          </w:p>
        </w:tc>
      </w:tr>
      <w:tr w:rsidR="00636F43">
        <w:tc>
          <w:tcPr>
            <w:tcW w:w="2534" w:type="dxa"/>
          </w:tcPr>
          <w:p w:rsidR="00636F43" w:rsidRDefault="004B4859">
            <w:pPr>
              <w:jc w:val="center"/>
              <w:rPr>
                <w:i/>
                <w:sz w:val="24"/>
              </w:rPr>
            </w:pPr>
            <w:r>
              <w:rPr>
                <w:i/>
                <w:position w:val="-10"/>
                <w:sz w:val="24"/>
              </w:rPr>
              <w:pict>
                <v:shape id="_x0000_i1027" type="#_x0000_t75" style="width:21pt;height:17.25pt" fillcolor="window">
                  <v:imagedata r:id="rId5" o:title=""/>
                </v:shape>
              </w:pict>
            </w:r>
          </w:p>
        </w:tc>
        <w:tc>
          <w:tcPr>
            <w:tcW w:w="2534" w:type="dxa"/>
          </w:tcPr>
          <w:p w:rsidR="00636F43" w:rsidRDefault="00636F43">
            <w:pPr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1.5</w:t>
            </w:r>
          </w:p>
        </w:tc>
        <w:tc>
          <w:tcPr>
            <w:tcW w:w="2534" w:type="dxa"/>
          </w:tcPr>
          <w:p w:rsidR="00636F43" w:rsidRDefault="00636F43">
            <w:pPr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1200</w:t>
            </w:r>
          </w:p>
        </w:tc>
        <w:tc>
          <w:tcPr>
            <w:tcW w:w="2534" w:type="dxa"/>
          </w:tcPr>
          <w:p w:rsidR="00636F43" w:rsidRDefault="00636F43">
            <w:pPr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3000</w:t>
            </w:r>
          </w:p>
        </w:tc>
      </w:tr>
      <w:tr w:rsidR="00636F43">
        <w:tc>
          <w:tcPr>
            <w:tcW w:w="2534" w:type="dxa"/>
          </w:tcPr>
          <w:p w:rsidR="00636F43" w:rsidRDefault="004B4859">
            <w:pPr>
              <w:jc w:val="center"/>
              <w:rPr>
                <w:i/>
                <w:sz w:val="24"/>
              </w:rPr>
            </w:pPr>
            <w:r>
              <w:rPr>
                <w:i/>
                <w:position w:val="-12"/>
                <w:sz w:val="24"/>
              </w:rPr>
              <w:pict>
                <v:shape id="_x0000_i1028" type="#_x0000_t75" style="width:21pt;height:18pt" fillcolor="window">
                  <v:imagedata r:id="rId7" o:title=""/>
                </v:shape>
              </w:pict>
            </w:r>
          </w:p>
        </w:tc>
        <w:tc>
          <w:tcPr>
            <w:tcW w:w="2534" w:type="dxa"/>
          </w:tcPr>
          <w:p w:rsidR="00636F43" w:rsidRDefault="00636F43">
            <w:pPr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2.0</w:t>
            </w:r>
          </w:p>
        </w:tc>
        <w:tc>
          <w:tcPr>
            <w:tcW w:w="2534" w:type="dxa"/>
          </w:tcPr>
          <w:p w:rsidR="00636F43" w:rsidRDefault="00636F43">
            <w:pPr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600</w:t>
            </w:r>
          </w:p>
        </w:tc>
        <w:tc>
          <w:tcPr>
            <w:tcW w:w="2534" w:type="dxa"/>
          </w:tcPr>
          <w:p w:rsidR="00636F43" w:rsidRDefault="00636F43">
            <w:pPr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1000</w:t>
            </w:r>
          </w:p>
        </w:tc>
      </w:tr>
    </w:tbl>
    <w:p w:rsidR="00636F43" w:rsidRDefault="00636F43">
      <w:pPr>
        <w:jc w:val="center"/>
        <w:rPr>
          <w:i/>
          <w:sz w:val="24"/>
        </w:rPr>
      </w:pPr>
    </w:p>
    <w:p w:rsidR="00636F43" w:rsidRDefault="00636F43">
      <w:pPr>
        <w:jc w:val="both"/>
        <w:rPr>
          <w:i/>
          <w:sz w:val="24"/>
        </w:rPr>
      </w:pPr>
      <w:r>
        <w:rPr>
          <w:i/>
          <w:sz w:val="24"/>
        </w:rPr>
        <w:t xml:space="preserve">     </w:t>
      </w:r>
      <w:r>
        <w:rPr>
          <w:i/>
          <w:sz w:val="24"/>
          <w:u w:val="single"/>
        </w:rPr>
        <w:t>Примечание</w:t>
      </w:r>
    </w:p>
    <w:p w:rsidR="00636F43" w:rsidRDefault="00636F43">
      <w:pPr>
        <w:jc w:val="both"/>
        <w:rPr>
          <w:i/>
          <w:sz w:val="24"/>
        </w:rPr>
      </w:pPr>
      <w:r>
        <w:rPr>
          <w:i/>
          <w:sz w:val="24"/>
        </w:rPr>
        <w:t xml:space="preserve">     Значение частоты вращения вала двигателя </w:t>
      </w:r>
      <w:r w:rsidR="004B4859">
        <w:rPr>
          <w:i/>
          <w:position w:val="-12"/>
          <w:sz w:val="24"/>
        </w:rPr>
        <w:pict>
          <v:shape id="_x0000_i1029" type="#_x0000_t75" style="width:21pt;height:18pt" fillcolor="window">
            <v:imagedata r:id="rId7" o:title=""/>
          </v:shape>
        </w:pict>
      </w:r>
      <w:r>
        <w:rPr>
          <w:i/>
          <w:sz w:val="24"/>
        </w:rPr>
        <w:t>, устанавливается в технических условиях и инструкции по эксплуатации автомобилей.</w:t>
      </w:r>
    </w:p>
    <w:p w:rsidR="00636F43" w:rsidRDefault="00636F43">
      <w:pPr>
        <w:jc w:val="both"/>
        <w:rPr>
          <w:i/>
          <w:sz w:val="24"/>
        </w:rPr>
      </w:pPr>
    </w:p>
    <w:p w:rsidR="00636F43" w:rsidRDefault="00636F43">
      <w:pPr>
        <w:numPr>
          <w:ilvl w:val="1"/>
          <w:numId w:val="1"/>
        </w:numPr>
        <w:jc w:val="both"/>
        <w:rPr>
          <w:i/>
          <w:sz w:val="24"/>
        </w:rPr>
      </w:pPr>
      <w:r>
        <w:rPr>
          <w:i/>
          <w:sz w:val="24"/>
        </w:rPr>
        <w:t xml:space="preserve">При контрольных проверках автомобилей в эксплуатации органами Госконтрольатмосферы  и ГИБДД МВД России допускается содержание окиси углерода на частоте вращения  </w:t>
      </w:r>
      <w:r w:rsidR="004B4859">
        <w:rPr>
          <w:i/>
          <w:position w:val="-10"/>
          <w:sz w:val="24"/>
        </w:rPr>
        <w:pict>
          <v:shape id="_x0000_i1030" type="#_x0000_t75" style="width:21pt;height:17.25pt" fillcolor="window">
            <v:imagedata r:id="rId5" o:title=""/>
          </v:shape>
        </w:pict>
      </w:r>
      <w:r>
        <w:rPr>
          <w:i/>
          <w:sz w:val="24"/>
        </w:rPr>
        <w:t xml:space="preserve"> до 3 %.</w:t>
      </w:r>
    </w:p>
    <w:p w:rsidR="00636F43" w:rsidRDefault="00636F43">
      <w:pPr>
        <w:numPr>
          <w:ilvl w:val="1"/>
          <w:numId w:val="1"/>
        </w:numPr>
        <w:jc w:val="both"/>
        <w:rPr>
          <w:i/>
          <w:sz w:val="24"/>
        </w:rPr>
      </w:pPr>
      <w:r>
        <w:rPr>
          <w:i/>
          <w:sz w:val="24"/>
        </w:rPr>
        <w:t>Контроль содержания окиси углерода и углеводородов следует осуществлять:</w:t>
      </w:r>
    </w:p>
    <w:p w:rsidR="00636F43" w:rsidRDefault="00636F43">
      <w:pPr>
        <w:numPr>
          <w:ilvl w:val="0"/>
          <w:numId w:val="3"/>
        </w:numPr>
        <w:tabs>
          <w:tab w:val="clear" w:pos="360"/>
          <w:tab w:val="num" w:pos="900"/>
        </w:tabs>
        <w:ind w:left="900"/>
        <w:jc w:val="both"/>
        <w:rPr>
          <w:i/>
          <w:sz w:val="24"/>
        </w:rPr>
      </w:pPr>
      <w:r>
        <w:rPr>
          <w:i/>
          <w:sz w:val="24"/>
        </w:rPr>
        <w:t>При эксплуатации автомобилей не реже, чем при техническом обслуживании ТО-2, после ремонта агрегатов, систем и узлов, влияющих на содержание окиси углерода и углеводородов, а также по заявкам водителей автомобилей</w:t>
      </w:r>
      <w:r>
        <w:rPr>
          <w:i/>
          <w:sz w:val="24"/>
          <w:lang w:val="en-US"/>
        </w:rPr>
        <w:t>;</w:t>
      </w:r>
    </w:p>
    <w:p w:rsidR="00636F43" w:rsidRDefault="00636F43">
      <w:pPr>
        <w:numPr>
          <w:ilvl w:val="0"/>
          <w:numId w:val="3"/>
        </w:numPr>
        <w:tabs>
          <w:tab w:val="clear" w:pos="360"/>
          <w:tab w:val="num" w:pos="900"/>
        </w:tabs>
        <w:ind w:left="900"/>
        <w:jc w:val="both"/>
        <w:rPr>
          <w:i/>
          <w:sz w:val="24"/>
        </w:rPr>
      </w:pPr>
      <w:r>
        <w:rPr>
          <w:i/>
          <w:sz w:val="24"/>
        </w:rPr>
        <w:t>При техническом обслуживании автомобилей индивидуальных владельцев и ремонте агрегатов системы и узлов, влияющих на содержание окиси углерода и углеводородов, а также по заявкам владельцев</w:t>
      </w:r>
      <w:r>
        <w:rPr>
          <w:i/>
          <w:sz w:val="24"/>
          <w:lang w:val="en-US"/>
        </w:rPr>
        <w:t>;</w:t>
      </w:r>
    </w:p>
    <w:p w:rsidR="00636F43" w:rsidRDefault="00636F43">
      <w:pPr>
        <w:numPr>
          <w:ilvl w:val="0"/>
          <w:numId w:val="3"/>
        </w:numPr>
        <w:tabs>
          <w:tab w:val="clear" w:pos="360"/>
          <w:tab w:val="num" w:pos="900"/>
        </w:tabs>
        <w:ind w:left="900"/>
        <w:jc w:val="both"/>
        <w:rPr>
          <w:i/>
          <w:sz w:val="24"/>
        </w:rPr>
      </w:pPr>
      <w:r>
        <w:rPr>
          <w:i/>
          <w:sz w:val="24"/>
        </w:rPr>
        <w:t>При капитальном ремонте двигателя автомобиля, после заводской обкатки</w:t>
      </w:r>
      <w:r>
        <w:rPr>
          <w:i/>
          <w:sz w:val="24"/>
          <w:lang w:val="en-US"/>
        </w:rPr>
        <w:t>;</w:t>
      </w:r>
    </w:p>
    <w:p w:rsidR="00636F43" w:rsidRDefault="00636F43">
      <w:pPr>
        <w:numPr>
          <w:ilvl w:val="0"/>
          <w:numId w:val="3"/>
        </w:numPr>
        <w:tabs>
          <w:tab w:val="clear" w:pos="360"/>
          <w:tab w:val="num" w:pos="900"/>
        </w:tabs>
        <w:ind w:left="900"/>
        <w:jc w:val="both"/>
        <w:rPr>
          <w:i/>
          <w:sz w:val="24"/>
        </w:rPr>
      </w:pPr>
      <w:r>
        <w:rPr>
          <w:i/>
          <w:sz w:val="24"/>
        </w:rPr>
        <w:t>При серийном выпуске автомобилей.</w:t>
      </w:r>
    </w:p>
    <w:p w:rsidR="00636F43" w:rsidRDefault="00636F43">
      <w:pPr>
        <w:pStyle w:val="a3"/>
        <w:numPr>
          <w:ilvl w:val="1"/>
          <w:numId w:val="1"/>
        </w:numPr>
      </w:pPr>
      <w:r>
        <w:t>Устройство, конструкция и качество изготовления агрегатов, узлов и деталей автомобиля должны обеспечивать соблюдение норм в период всего срока эксплуатации, при условии соблюдения правил эксплуатации и ухода, указанных в руководствах, прилагаемых к автомобилю.</w:t>
      </w:r>
    </w:p>
    <w:p w:rsidR="00636F43" w:rsidRDefault="00636F43">
      <w:pPr>
        <w:pStyle w:val="a3"/>
        <w:ind w:left="525"/>
      </w:pPr>
    </w:p>
    <w:p w:rsidR="00636F43" w:rsidRDefault="00636F43">
      <w:pPr>
        <w:pStyle w:val="a3"/>
      </w:pPr>
      <w:r>
        <w:t xml:space="preserve">      </w:t>
      </w:r>
      <w:r>
        <w:rPr>
          <w:u w:val="single"/>
        </w:rPr>
        <w:t xml:space="preserve">Примечание </w:t>
      </w:r>
    </w:p>
    <w:p w:rsidR="00636F43" w:rsidRDefault="00636F43">
      <w:pPr>
        <w:pStyle w:val="a3"/>
      </w:pPr>
      <w:r>
        <w:t xml:space="preserve">     На выпускаемых автомобилях следует предусматривать устройство для пломбирования, препятствующее нарушению регулировок карбюратора без разрушения пломбы.</w:t>
      </w:r>
    </w:p>
    <w:p w:rsidR="00636F43" w:rsidRDefault="00636F43">
      <w:pPr>
        <w:pStyle w:val="a3"/>
      </w:pPr>
      <w:r>
        <w:t xml:space="preserve">     Карбюраторы автомобилей, имеющие такое устройство, должны иметь пломбы. При этом, пломбы, устанавливаемые автотранспортными организациями  и станциями технического обслуживания, должны отличаться по цвету от пломб, установленных предприятием-изготовителем.</w:t>
      </w:r>
    </w:p>
    <w:p w:rsidR="00636F43" w:rsidRDefault="00636F43">
      <w:pPr>
        <w:pStyle w:val="a3"/>
      </w:pPr>
    </w:p>
    <w:p w:rsidR="00636F43" w:rsidRDefault="00636F43">
      <w:pPr>
        <w:pStyle w:val="a3"/>
        <w:numPr>
          <w:ilvl w:val="0"/>
          <w:numId w:val="1"/>
        </w:numPr>
        <w:jc w:val="center"/>
        <w:rPr>
          <w:b/>
        </w:rPr>
      </w:pPr>
      <w:r>
        <w:rPr>
          <w:b/>
        </w:rPr>
        <w:t>МЕТОДЫ ИЗМЕРЕНИЯ</w:t>
      </w:r>
    </w:p>
    <w:p w:rsidR="00636F43" w:rsidRDefault="00636F43">
      <w:pPr>
        <w:pStyle w:val="a3"/>
        <w:numPr>
          <w:ilvl w:val="1"/>
          <w:numId w:val="1"/>
        </w:numPr>
      </w:pPr>
      <w:r>
        <w:t>Общие требования</w:t>
      </w:r>
    </w:p>
    <w:p w:rsidR="00636F43" w:rsidRDefault="00636F43">
      <w:pPr>
        <w:pStyle w:val="a3"/>
        <w:numPr>
          <w:ilvl w:val="2"/>
          <w:numId w:val="1"/>
        </w:numPr>
      </w:pPr>
      <w:r>
        <w:t>Выпускная система автомобиля должна быть исправна (определяется внешним осмотром)</w:t>
      </w:r>
    </w:p>
    <w:p w:rsidR="00636F43" w:rsidRDefault="00636F43">
      <w:pPr>
        <w:pStyle w:val="a3"/>
        <w:numPr>
          <w:ilvl w:val="2"/>
          <w:numId w:val="1"/>
        </w:numPr>
      </w:pPr>
      <w:r>
        <w:t xml:space="preserve">Пред измерением двигатель должен быть прогрет не ниже рабочей температуры охлаждающей жидкости (или моторного масла для двигателей воздушного охлаждения), указанной в руководстве по эксплуатации автомобиля. </w:t>
      </w:r>
    </w:p>
    <w:p w:rsidR="00636F43" w:rsidRDefault="00636F43">
      <w:pPr>
        <w:pStyle w:val="a3"/>
        <w:numPr>
          <w:ilvl w:val="2"/>
          <w:numId w:val="1"/>
        </w:numPr>
      </w:pPr>
      <w:r>
        <w:t>Средства измерения (газоанализаторы, тахометры) должны соответствовать требованиям настоящего стандарта</w:t>
      </w:r>
    </w:p>
    <w:p w:rsidR="00636F43" w:rsidRDefault="00636F43">
      <w:pPr>
        <w:pStyle w:val="a3"/>
        <w:numPr>
          <w:ilvl w:val="2"/>
          <w:numId w:val="1"/>
        </w:numPr>
      </w:pPr>
      <w:r>
        <w:t>Средства измерения должны быть проверены в соответствии с ГОСТ 8.513-84</w:t>
      </w:r>
    </w:p>
    <w:p w:rsidR="00636F43" w:rsidRDefault="00636F43">
      <w:pPr>
        <w:pStyle w:val="a3"/>
        <w:numPr>
          <w:ilvl w:val="1"/>
          <w:numId w:val="1"/>
        </w:numPr>
      </w:pPr>
      <w:r>
        <w:t>Последовательность измерений</w:t>
      </w:r>
    </w:p>
    <w:p w:rsidR="00636F43" w:rsidRDefault="00636F43">
      <w:pPr>
        <w:pStyle w:val="a3"/>
      </w:pPr>
      <w:r>
        <w:t>2.2.1. Измерения следует проводить в следующей последовательности:</w:t>
      </w:r>
    </w:p>
    <w:p w:rsidR="00636F43" w:rsidRDefault="00636F43">
      <w:pPr>
        <w:pStyle w:val="10"/>
        <w:jc w:val="both"/>
        <w:rPr>
          <w:i/>
        </w:rPr>
      </w:pPr>
      <w:r>
        <w:rPr>
          <w:i/>
        </w:rPr>
        <w:t xml:space="preserve">установить рычаг переключения передач (избиратель скорости для автомобилей с автоматической коробкой передач) в нейтральное положение; </w:t>
      </w:r>
    </w:p>
    <w:p w:rsidR="00636F43" w:rsidRDefault="00636F43">
      <w:pPr>
        <w:pStyle w:val="10"/>
        <w:jc w:val="both"/>
        <w:rPr>
          <w:i/>
        </w:rPr>
      </w:pPr>
      <w:r>
        <w:rPr>
          <w:i/>
        </w:rPr>
        <w:t xml:space="preserve">затормозить автомобиль стояночным тормозом; </w:t>
      </w:r>
    </w:p>
    <w:p w:rsidR="00636F43" w:rsidRDefault="00636F43">
      <w:pPr>
        <w:pStyle w:val="10"/>
        <w:jc w:val="both"/>
        <w:rPr>
          <w:i/>
        </w:rPr>
      </w:pPr>
      <w:r>
        <w:rPr>
          <w:i/>
        </w:rPr>
        <w:t xml:space="preserve">заглушить двигатель (при его работе); </w:t>
      </w:r>
    </w:p>
    <w:p w:rsidR="00636F43" w:rsidRDefault="00636F43">
      <w:pPr>
        <w:pStyle w:val="10"/>
        <w:jc w:val="both"/>
        <w:rPr>
          <w:i/>
        </w:rPr>
      </w:pPr>
      <w:r>
        <w:rPr>
          <w:i/>
        </w:rPr>
        <w:t xml:space="preserve">открыть капот двигателя; </w:t>
      </w:r>
    </w:p>
    <w:p w:rsidR="00636F43" w:rsidRDefault="00636F43">
      <w:pPr>
        <w:pStyle w:val="10"/>
        <w:jc w:val="both"/>
        <w:rPr>
          <w:i/>
        </w:rPr>
      </w:pPr>
      <w:r>
        <w:rPr>
          <w:i/>
        </w:rPr>
        <w:t xml:space="preserve">подключить тахометр; </w:t>
      </w:r>
    </w:p>
    <w:p w:rsidR="00636F43" w:rsidRDefault="00636F43">
      <w:pPr>
        <w:pStyle w:val="10"/>
        <w:jc w:val="both"/>
        <w:rPr>
          <w:i/>
        </w:rPr>
      </w:pPr>
      <w:r>
        <w:rPr>
          <w:i/>
        </w:rPr>
        <w:t xml:space="preserve">установить пробоотборный зонд газоанализатора в выпускную трубу автомобиля на глубину не менее 300 мм от среза (при косом срезе выпускной трубы глубина отсчитывается от короткой кромки среза); </w:t>
      </w:r>
    </w:p>
    <w:p w:rsidR="00636F43" w:rsidRDefault="00636F43">
      <w:pPr>
        <w:pStyle w:val="10"/>
        <w:jc w:val="both"/>
        <w:rPr>
          <w:i/>
        </w:rPr>
      </w:pPr>
      <w:r>
        <w:rPr>
          <w:i/>
        </w:rPr>
        <w:t xml:space="preserve">полностью открыть воздушную заслонку карбюратора; </w:t>
      </w:r>
    </w:p>
    <w:p w:rsidR="00636F43" w:rsidRDefault="00636F43">
      <w:pPr>
        <w:pStyle w:val="10"/>
        <w:jc w:val="both"/>
        <w:rPr>
          <w:i/>
        </w:rPr>
      </w:pPr>
      <w:r>
        <w:rPr>
          <w:i/>
        </w:rPr>
        <w:t xml:space="preserve">запустить двигатель; </w:t>
      </w:r>
    </w:p>
    <w:p w:rsidR="00636F43" w:rsidRDefault="00636F43">
      <w:pPr>
        <w:pStyle w:val="10"/>
        <w:jc w:val="both"/>
        <w:rPr>
          <w:i/>
        </w:rPr>
      </w:pPr>
      <w:r>
        <w:rPr>
          <w:i/>
        </w:rPr>
        <w:t xml:space="preserve">увеличить частоту вращения вала двигателя до </w:t>
      </w:r>
      <w:r w:rsidR="004B4859">
        <w:rPr>
          <w:i/>
          <w:position w:val="-12"/>
        </w:rPr>
        <w:pict>
          <v:shape id="_x0000_i1031" type="#_x0000_t75" style="width:21pt;height:18pt" fillcolor="window">
            <v:imagedata r:id="rId7" o:title=""/>
          </v:shape>
        </w:pict>
      </w:r>
      <w:r>
        <w:rPr>
          <w:i/>
        </w:rPr>
        <w:t xml:space="preserve"> и проработать на этом режиме не менее 15 с; </w:t>
      </w:r>
    </w:p>
    <w:p w:rsidR="00636F43" w:rsidRDefault="00636F43">
      <w:pPr>
        <w:pStyle w:val="10"/>
        <w:jc w:val="both"/>
        <w:rPr>
          <w:i/>
        </w:rPr>
      </w:pPr>
      <w:r>
        <w:rPr>
          <w:i/>
        </w:rPr>
        <w:t xml:space="preserve">установить минимальную частоту вращения вала двигателя и, не ранее чем через 20 с, измерить содержание окиси углерода и углеводородов; </w:t>
      </w:r>
    </w:p>
    <w:p w:rsidR="00636F43" w:rsidRDefault="00636F43">
      <w:pPr>
        <w:pStyle w:val="10"/>
        <w:jc w:val="both"/>
        <w:rPr>
          <w:i/>
        </w:rPr>
      </w:pPr>
      <w:r>
        <w:rPr>
          <w:i/>
        </w:rPr>
        <w:t xml:space="preserve">установить повышенную частоту вращения вала двигателя, равную </w:t>
      </w:r>
      <w:r w:rsidR="004B4859">
        <w:rPr>
          <w:i/>
          <w:position w:val="-12"/>
        </w:rPr>
        <w:pict>
          <v:shape id="_x0000_i1032" type="#_x0000_t75" style="width:21pt;height:18pt" fillcolor="window">
            <v:imagedata r:id="rId7" o:title=""/>
          </v:shape>
        </w:pict>
      </w:r>
      <w:r>
        <w:rPr>
          <w:i/>
        </w:rPr>
        <w:t xml:space="preserve"> не ранее чем через 30 с, измерить содержание окиси углерода и углеводородов </w:t>
      </w:r>
    </w:p>
    <w:p w:rsidR="00636F43" w:rsidRDefault="00636F43">
      <w:pPr>
        <w:pStyle w:val="10"/>
        <w:jc w:val="both"/>
        <w:rPr>
          <w:i/>
        </w:rPr>
      </w:pPr>
      <w:r>
        <w:rPr>
          <w:i/>
          <w:u w:val="single"/>
        </w:rPr>
        <w:t>Примечания</w:t>
      </w:r>
      <w:r>
        <w:rPr>
          <w:i/>
        </w:rPr>
        <w:t>:</w:t>
      </w:r>
    </w:p>
    <w:p w:rsidR="00636F43" w:rsidRDefault="00636F43">
      <w:pPr>
        <w:pStyle w:val="10"/>
        <w:jc w:val="both"/>
        <w:rPr>
          <w:i/>
        </w:rPr>
      </w:pPr>
      <w:r>
        <w:rPr>
          <w:i/>
        </w:rPr>
        <w:t>При наличии раздельных выпускных систем у автомобиля измерение следует проводить в каждой из них отдельно. Критерием оценки служат максимальные значения содержания окиси углерода и углеводородов.</w:t>
      </w:r>
    </w:p>
    <w:p w:rsidR="00636F43" w:rsidRDefault="00636F43">
      <w:pPr>
        <w:pStyle w:val="10"/>
        <w:jc w:val="both"/>
        <w:rPr>
          <w:i/>
        </w:rPr>
      </w:pPr>
      <w:r>
        <w:rPr>
          <w:i/>
        </w:rPr>
        <w:t>При проведении измерения или регулировки двигателя в закрытом помещении газоотвод, надеваемый на выпускную трубу автомобиля, должен иметь закрывающееся отверстие для введения пробоотборника газоанализатора.</w:t>
      </w:r>
    </w:p>
    <w:p w:rsidR="00636F43" w:rsidRDefault="00636F43">
      <w:pPr>
        <w:pStyle w:val="10"/>
        <w:jc w:val="center"/>
        <w:rPr>
          <w:rStyle w:val="a4"/>
          <w:i/>
        </w:rPr>
      </w:pPr>
      <w:r>
        <w:rPr>
          <w:rStyle w:val="a4"/>
          <w:i/>
        </w:rPr>
        <w:t>3. ТРЕБОВАНИЯ БЕЗОПАСНОСТИ ПРИ ПРОВЕДЕНИЕ ИЗМЕРЕНИЙ</w:t>
      </w:r>
    </w:p>
    <w:p w:rsidR="00636F43" w:rsidRDefault="00636F43">
      <w:pPr>
        <w:pStyle w:val="10"/>
        <w:jc w:val="both"/>
        <w:rPr>
          <w:i/>
        </w:rPr>
      </w:pPr>
      <w:r>
        <w:rPr>
          <w:i/>
        </w:rPr>
        <w:t>3.1. Помещения, предназначенные для измерения содержания окиси углерода и углеводородов в отработавших газах автомобилей, должны быть оборудованы принудительной или естественной вентиляцией, обеспечивающей санитарно-гигиенические требования к воздуху в зоне измерений по ГОСТ 12.1.005-76.</w:t>
      </w:r>
    </w:p>
    <w:p w:rsidR="00636F43" w:rsidRDefault="00636F43">
      <w:pPr>
        <w:pStyle w:val="10"/>
        <w:jc w:val="both"/>
        <w:rPr>
          <w:i/>
        </w:rPr>
      </w:pPr>
      <w:r>
        <w:rPr>
          <w:i/>
        </w:rPr>
        <w:t>3.2. Уровень шума в зоне проведения измерений - по ГОСТ 12.1.003-83, разд.2.</w:t>
      </w:r>
    </w:p>
    <w:p w:rsidR="00636F43" w:rsidRDefault="00636F43">
      <w:pPr>
        <w:pStyle w:val="10"/>
        <w:jc w:val="both"/>
        <w:rPr>
          <w:i/>
        </w:rPr>
      </w:pPr>
      <w:r>
        <w:rPr>
          <w:i/>
        </w:rPr>
        <w:t>3.3. Уровень вибрации в зоне проведения измерений - по ГОСТ 12.1.012-78, разд.2.</w:t>
      </w:r>
    </w:p>
    <w:p w:rsidR="00636F43" w:rsidRDefault="00636F43">
      <w:pPr>
        <w:pStyle w:val="10"/>
        <w:jc w:val="both"/>
        <w:rPr>
          <w:i/>
        </w:rPr>
      </w:pPr>
      <w:r>
        <w:rPr>
          <w:i/>
        </w:rPr>
        <w:t>3.4. При измерениях должны быть приняты меры безопасности, исключающие самопроизвольное движение автомобиля.</w:t>
      </w:r>
    </w:p>
    <w:p w:rsidR="00636F43" w:rsidRDefault="004B4859">
      <w:pPr>
        <w:jc w:val="center"/>
      </w:pPr>
      <w:r>
        <w:pict>
          <v:shape id="_x0000_i1033" type="#_x0000_t75" style="width:372.75pt;height:291pt" fillcolor="window">
            <v:imagedata r:id="rId8" o:title="" cropright="3135f"/>
          </v:shape>
        </w:pict>
      </w:r>
    </w:p>
    <w:p w:rsidR="00636F43" w:rsidRDefault="00636F43">
      <w:pPr>
        <w:jc w:val="center"/>
      </w:pPr>
      <w:r>
        <w:br/>
      </w:r>
    </w:p>
    <w:p w:rsidR="00636F43" w:rsidRDefault="004B4859">
      <w:pPr>
        <w:jc w:val="center"/>
      </w:pPr>
      <w:r>
        <w:pict>
          <v:shape id="_x0000_i1034" type="#_x0000_t75" style="width:351.75pt;height:201.75pt" fillcolor="window">
            <v:imagedata r:id="rId9" o:title=""/>
          </v:shape>
        </w:pict>
      </w:r>
    </w:p>
    <w:p w:rsidR="00636F43" w:rsidRDefault="004B4859">
      <w:pPr>
        <w:jc w:val="center"/>
      </w:pPr>
      <w:r>
        <w:pict>
          <v:shape id="_x0000_i1035" type="#_x0000_t75" style="width:330.75pt;height:173.25pt" fillcolor="window">
            <v:imagedata r:id="rId10" o:title=""/>
          </v:shape>
        </w:pict>
      </w:r>
    </w:p>
    <w:p w:rsidR="00636F43" w:rsidRDefault="00636F43">
      <w:pPr>
        <w:jc w:val="center"/>
      </w:pPr>
    </w:p>
    <w:p w:rsidR="00636F43" w:rsidRDefault="00636F43">
      <w:pPr>
        <w:numPr>
          <w:ilvl w:val="0"/>
          <w:numId w:val="9"/>
        </w:numPr>
        <w:jc w:val="center"/>
        <w:rPr>
          <w:b/>
          <w:i/>
          <w:sz w:val="24"/>
        </w:rPr>
      </w:pPr>
      <w:r>
        <w:rPr>
          <w:b/>
          <w:i/>
          <w:sz w:val="24"/>
        </w:rPr>
        <w:t>ОСНОВНЫЕ ТРЕБОВАНИЯ К ГАЗОАНАЛИЗАТОРАМ И ТАХОМЕТРАМ</w:t>
      </w:r>
    </w:p>
    <w:p w:rsidR="00636F43" w:rsidRDefault="00636F43">
      <w:pPr>
        <w:rPr>
          <w:b/>
          <w:i/>
          <w:sz w:val="24"/>
        </w:rPr>
      </w:pPr>
    </w:p>
    <w:p w:rsidR="00636F43" w:rsidRDefault="00636F43">
      <w:pPr>
        <w:numPr>
          <w:ilvl w:val="0"/>
          <w:numId w:val="6"/>
        </w:numPr>
        <w:jc w:val="both"/>
        <w:rPr>
          <w:i/>
          <w:sz w:val="24"/>
        </w:rPr>
      </w:pPr>
      <w:r>
        <w:rPr>
          <w:i/>
          <w:sz w:val="24"/>
        </w:rPr>
        <w:t>Для определения содержания окиси углерода и суммы углеводородов в отработавших газах автомобилей следует применять газоанализаторы непрерывного действия, работающие на принципе инфракрасной спектроскопии, со следующими метрологическими характеристиками:</w:t>
      </w:r>
    </w:p>
    <w:p w:rsidR="00636F43" w:rsidRDefault="00636F43">
      <w:pPr>
        <w:jc w:val="both"/>
        <w:rPr>
          <w:i/>
          <w:sz w:val="24"/>
        </w:rPr>
      </w:pPr>
    </w:p>
    <w:p w:rsidR="00636F43" w:rsidRDefault="00636F43">
      <w:pPr>
        <w:numPr>
          <w:ilvl w:val="0"/>
          <w:numId w:val="7"/>
        </w:numPr>
        <w:jc w:val="both"/>
        <w:rPr>
          <w:i/>
          <w:sz w:val="24"/>
        </w:rPr>
      </w:pPr>
      <w:r>
        <w:rPr>
          <w:i/>
          <w:sz w:val="24"/>
        </w:rPr>
        <w:t xml:space="preserve">основная приведенная погрешность газоанализатора должна быть не более ±5% верхнего предела измерений для каждого диапазона; </w:t>
      </w:r>
    </w:p>
    <w:p w:rsidR="00636F43" w:rsidRDefault="00636F43">
      <w:pPr>
        <w:numPr>
          <w:ilvl w:val="0"/>
          <w:numId w:val="8"/>
        </w:numPr>
        <w:jc w:val="both"/>
        <w:rPr>
          <w:i/>
          <w:sz w:val="24"/>
        </w:rPr>
      </w:pPr>
      <w:r>
        <w:rPr>
          <w:i/>
          <w:sz w:val="24"/>
        </w:rPr>
        <w:t xml:space="preserve">постоянная времени газоанализатора должна быть не более 60 с. </w:t>
      </w:r>
    </w:p>
    <w:p w:rsidR="00636F43" w:rsidRDefault="00636F43">
      <w:pPr>
        <w:jc w:val="both"/>
        <w:rPr>
          <w:i/>
          <w:sz w:val="24"/>
        </w:rPr>
      </w:pPr>
    </w:p>
    <w:p w:rsidR="00636F43" w:rsidRDefault="00636F43">
      <w:pPr>
        <w:numPr>
          <w:ilvl w:val="0"/>
          <w:numId w:val="6"/>
        </w:numPr>
        <w:jc w:val="both"/>
        <w:rPr>
          <w:i/>
          <w:sz w:val="24"/>
        </w:rPr>
      </w:pPr>
      <w:r>
        <w:rPr>
          <w:i/>
          <w:sz w:val="24"/>
        </w:rPr>
        <w:t>Шкала газоанализатора окиси углерода должна быть отградуирована по бинарной газовой смеси (окись углерода в воздухе или азоте) в объемных долях, выраженных в процентах окиси углерода, 0—5% и 0-10%.</w:t>
      </w:r>
    </w:p>
    <w:p w:rsidR="00636F43" w:rsidRDefault="00636F43">
      <w:pPr>
        <w:numPr>
          <w:ilvl w:val="0"/>
          <w:numId w:val="6"/>
        </w:numPr>
        <w:jc w:val="both"/>
        <w:rPr>
          <w:i/>
          <w:sz w:val="24"/>
        </w:rPr>
      </w:pPr>
      <w:r>
        <w:rPr>
          <w:i/>
          <w:sz w:val="24"/>
        </w:rPr>
        <w:t>Шкала газоанализатора суммы углеводородов должна быть отградуирована по бинарной газовой смеси (пропан в азоте); в объемных долях,. выраженных в частях на миллион гексана (млн-</w:t>
      </w:r>
      <w:r>
        <w:rPr>
          <w:i/>
          <w:sz w:val="24"/>
          <w:vertAlign w:val="superscript"/>
        </w:rPr>
        <w:t>1</w:t>
      </w:r>
      <w:r>
        <w:rPr>
          <w:i/>
          <w:sz w:val="24"/>
        </w:rPr>
        <w:t xml:space="preserve"> ), 0-1000 млн-</w:t>
      </w:r>
      <w:r>
        <w:rPr>
          <w:i/>
          <w:sz w:val="24"/>
          <w:vertAlign w:val="superscript"/>
        </w:rPr>
        <w:t>1</w:t>
      </w:r>
      <w:r>
        <w:rPr>
          <w:i/>
          <w:sz w:val="24"/>
        </w:rPr>
        <w:t xml:space="preserve"> и 0-10000 млн-</w:t>
      </w:r>
      <w:r>
        <w:rPr>
          <w:i/>
          <w:sz w:val="24"/>
          <w:vertAlign w:val="superscript"/>
        </w:rPr>
        <w:t>1</w:t>
      </w:r>
      <w:r>
        <w:rPr>
          <w:i/>
          <w:sz w:val="24"/>
        </w:rPr>
        <w:t>.</w:t>
      </w:r>
    </w:p>
    <w:p w:rsidR="00636F43" w:rsidRDefault="00636F43">
      <w:pPr>
        <w:numPr>
          <w:ilvl w:val="0"/>
          <w:numId w:val="6"/>
        </w:numPr>
        <w:jc w:val="both"/>
        <w:rPr>
          <w:i/>
          <w:sz w:val="24"/>
        </w:rPr>
      </w:pPr>
      <w:r>
        <w:rPr>
          <w:i/>
          <w:sz w:val="24"/>
        </w:rPr>
        <w:t>Шкала тахометра для измерения частоты вращения коленчатого вала двигателя должна иметь два диапазона: 0—1000 мин-</w:t>
      </w:r>
      <w:r>
        <w:rPr>
          <w:i/>
          <w:sz w:val="24"/>
          <w:vertAlign w:val="superscript"/>
        </w:rPr>
        <w:t>1</w:t>
      </w:r>
      <w:r>
        <w:rPr>
          <w:i/>
          <w:sz w:val="24"/>
        </w:rPr>
        <w:t xml:space="preserve"> и 0-10000 мин-</w:t>
      </w:r>
      <w:r>
        <w:rPr>
          <w:i/>
          <w:sz w:val="24"/>
          <w:vertAlign w:val="superscript"/>
        </w:rPr>
        <w:t>1</w:t>
      </w:r>
      <w:r>
        <w:rPr>
          <w:i/>
          <w:sz w:val="24"/>
        </w:rPr>
        <w:t>.</w:t>
      </w:r>
    </w:p>
    <w:p w:rsidR="00636F43" w:rsidRDefault="00636F43">
      <w:pPr>
        <w:jc w:val="both"/>
        <w:rPr>
          <w:i/>
          <w:sz w:val="24"/>
        </w:rPr>
      </w:pPr>
    </w:p>
    <w:p w:rsidR="00636F43" w:rsidRDefault="00636F43">
      <w:pPr>
        <w:pStyle w:val="a3"/>
      </w:pPr>
      <w:r>
        <w:t>Погрешность измерения частоты вращения для каждого диапазона должна быть не более ±2,5% верхнего предела измерений.</w:t>
      </w:r>
    </w:p>
    <w:p w:rsidR="00636F43" w:rsidRDefault="00636F43">
      <w:pPr>
        <w:jc w:val="both"/>
        <w:rPr>
          <w:i/>
          <w:sz w:val="24"/>
        </w:rPr>
      </w:pPr>
    </w:p>
    <w:p w:rsidR="00636F43" w:rsidRDefault="00636F43">
      <w:pPr>
        <w:numPr>
          <w:ilvl w:val="0"/>
          <w:numId w:val="6"/>
        </w:numPr>
        <w:jc w:val="both"/>
        <w:rPr>
          <w:i/>
          <w:sz w:val="24"/>
        </w:rPr>
      </w:pPr>
      <w:r>
        <w:rPr>
          <w:i/>
          <w:sz w:val="24"/>
        </w:rPr>
        <w:t>Допускается применять газоанализаторы, работающие на других принципах действия, отвечающих требованиям  и дающих показания, идентичные с принятыми средствами измерений.</w:t>
      </w:r>
    </w:p>
    <w:p w:rsidR="00636F43" w:rsidRDefault="00636F43">
      <w:pPr>
        <w:jc w:val="both"/>
        <w:rPr>
          <w:i/>
          <w:sz w:val="24"/>
        </w:rPr>
      </w:pPr>
    </w:p>
    <w:p w:rsidR="00636F43" w:rsidRDefault="00636F43">
      <w:pPr>
        <w:jc w:val="both"/>
        <w:rPr>
          <w:i/>
          <w:sz w:val="24"/>
          <w:u w:val="single"/>
        </w:rPr>
      </w:pPr>
      <w:bookmarkStart w:id="0" w:name="_GoBack"/>
      <w:bookmarkEnd w:id="0"/>
    </w:p>
    <w:sectPr w:rsidR="00636F43">
      <w:pgSz w:w="11906" w:h="16838"/>
      <w:pgMar w:top="1134" w:right="851" w:bottom="851" w:left="124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C632B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5EE25F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13066FCA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1359632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266A775E"/>
    <w:multiLevelType w:val="multilevel"/>
    <w:tmpl w:val="4E2698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>
    <w:nsid w:val="490227E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5B5A5494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62383CED"/>
    <w:multiLevelType w:val="multilevel"/>
    <w:tmpl w:val="12CA33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>
    <w:nsid w:val="6928741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7"/>
  </w:num>
  <w:num w:numId="2">
    <w:abstractNumId w:val="5"/>
  </w:num>
  <w:num w:numId="3">
    <w:abstractNumId w:val="1"/>
  </w:num>
  <w:num w:numId="4">
    <w:abstractNumId w:val="2"/>
  </w:num>
  <w:num w:numId="5">
    <w:abstractNumId w:val="8"/>
  </w:num>
  <w:num w:numId="6">
    <w:abstractNumId w:val="3"/>
  </w:num>
  <w:num w:numId="7">
    <w:abstractNumId w:val="6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F736A"/>
    <w:rsid w:val="004B4859"/>
    <w:rsid w:val="00636F43"/>
    <w:rsid w:val="008F736A"/>
    <w:rsid w:val="00AE5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7"/>
    <o:shapelayout v:ext="edit">
      <o:idmap v:ext="edit" data="1"/>
    </o:shapelayout>
  </w:shapeDefaults>
  <w:decimalSymbol w:val=","/>
  <w:listSeparator w:val=";"/>
  <w15:chartTrackingRefBased/>
  <w15:docId w15:val="{CBB5184C-F358-4A52-B751-B636FF68D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i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jc w:val="both"/>
    </w:pPr>
    <w:rPr>
      <w:i/>
      <w:sz w:val="24"/>
    </w:rPr>
  </w:style>
  <w:style w:type="paragraph" w:customStyle="1" w:styleId="10">
    <w:name w:val="Звичайний1"/>
    <w:pPr>
      <w:spacing w:before="100" w:after="100"/>
    </w:pPr>
    <w:rPr>
      <w:snapToGrid w:val="0"/>
      <w:sz w:val="24"/>
    </w:rPr>
  </w:style>
  <w:style w:type="character" w:styleId="a4">
    <w:name w:val="Strong"/>
    <w:qFormat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1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1039</Words>
  <Characters>5923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ГОСТ 17</vt:lpstr>
    </vt:vector>
  </TitlesOfParts>
  <Company>ЧП</Company>
  <LinksUpToDate>false</LinksUpToDate>
  <CharactersWithSpaces>6949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17</dc:title>
  <dc:subject/>
  <dc:creator>Рыбаковский</dc:creator>
  <cp:keywords/>
  <cp:lastModifiedBy>Irina</cp:lastModifiedBy>
  <cp:revision>2</cp:revision>
  <cp:lastPrinted>2004-05-04T09:34:00Z</cp:lastPrinted>
  <dcterms:created xsi:type="dcterms:W3CDTF">2014-08-06T17:16:00Z</dcterms:created>
  <dcterms:modified xsi:type="dcterms:W3CDTF">2014-08-06T17:16:00Z</dcterms:modified>
</cp:coreProperties>
</file>