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67" w:rsidRDefault="00FF4A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Придаточные предложения относительные и посессивность в современных славянских языках</w:t>
      </w:r>
    </w:p>
    <w:p w:rsidR="00FF4A67" w:rsidRDefault="00FF4A6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Беличова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Местоимения относительные (МО), выполняющие в славянских языках по отношению к главному предложению функцию связующего средства и в рамках придаточного предложения выступающие на правах строевого компонента его структуры, не дифференцированы, как правило, в формальном отношении от местоимений вопросительных и неопределенных, т. е., например, местоимение кто в русском языке может выполнять функцию местоимения как вопросительного, так и неопределенного или же относительного. Различие в их функции достаточно определенно гарантируется контекстом, местоимение само по себе связано лишь с таким признаком, как «референциальная неопределенность» 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. В южнославянских языках (за исключением сербскохорватского), а также в лужицких МО как особая разновидность местоимений, выполняющих в рамках сложного предложения служебную функцию, получили оформление посредством суффикса: словен. -r (kdor), болг. -то (който), макед. -што (коjшто), в.-луж. -ž (štóž), н.-луж. -ž (chtož). МО вместе с другими местоимениями, указывающими в наиболее общих чертах на характер референта, вступают в парадигматические отношения: рус. я (ты...), кто, кто-то, кто-нибудь, никто..., словен. jaz (ti...), kdor, kdo, nekdo и т. п. объединены семантическим признаком «лицо»; рус. что, что-то, что-нибудь..., словен. kar, kaj, nekaj и т. п. объединяются на основании семантического признака «предметность» и т.п. В такие же парадигматические отношения вступают посессивные МО вроде рус. чей. См. рус. мой (твой...), чей, чей-то, чей-нибудь, ничей и т.п. Некоторые расхождения между славянскими языками определяются тем, входит ли МО типа рус. чей в парадигматический ряд с мой, чей-то... или же с его, ее, их, т. е. с формами, выполняющими функции притяжательного местоимения не только по отношению к лицу, но и к нелицу. См., например, рус. мой дом : его высота. Местоимения посессивные вроде мой, твой выражают наличие посессивной связи в узком смысле между какой-либо субстанцией и лицом, отсылая к данному лицу: мой дом, моя дочь, моя голова и т.п. В более широком смысле они отсылают к лицу, отношение которого к референту другого имени представлено как разновидность посессивной связи, но на самом деле имеются в виду разного рода субъектные отношения: моя книга (==книга, написанная мною); мой успех (=='я вел себя успешно'); мое возвращение (==я вернулся); мое вознаграждение (==меня вознаградили == я был вознагражден) и т.п. В отличие от посессивных местоимений вроде мой, твой, наш, ваш с однозначной личной референцией местоимения его, ее, их кроме личной референции (его дом, его возвращение) отличаются также референцией предметной в широком смысле слова, т.е. отсылают к нелицам: длина предложения — его длина, вес книги — ее вес, необходимость поисков — их необходимость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употреблено как вопросительное или неопределенное, местоимение вроде рус. чей, чья, чье, чьи всегда опирается на наличие признака «лицо», т.е. предполагает соотнесенность с неопределенным лицом: Чья это книга? В этом отношении славянские языки абсолютно сходны, см. чеш. Čí je to dítĕ?; серб.-хорв. Čije su to knjige? и т.п. Относительное же местоимение чей и т.п. ведет себя в славянских языках по-разному.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во всех славянских языках налицо такое МО (либо имеется МО, образованное от вопросительного посредством суффиксации, либо МО совпадает с вопросительным/неопределенным) — см. рус. чей, укр. чиц, блр. чый, чеш. čí, словац. čí, польск. czyj, в.-луж. čehož, н.-луж. cejiž, серб.-хорв. čiji, словен. čigar, болг. чийто, макед. чиj (што) (в словенском и верхнелужицком МО представляет собой по форме род. падеж; в македонском форма с -што факультативна), — славянские языки отличаются друг от друга как тем, включено ли указанное МО в парадигматический ряд вместе с мой, твой и т. п. или же в парадигматический ряд вместе с местоимением притяжательным 3-го лица, так и тем, насколько широко употребляются другие МО, способные выполнять функцию МО в широком смысле слова.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Расхождения между славянскими языками — в сфере относительных предложений — определяется тем, входит ли МО посессивное в парадигматический ряд вместе с МО вроде кто или который. Разница между МО кто и который заключается в том, что референция МО кто всегда личная, в то время как референция МО который является немаркированной, т.е. предметной в широком смысле слова, в том числе и — в зависимости от контекста — личной. МО с чисто личной референцией вводят придаточные относительные предложения, употребление которых основывается на презумпции наличия некоторого множества лиц («по крайней мере одно»), любое из которых соотносимо с предикатом придаточного предложения (указанная предикативная связь отнесена говорящим к сфере импликаций). В результате референциального тождества какого-либо N главного предложения и лица, к которому отсылает МО (рус. кто, словен. kdor и т. п.), N главного предложения посредством МО соотнесено также с предикатом придаточного предложения, самостоятельная коммуникативная функция которого снята.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славянских языках имеется несколько разновидностей указанного рода сложных предложений с относительными придаточными. Общеславянский характер носит сложное предложение с препозицией придаточного вроде рус. Кто еще не начинал, спешил отбить косу, серб.-хорв. Ко je bez greha, neka se prvi baci kamenom, болг. Който има за кола, има и за сервиз, чеш. </w:t>
      </w:r>
      <w:r>
        <w:rPr>
          <w:color w:val="000000"/>
          <w:sz w:val="24"/>
          <w:szCs w:val="24"/>
          <w:lang w:val="en-US"/>
        </w:rPr>
        <w:t xml:space="preserve">Kdo se bojí, nesmí do lesa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  <w:lang w:val="en-US"/>
        </w:rPr>
        <w:t>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Общеславянский характер носит также сложное предложение, главное предложение которого содержит анафорический эквивалент МО кто, т.е. или указательное местоимение, или же местоимение 3-го лица (так в болгарском и македонском, факультативно также в сербскохорватском, словенском и словацком, не исключено местоимение 3-го лица также в чешском); рус. Кто не видел киевской осени, тот никогда не поймет нежной прелести этих часов; словен. Kdor med vami je največji lenuh, ta naj postane kralj; Kdor bo ugriznil v to pecenko, mu bo mast kar curljala po bradi; болг. Който не работи, само той не бърка и т.п., а также с контактным положением анафорического и относительного местоимений: рус. Победителем выйдет тот, у кого крепче нервы; серб.-хорв. То nije malo onom ko zna neposrednost i površinu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славянских языках имеется также тип сложного предложения с относительным придаточным как с ориентированной анафорической связью, так и без нее 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МО которого имеет ту же референцию, что и контактное с придаточным имя существительное в главном, т.е. оно выполняет отождествляющую функцию (индивидуальную либо видовую), и в зависимости от контекста его фактическая референция может представляться как неопределенной, так и определенной. Эта функция связана в славянских языках с МО вроде рус. который или серб.-хор. koji, отчасти также с «абсолютными» МО (АМО), см. рус. который, укр. котрий, блр. каторы (в белорусском и украинском ту же функцию выполняет также МО якi/який), чеш. který, польск. który, словац. ktorý, в.-луж. kotryž, н.-луж. kotaryž, словен. kateri, серб.-хорв. koji, болг. който, макед. koj (што) (болг. който и макед. кojштo являются эквивалентами рус. кто и который). Если с МО кто связана только личная референция, а с МО вроде рус. что, польск. со — предметная в узком смысле слова, то МО вроде рус. который и т.п. связаны с предметной референцией в широком смысле слова, т.е. они выполняют отождествляюще-анафорическую функцию по отношению как к наименованиям лиц, так и предметов в самом широком смысле, в том числе абстрактных понятий: рус. Плох тот художник, который рисует людей, как на лубочных картинках; Дивизия, в которой он был комиссаром, воевала у Ярцева; серб.-хорв. То je rekao i pisar koji me je saslušao и т.п. В восточнославянских языках иногда МО вроде рус. кто встречается в позиции, закрепленной за МО который 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 см., например: рус. В очередном письме он сообщил даже «метеорологическому сержанту», кому единственному поверял теперь свои горечи, что...; укр. Де Аркадiй Соун, мiй товариш, по пiдкопу i карцерах, з ким разом я увiйшов у maбip смертi, не знаю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притяжательные, т.е. МО вроде рус. чей, болг. чийто и т.п., закреплены в славянских языках в первую очередь за относительными предложениями с универсальной референцией к лицу, т.е. они отсылают к неопределенному лицу вообще. Таковы, например, рус. Чей хлеб кушаю, того и слушаю; чеш. Čí chleba jíš, toho píseň zpívej, словен. Čigar prejo prela, tega kruh jela и т. п. Указанная разновидность сложного предложения известна всем славянским языкам; правда, например, болгарский избегает ее и предпочитает в данном случае ориентированную анафорическую связь вроде Ще пееш песента на този, чийто хляб ядеш и т. 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универсальной личной референции выделяются такие же сложные предложения с неуниверсальной личной референцией, например: Чья свеча заплывет дальше, та девушка будет счастливее всех. Неопределенная референция касается какого-либо элемента класса, названного существительным в главном предложении. Указанная разновидность относительного придаточного характерна для восточнославянских языков, другие же славянские языки ограничивают сферу употребления соответствующих МО универсальной личной референцией.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восточно- и южнославянских языках МО вроде рус. чей вводят атрибутивные относительные предложения, т.е. предложения, в которых посессивное местоимение представляет собой соответствие МО типа который. В отличие от западнославянских языков, в которых представлена лишь разновидность относительного придаточного, соотнесенного с анафорическим местоимением в главном, например: чеш. Zvítĕzí ten, či kůň dobĕhne první, польск. Szanuj tego, czyj chleb jesz и т. п. (МО посессивное входит здесь в парадигматический ряд с МО kdo и не выходит за пределы неопределенной референции), в восточно- и южнославянских языках представлены относительные придаточные предложения с посессивным МО, выполняющие атрибутивную функцию в собственном смысле слова. В таких предложениях МО типа чей, как и МО типа который, само по себе не указывающее на определенность референции, не исключает ее, что вытекает из определенности референта имени в главном предложении, тождество референции с которым МО выражает. В восточнославянских языках указанная функция ограничена атрибутивными МО, соотнесенными в главном предложении с названиями лиц, см., например: рус. Самыми счастливыми считались те девушки, чей венок попал в водоворот; блр. Хто ж такi Мартын Рыль, чый арышт узрушы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ў</w:t>
      </w:r>
      <w:r>
        <w:rPr>
          <w:color w:val="000000"/>
          <w:sz w:val="24"/>
          <w:szCs w:val="24"/>
        </w:rPr>
        <w:t xml:space="preserve"> новага войта? и т. п. Сюда же примыкает и словенский: možatost Carlina Palumba, čigar obraz je tako okropel, da bi... и т. п. В русском языке такое употребление считается книжным.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общего ограничения употребления МО типа чей лишь контекстами с личной референцией, затрагивающего все северные славянские языки и словенский, иная картина наблюдается в южнославянских языках (за исключением словенского). Здесь МО посессивное вроде серб.-хорв. čiji отсылает не только к лицу, наделенному той же референцией, что и соотнесенное с МО имя существительное в главном, и, следовательно, выполняющему функцию посессора в узком либо широком смысле слова: оно отсылает вообще к субстанции, вступающей в посессивные отношения в широком смысле, т.е. в оформляемые при помощи посессивных местоимений отношения, независимо от того, идет ли речь о собственно посессивной связи или нет. См., например: серб.-хорв. Austrijski konzul, о čijem dolasku se odavno govorilo, još ne dolazi; odeven u kapu, čiji su se krajevi mogli spustiti na uši; Drvenim hodnikom, čije su daske odjekivale, žustri koraci se udaljiše; болг.: един факт, върху чийто фон се разгръща следващото действие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в восточнославянских (шире — вообще в северных славянских языках), а также в словенском МО притяжательное типа чей входит в парадигматическую связь с кто, в то время как в южнославянских языках (кроме словенского) то же МО входит в парадигматическую связь с МО вроде серб.-хорв. koji, koja, koje или же с посессивными местоимениями вроде серб.-хорв. njegou, njein, njihov, для которых личный/неличный характер референции не релевантен (см., например, серб.-хорв. politički odnosi se ne mogu odvajati od njihove ekonomske baze и т. п.). Таким образом, область посессивных отношений, выражаемая посессивными МО типа чей, в восточнославянских языках, а также в словенском (не говоря уже о западнославянских), с одной стороны, и в южнославянских (кроме словенского) — с другой, неодинакова, что непосредственно сказывается на сфере использования других МО, способных выражать посессивные отношения в широком смысле слова, т.е. закономерно вызывает их употребление.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славянских языках в целом ряде случаев в качестве средства, способного в контексте передавать посессивные отношения, представлен род. падеж «синтаксического существительного» независимо от его личной/предметной референции. Аналогичную функцию в рамках сложного предложения с придаточным относительным выполняет род. падеж МО типа рус. который, серб.-хорв. koji, референция которых тоже не ограничивается одними только лицами. В восточнославянских языках, а также в словенском употребление род. падежа МО указанного рода является единственным способом передачи посессивных в широком смысле слова отношений за пределами личной референции; в западнославянских указанное средство охватывает не только область предметной референции, а также область референции личной вследствие весьма ограниченного употребления МО типа чеш. či, польск. czyj и т.п. См., например: рус. Тут же он пересел на другой танк, командир которого был убит; Она сказала ему что-то про молодого поэта, стихи которого ей понравились; блр. На участку суседняга палка, траншэи якога iдуць па пагорку...; укр. величнiсть мети, досягнення яко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ї</w:t>
      </w:r>
      <w:r>
        <w:rPr>
          <w:color w:val="000000"/>
          <w:sz w:val="24"/>
          <w:szCs w:val="24"/>
        </w:rPr>
        <w:t xml:space="preserve"> вимагае жертв; польск. Zobazcyłem tarn też horyzont, którego istnienia nawet nie podejrzewatem; словац. Spoza skleného okienka sleduje Petra a Veroniku vrátnička, ktorej pohładu nič neujde; в.-луж. Heydrich, kotrehož mjeno tež pod zasudźenskim pismom Marje Grólmusec steji...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Аналогично другим славянским языкам ведет себя также чешский; вместо основного атрибутивного МО který здесь употребляются формы притяжательного МО, соотнесенные с атрибутивным МО jenž, т.е. jehož, jejíž, jejichž  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: Ноrа, jejíž vrcholek vidíme v dáice; To je můj známý, jehož syn se nedávno přiženil do vsi и т.п. Чеш. jehož, jejíž, jejichž представляет собой в основном средство языка литературного в узком смысле слова.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Родительный посессивный МО вроде серб.-хорв. koji известен также на славянском юге, несмотря на то что посессивные МО вроде серб.-хорв. čiji (за исключением словенского) выходят далеко за пределы посессивных отношений с личной референцией. Указанная форма характерна не только для словенского, ограничивающего область употребления МО čigar личной референцией; она отмечается также в грамматиках сербскохорватского  </w:t>
      </w:r>
      <w:r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 xml:space="preserve"> и болгарского языков — в болгарском в виде предложного сочетания  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color w:val="000000"/>
          <w:sz w:val="24"/>
          <w:szCs w:val="24"/>
        </w:rPr>
        <w:t xml:space="preserve">. См., например: словен. </w:t>
      </w:r>
      <w:r>
        <w:rPr>
          <w:color w:val="000000"/>
          <w:sz w:val="24"/>
          <w:szCs w:val="24"/>
          <w:lang w:val="en-US"/>
        </w:rPr>
        <w:t xml:space="preserve">Visoka vrata, katerih krila so bila razprta, </w:t>
      </w:r>
      <w:r>
        <w:rPr>
          <w:color w:val="000000"/>
          <w:sz w:val="24"/>
          <w:szCs w:val="24"/>
        </w:rPr>
        <w:t>серб</w:t>
      </w:r>
      <w:r>
        <w:rPr>
          <w:color w:val="000000"/>
          <w:sz w:val="24"/>
          <w:szCs w:val="24"/>
          <w:lang w:val="en-US"/>
        </w:rPr>
        <w:t>.-</w:t>
      </w:r>
      <w:r>
        <w:rPr>
          <w:color w:val="000000"/>
          <w:sz w:val="24"/>
          <w:szCs w:val="24"/>
        </w:rPr>
        <w:t>хорв</w:t>
      </w:r>
      <w:r>
        <w:rPr>
          <w:color w:val="000000"/>
          <w:sz w:val="24"/>
          <w:szCs w:val="24"/>
          <w:lang w:val="en-US"/>
        </w:rPr>
        <w:t xml:space="preserve">. Khjaz če se morati osloniti na ljude kojih namere nikako nisu izvesne (M. </w:t>
      </w:r>
      <w:r>
        <w:rPr>
          <w:color w:val="000000"/>
          <w:sz w:val="24"/>
          <w:szCs w:val="24"/>
        </w:rPr>
        <w:t>Стеванович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характеризует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посессивные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некотором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архаические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Дмитриев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считает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редкими</w:t>
      </w:r>
      <w:r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  <w:vertAlign w:val="superscript"/>
          <w:lang w:val="en-US"/>
        </w:rPr>
        <w:t>7</w:t>
      </w:r>
      <w:r>
        <w:rPr>
          <w:color w:val="000000"/>
          <w:sz w:val="24"/>
          <w:szCs w:val="24"/>
          <w:lang w:val="en-US"/>
        </w:rPr>
        <w:t>).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посессивного род. падежа МО типа рус. который, серб.-хорв. koji не является дифференциальным признаком, на основании которого можно группировать славянские языки (если оставить в стороне частотность такого употребления и положение в чешском, где форма жен. рода jejíž ведет себя как прилагательное). Дистинктивную функцию в рамках славянского языкового мира выполняет позиция родительного, конкретно — его препозиция или постпозиция по отношению к определяемому имени в пределах относительного придаточного. На этом основании выделяется группа восточнославянских языков с характерной для них постпозицией род. падежа МО, например: рус. Та сопка, на вершине которой он был утром, оказывается, имеет в себе медь; блр. На яго вачах адбывалася развязка вяликага змагання, сэнс якога ён не мог ахапiць; укр. вузька скеляста розколина, отвiр яко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ї</w:t>
      </w:r>
      <w:r>
        <w:rPr>
          <w:color w:val="000000"/>
          <w:sz w:val="24"/>
          <w:szCs w:val="24"/>
        </w:rPr>
        <w:t xml:space="preserve"> я не вгледiв... и т.п. К восточнославянским языкам в некотором смысле примыкают южнославянские (за исключением словенского), например серб.-хорв.: Upoznali smo čovjeka u srcu kojega gori ljubav prema narodu  </w:t>
      </w: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. Сказанное отчасти относится также к словацкому: Nemyslela som takého boha, predstava akého 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</w:t>
      </w:r>
      <w:r>
        <w:rPr>
          <w:color w:val="000000"/>
          <w:sz w:val="24"/>
          <w:szCs w:val="24"/>
        </w:rPr>
        <w:t>a rozosmiala и т.п.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Западнославянские языки отличает препозиция род. падежа МО. Единственно возможной является препозиция чеш. jehož, jejíž, jejichž  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 она характерна для верхнелужицкого (kotrehož N) и польского (którego N), а также имеет место в словацком (ktorého N). Препозиция характерна и для словенского (katerega N) и не исключена в сербскохорватском (kojega N). Следовательно, словацкий и сербскохорватский представляют собой с этой точки зрения переходное состояние. См., например: польск. Zamknąłem się w pokoju, którego ściany były wyłożone korkiem; Zobaczyłem tam też horyzont, którego istnienia nie podejrzewałem; словац. žena, ktorej práca je príkladna; словен. vplivni ljudi, katerih otroci so se zbirali p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́</w:t>
      </w:r>
      <w:r>
        <w:rPr>
          <w:color w:val="000000"/>
          <w:sz w:val="24"/>
          <w:szCs w:val="24"/>
        </w:rPr>
        <w:t xml:space="preserve">ri Adi; серб.-хорв. osloniti se na ljude kojih namere nisu izvesne и т.п.  </w:t>
      </w:r>
      <w:r>
        <w:rPr>
          <w:color w:val="000000"/>
          <w:sz w:val="24"/>
          <w:szCs w:val="24"/>
          <w:vertAlign w:val="superscript"/>
        </w:rPr>
        <w:t>10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Оказывается, таким образом, что часть славянских языков препозицией МО акцентирует его синтаксическую функцию связующего средства, равно как и средства, сигнализирующего о референциальном тождестве МО и N в рамках главного предложения, в то время как другие славянские языки — в случае постпозиции МО — акцентируют, скорее, внутреннюю функцию МО в рамках самого относительного придаточного, выдвигая как будто бы на первый план посессивную в широком смысле слова функцию род. падежа и лишь на втором плане — в форме МО типа рус. который — отмечая его функцию анафорического связующего средства.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отметить, что часть славянских языков распространила на область МО с посессивным значением АМО, т.е. неизменяемое по форме МО, отношение между референтом которого и предикатом выражается формами личных местоимений. В случав выполнения таким МО посессивной функции о ней сигнализируется формой посессивного местоимения 3-го лица. Особенно примечательно с этой точки зрения положение в словенском: da bi v imenu IOOF stopila v stik naša delegacija, ki njeni člani za zdaj ne bi pripadali izvršnemu odboru; Mrtev je tudi župnik Janez Rastresen, ki je njegova smrt še bolj hesmiselna и т.п. Такие же примеры можно привести из сербскохорватского, где наряду с посессивным местоимением можно употребить так называемый дательный посессивный: Soda sasvim jasno vidimo kulu što smo joj iz daljine nazirali same obrise  </w:t>
      </w:r>
      <w:r>
        <w:rPr>
          <w:color w:val="000000"/>
          <w:sz w:val="24"/>
          <w:szCs w:val="24"/>
          <w:vertAlign w:val="superscript"/>
        </w:rPr>
        <w:t>11</w:t>
      </w:r>
      <w:r>
        <w:rPr>
          <w:color w:val="000000"/>
          <w:sz w:val="24"/>
          <w:szCs w:val="24"/>
        </w:rPr>
        <w:t xml:space="preserve">. Как в словенском, так и в сербскохорватском указанное употребление является в стилистическом отношении беспризнаковым, чего нельзя сказать, например, о тех же конструкциях в чешском, несмотря на то что посессивные МО вроде jehož представляют собой средство книжное, т.е. в устной речи они не употребляются, по крайней мере в разговорном языке. АМО в сочетании с посессивным местоимением лимитировано областью придаточных относительных предложений, выполняющих ограничительную функцию, причем в силу своей стилистической специфики такие конструкции не выходят за рамки разговорного языка: То je ten pán, со jeho pes pokousal nedávno Vaška и т.п. Лишь в качестве субстандартного средства можно было бы употребить конструкции с АМО и посессивным местоимением также в других славянских языках, которые относительно широко употребляют — по крайней мере в разговорном языке — АМО в сочетании с формами личного местоимения 3-го лица. </w:t>
      </w:r>
    </w:p>
    <w:p w:rsidR="00FF4A67" w:rsidRDefault="00FF4A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Topolińska Z. Соодносот помегу прашалните и релативните заменки во македонскиот литературен jaзик // Прилози МАНУ, II/1. Ckonje, 1971.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См.: Русская грамматика. М.: Наука, 1980. Т. 2. С. 513.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Там же. С. 525.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Указанные формы восходят к род. падежу МО, и, за исключением формы жен. рода. jejíž, они так и ведут себя, т.е. остаются неизменными, в то время как форма jejíž (род. п. жен. р. МО jež регулярно имеет форму jíž/níž) вторично оформилась как склоняемая разновидность прилагательного с мягкой основой типа jarní аналогично посессивному местоимению 3-го лица (jeho, její, jejich; její склоняется — jejího, jejímu...).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См.: Стеванови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ћ</w:t>
      </w:r>
      <w:r>
        <w:rPr>
          <w:color w:val="000000"/>
          <w:sz w:val="24"/>
          <w:szCs w:val="24"/>
        </w:rPr>
        <w:t xml:space="preserve"> M. Савремени српскохрватски jeзик. 2: Синтакса. Београд, 1969. С. 818 и след.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«Грамматика на съвременния български книжовен език» (3: Синтаксис. София, 1983. С. 311) приводит на който в качестве синонима чийто, отмечая, что отдельные современные писатели совсем избегают употребления МО чийто, «макар че тези изречения са по-компактни от изреченията с на който»; примеры посессивного на който не приведены.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Дмитриев П. А. Особенности построения сложного предложения с определительным придаточным в сербохорватском языке // Учен. зап. ЛГУ. 1958. # 250. С. 107.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Указанная разновидность посессивной конструкции, отражающая положение в хорватском, приведена на втором месте, вслед за čiji, без комментариев в кн.: Baric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́</w:t>
      </w:r>
      <w:r>
        <w:rPr>
          <w:color w:val="000000"/>
          <w:sz w:val="24"/>
          <w:szCs w:val="24"/>
        </w:rPr>
        <w:t xml:space="preserve"> Е. et al. </w:t>
      </w:r>
      <w:r>
        <w:rPr>
          <w:color w:val="000000"/>
          <w:sz w:val="24"/>
          <w:szCs w:val="24"/>
          <w:lang w:val="en-US"/>
        </w:rPr>
        <w:t xml:space="preserve">Priručna gramatika hrvatskoga književnoga jezilca. </w:t>
      </w:r>
      <w:r>
        <w:rPr>
          <w:color w:val="000000"/>
          <w:sz w:val="24"/>
          <w:szCs w:val="24"/>
        </w:rPr>
        <w:t>Zagreb, 1979. С. 398.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Следствием этого является развитие формы жен. рода jejíž в направлении к склоняемой разновидности прилагательных типа jarní.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Постпозицию МО в сербскохорватском П.А. Дмитриев считает по сравнению с препозицией более поздним явлением (см.: Дмитриев П.А. Указ. соч. С. 107). Нельзя, однако, относить к постпозиции посессивного МО употребление МО koji в сочетании с номинативной группой, выполняющей на самом деле функцию предложного средства: načela na osnovu kojih treba... (см. там же). Аналогичное явление наблюдается в польском: Ale kolega Glus</w:t>
      </w:r>
      <w:r>
        <w:rPr>
          <w:rStyle w:val="uni1"/>
          <w:rFonts w:ascii="Times New Roman" w:cs="Times New Roman"/>
          <w:color w:val="000000"/>
          <w:sz w:val="24"/>
          <w:szCs w:val="24"/>
        </w:rPr>
        <w:t>́</w:t>
      </w:r>
      <w:r>
        <w:rPr>
          <w:color w:val="000000"/>
          <w:sz w:val="24"/>
          <w:szCs w:val="24"/>
        </w:rPr>
        <w:t xml:space="preserve"> urządził pokaz pokazowy, w wyniku którego cały nasz dom stanął pod zarsutem... </w:t>
      </w:r>
    </w:p>
    <w:p w:rsidR="00FF4A67" w:rsidRDefault="00FF4A6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 Baric</w:t>
      </w:r>
      <w:r>
        <w:rPr>
          <w:rStyle w:val="uni1"/>
          <w:rFonts w:ascii="Times New Roman" w:cs="Times New Roman"/>
          <w:color w:val="000000"/>
          <w:sz w:val="24"/>
          <w:szCs w:val="24"/>
          <w:lang w:val="en-US"/>
        </w:rPr>
        <w:t>́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. et al. Op. cit. C. 397.</w:t>
      </w:r>
      <w:bookmarkStart w:id="0" w:name="_GoBack"/>
      <w:bookmarkEnd w:id="0"/>
    </w:p>
    <w:sectPr w:rsidR="00FF4A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29E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316AC8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05AB0"/>
    <w:multiLevelType w:val="hybridMultilevel"/>
    <w:tmpl w:val="9EF0FD6A"/>
    <w:lvl w:ilvl="0" w:tplc="9A403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8EAA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987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440A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1003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2C2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7ED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BEDD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62A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8A655C"/>
    <w:multiLevelType w:val="singleLevel"/>
    <w:tmpl w:val="E5E068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D2A2DBA"/>
    <w:multiLevelType w:val="hybridMultilevel"/>
    <w:tmpl w:val="DB7003EC"/>
    <w:lvl w:ilvl="0" w:tplc="F424C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C2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182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80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43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04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ED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07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0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722C1"/>
    <w:multiLevelType w:val="singleLevel"/>
    <w:tmpl w:val="6E960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6340A0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F750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50395F"/>
    <w:multiLevelType w:val="hybridMultilevel"/>
    <w:tmpl w:val="70D05080"/>
    <w:lvl w:ilvl="0" w:tplc="B7F23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12C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D27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FCA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AB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763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7E5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D86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CE2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6B656A5"/>
    <w:multiLevelType w:val="hybridMultilevel"/>
    <w:tmpl w:val="9D36B84E"/>
    <w:lvl w:ilvl="0" w:tplc="01CC5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707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562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AAEB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76D8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903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8EA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025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FC38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D24DBD"/>
    <w:multiLevelType w:val="hybridMultilevel"/>
    <w:tmpl w:val="242C01C2"/>
    <w:lvl w:ilvl="0" w:tplc="B4C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507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CE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63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60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22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4A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0B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ED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4696E"/>
    <w:multiLevelType w:val="singleLevel"/>
    <w:tmpl w:val="1DA4637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2F342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0DE668D"/>
    <w:multiLevelType w:val="hybridMultilevel"/>
    <w:tmpl w:val="F546139A"/>
    <w:lvl w:ilvl="0" w:tplc="7818B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4E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69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21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85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00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CF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8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47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9E44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A516445"/>
    <w:multiLevelType w:val="hybridMultilevel"/>
    <w:tmpl w:val="0C5CA742"/>
    <w:lvl w:ilvl="0" w:tplc="3EBE6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28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E8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C3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C2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81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6A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8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C6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E3F28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A27DC2"/>
    <w:multiLevelType w:val="hybridMultilevel"/>
    <w:tmpl w:val="8F62055C"/>
    <w:lvl w:ilvl="0" w:tplc="F574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04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2E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62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44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0F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104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4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AB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510B0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25B686B"/>
    <w:multiLevelType w:val="singleLevel"/>
    <w:tmpl w:val="E5E068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439439F3"/>
    <w:multiLevelType w:val="hybridMultilevel"/>
    <w:tmpl w:val="D53E3A56"/>
    <w:lvl w:ilvl="0" w:tplc="6F66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6B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29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02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D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E2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CE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5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AF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B1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74427B"/>
    <w:multiLevelType w:val="hybridMultilevel"/>
    <w:tmpl w:val="53487578"/>
    <w:lvl w:ilvl="0" w:tplc="DC7E58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48B00F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C569F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4ADC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40EC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DE8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0EE4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DC57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12E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03662BF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D8326E"/>
    <w:multiLevelType w:val="hybridMultilevel"/>
    <w:tmpl w:val="CC8233FE"/>
    <w:lvl w:ilvl="0" w:tplc="1D140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00CC6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36CE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F07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5A9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80B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88A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EA20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0AA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11D1E00"/>
    <w:multiLevelType w:val="hybridMultilevel"/>
    <w:tmpl w:val="55307A0C"/>
    <w:lvl w:ilvl="0" w:tplc="ADC00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A18D9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B1488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989C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9C36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54E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462F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794B0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9EA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1697062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5828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543E1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6AA0B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584C2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8F575E4"/>
    <w:multiLevelType w:val="hybridMultilevel"/>
    <w:tmpl w:val="D6680554"/>
    <w:lvl w:ilvl="0" w:tplc="AB741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107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1C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B45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48D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D256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9E6A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A65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F45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55F40"/>
    <w:multiLevelType w:val="hybridMultilevel"/>
    <w:tmpl w:val="D44AA6C4"/>
    <w:lvl w:ilvl="0" w:tplc="335A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C0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82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E8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E6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C0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7CE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47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CC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514F45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EF231F1"/>
    <w:multiLevelType w:val="hybridMultilevel"/>
    <w:tmpl w:val="3424C894"/>
    <w:lvl w:ilvl="0" w:tplc="6B785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4F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E0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40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07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6E7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68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40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44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146C6"/>
    <w:multiLevelType w:val="hybridMultilevel"/>
    <w:tmpl w:val="D1403578"/>
    <w:lvl w:ilvl="0" w:tplc="8C54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4CA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2D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0A37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CEEF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A83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C05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9A30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FEA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5372DB2"/>
    <w:multiLevelType w:val="singleLevel"/>
    <w:tmpl w:val="E684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A2262AB"/>
    <w:multiLevelType w:val="hybridMultilevel"/>
    <w:tmpl w:val="FD82198A"/>
    <w:lvl w:ilvl="0" w:tplc="3EBC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3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C8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CE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4A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A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61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8F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22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DB2805"/>
    <w:multiLevelType w:val="hybridMultilevel"/>
    <w:tmpl w:val="F2D8EC56"/>
    <w:lvl w:ilvl="0" w:tplc="34FAD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E8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21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ED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21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2AD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EC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AB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07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574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E12698"/>
    <w:multiLevelType w:val="hybridMultilevel"/>
    <w:tmpl w:val="A8740822"/>
    <w:lvl w:ilvl="0" w:tplc="6F22E8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7C02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15C21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7459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DAEF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328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9EC9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CA65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462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2C95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2E873D2"/>
    <w:multiLevelType w:val="hybridMultilevel"/>
    <w:tmpl w:val="043CC84E"/>
    <w:lvl w:ilvl="0" w:tplc="CDA24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2A8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C21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407E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02BF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368BD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7844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AEF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DE2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5806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410842"/>
    <w:multiLevelType w:val="hybridMultilevel"/>
    <w:tmpl w:val="D3BC80BC"/>
    <w:lvl w:ilvl="0" w:tplc="12B4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C5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47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0A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AE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63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80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08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41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E849DD"/>
    <w:multiLevelType w:val="hybridMultilevel"/>
    <w:tmpl w:val="D4F8DDAA"/>
    <w:lvl w:ilvl="0" w:tplc="79D66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9A8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F6E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FA15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5E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8A8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34EC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C85C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285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8"/>
  </w:num>
  <w:num w:numId="2">
    <w:abstractNumId w:val="4"/>
  </w:num>
  <w:num w:numId="3">
    <w:abstractNumId w:val="34"/>
  </w:num>
  <w:num w:numId="4">
    <w:abstractNumId w:val="24"/>
  </w:num>
  <w:num w:numId="5">
    <w:abstractNumId w:val="8"/>
  </w:num>
  <w:num w:numId="6">
    <w:abstractNumId w:val="45"/>
  </w:num>
  <w:num w:numId="7">
    <w:abstractNumId w:val="42"/>
  </w:num>
  <w:num w:numId="8">
    <w:abstractNumId w:val="9"/>
  </w:num>
  <w:num w:numId="9">
    <w:abstractNumId w:val="15"/>
  </w:num>
  <w:num w:numId="10">
    <w:abstractNumId w:val="17"/>
  </w:num>
  <w:num w:numId="11">
    <w:abstractNumId w:val="3"/>
  </w:num>
  <w:num w:numId="12">
    <w:abstractNumId w:val="19"/>
  </w:num>
  <w:num w:numId="13">
    <w:abstractNumId w:val="5"/>
  </w:num>
  <w:num w:numId="14">
    <w:abstractNumId w:val="11"/>
  </w:num>
  <w:num w:numId="15">
    <w:abstractNumId w:val="16"/>
  </w:num>
  <w:num w:numId="16">
    <w:abstractNumId w:val="39"/>
  </w:num>
  <w:num w:numId="17">
    <w:abstractNumId w:val="27"/>
  </w:num>
  <w:num w:numId="18">
    <w:abstractNumId w:val="7"/>
  </w:num>
  <w:num w:numId="19">
    <w:abstractNumId w:val="14"/>
  </w:num>
  <w:num w:numId="20">
    <w:abstractNumId w:val="41"/>
  </w:num>
  <w:num w:numId="21">
    <w:abstractNumId w:val="28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9"/>
  </w:num>
  <w:num w:numId="27">
    <w:abstractNumId w:val="30"/>
  </w:num>
  <w:num w:numId="28">
    <w:abstractNumId w:val="12"/>
  </w:num>
  <w:num w:numId="29">
    <w:abstractNumId w:val="36"/>
  </w:num>
  <w:num w:numId="30">
    <w:abstractNumId w:val="33"/>
  </w:num>
  <w:num w:numId="31">
    <w:abstractNumId w:val="18"/>
  </w:num>
  <w:num w:numId="32">
    <w:abstractNumId w:val="26"/>
  </w:num>
  <w:num w:numId="33">
    <w:abstractNumId w:val="6"/>
  </w:num>
  <w:num w:numId="34">
    <w:abstractNumId w:val="43"/>
  </w:num>
  <w:num w:numId="35">
    <w:abstractNumId w:val="2"/>
  </w:num>
  <w:num w:numId="36">
    <w:abstractNumId w:val="10"/>
  </w:num>
  <w:num w:numId="37">
    <w:abstractNumId w:val="32"/>
  </w:num>
  <w:num w:numId="38">
    <w:abstractNumId w:val="35"/>
  </w:num>
  <w:num w:numId="39">
    <w:abstractNumId w:val="31"/>
  </w:num>
  <w:num w:numId="40">
    <w:abstractNumId w:val="37"/>
  </w:num>
  <w:num w:numId="41">
    <w:abstractNumId w:val="20"/>
  </w:num>
  <w:num w:numId="42">
    <w:abstractNumId w:val="25"/>
  </w:num>
  <w:num w:numId="43">
    <w:abstractNumId w:val="22"/>
  </w:num>
  <w:num w:numId="44">
    <w:abstractNumId w:val="40"/>
  </w:num>
  <w:num w:numId="45">
    <w:abstractNumId w:val="4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915"/>
    <w:rsid w:val="00015A91"/>
    <w:rsid w:val="00B90915"/>
    <w:rsid w:val="00F555A1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1873BB-B1BA-48A6-8E7B-3A670023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Definition"/>
    <w:uiPriority w:val="99"/>
    <w:rPr>
      <w:rFonts w:ascii="Courier New" w:hAnsi="Courier New" w:cs="Courier New"/>
      <w:i/>
      <w:iCs/>
      <w:spacing w:val="39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abzac">
    <w:name w:val="abzac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customStyle="1" w:styleId="texttitle1">
    <w:name w:val="texttitle1"/>
    <w:uiPriority w:val="99"/>
    <w:rPr>
      <w:rFonts w:ascii="Arial" w:hAnsi="Arial" w:cs="Arial"/>
      <w:caps/>
      <w:sz w:val="18"/>
      <w:szCs w:val="18"/>
    </w:rPr>
  </w:style>
  <w:style w:type="paragraph" w:customStyle="1" w:styleId="menu">
    <w:name w:val="menu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3"/>
      <w:szCs w:val="13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rFonts w:ascii="Arial" w:hAnsi="Arial" w:cs="Arial"/>
      <w:caps/>
      <w:sz w:val="18"/>
      <w:szCs w:val="18"/>
    </w:rPr>
  </w:style>
  <w:style w:type="paragraph" w:customStyle="1" w:styleId="oneexistsay">
    <w:name w:val="oneexistsay"/>
    <w:basedOn w:val="a"/>
    <w:uiPriority w:val="99"/>
    <w:pPr>
      <w:spacing w:before="100" w:beforeAutospacing="1" w:after="100" w:afterAutospacing="1"/>
    </w:pPr>
    <w:rPr>
      <w:sz w:val="12"/>
      <w:szCs w:val="12"/>
    </w:rPr>
  </w:style>
  <w:style w:type="paragraph" w:customStyle="1" w:styleId="headmenu">
    <w:name w:val="headmenu"/>
    <w:basedOn w:val="a"/>
    <w:uiPriority w:val="99"/>
    <w:pPr>
      <w:spacing w:before="100" w:beforeAutospacing="1" w:after="100" w:afterAutospacing="1"/>
    </w:pPr>
    <w:rPr>
      <w:rFonts w:ascii="Verdana" w:hAnsi="Verdana" w:cs="Verdana"/>
      <w:caps/>
      <w:sz w:val="15"/>
      <w:szCs w:val="15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styleId="a5">
    <w:name w:val="Title"/>
    <w:basedOn w:val="a"/>
    <w:link w:val="a6"/>
    <w:uiPriority w:val="99"/>
    <w:qFormat/>
    <w:pPr>
      <w:autoSpaceDE w:val="0"/>
      <w:autoSpaceDN w:val="0"/>
      <w:jc w:val="center"/>
    </w:pPr>
    <w:rPr>
      <w:b/>
      <w:bCs/>
      <w:color w:val="000000"/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pPr>
      <w:autoSpaceDE w:val="0"/>
      <w:autoSpaceDN w:val="0"/>
      <w:spacing w:line="360" w:lineRule="auto"/>
      <w:jc w:val="center"/>
    </w:pPr>
    <w:rPr>
      <w:b/>
      <w:bCs/>
      <w:color w:val="000000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autoSpaceDE w:val="0"/>
      <w:autoSpaceDN w:val="0"/>
      <w:spacing w:line="360" w:lineRule="auto"/>
      <w:jc w:val="both"/>
    </w:pPr>
    <w:rPr>
      <w:color w:val="000000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spacing w:line="360" w:lineRule="auto"/>
      <w:jc w:val="both"/>
    </w:pPr>
    <w:rPr>
      <w:rFonts w:ascii="MS Sans Serif" w:hAnsi="MS Sans Serif" w:cs="MS Sans Serif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uni1">
    <w:name w:val="uni1"/>
    <w:uiPriority w:val="99"/>
    <w:rPr>
      <w:rFonts w:ascii="MS Mincho" w:eastAsia="MS Mincho" w:cs="MS Mincho"/>
    </w:rPr>
  </w:style>
  <w:style w:type="paragraph" w:customStyle="1" w:styleId="abzac1">
    <w:name w:val="abzac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uiPriority w:val="99"/>
    <w:qFormat/>
    <w:rPr>
      <w:i/>
      <w:iCs/>
    </w:rPr>
  </w:style>
  <w:style w:type="character" w:styleId="ac">
    <w:name w:val="Hyperlink"/>
    <w:uiPriority w:val="99"/>
    <w:rPr>
      <w:rFonts w:ascii="Arial" w:hAnsi="Arial" w:cs="Arial"/>
      <w:color w:val="auto"/>
      <w:u w:val="none"/>
      <w:effect w:val="none"/>
    </w:rPr>
  </w:style>
  <w:style w:type="character" w:styleId="ad">
    <w:name w:val="footnote reference"/>
    <w:uiPriority w:val="99"/>
    <w:rPr>
      <w:vertAlign w:val="superscript"/>
    </w:rPr>
  </w:style>
  <w:style w:type="character" w:styleId="HTML0">
    <w:name w:val="HTML Cite"/>
    <w:uiPriority w:val="99"/>
    <w:rPr>
      <w:i/>
      <w:iCs/>
    </w:rPr>
  </w:style>
  <w:style w:type="character" w:styleId="HTML1">
    <w:name w:val="HTML Acronym"/>
    <w:uiPriority w:val="99"/>
  </w:style>
  <w:style w:type="paragraph" w:styleId="ae">
    <w:name w:val="footnote text"/>
    <w:basedOn w:val="a"/>
    <w:link w:val="af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13771</Words>
  <Characters>7850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Придаточные предложения относительные и посессивность в современных славянских языках</vt:lpstr>
    </vt:vector>
  </TitlesOfParts>
  <Company>PERSONAL COMPUTERS</Company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Придаточные предложения относительные и посессивность в современных славянских языках</dc:title>
  <dc:subject/>
  <dc:creator>USER</dc:creator>
  <cp:keywords/>
  <dc:description/>
  <cp:lastModifiedBy>admin</cp:lastModifiedBy>
  <cp:revision>2</cp:revision>
  <dcterms:created xsi:type="dcterms:W3CDTF">2014-01-26T07:02:00Z</dcterms:created>
  <dcterms:modified xsi:type="dcterms:W3CDTF">2014-01-26T07:02:00Z</dcterms:modified>
</cp:coreProperties>
</file>