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01" w:rsidRDefault="00542A01">
      <w:pPr>
        <w:pStyle w:val="a5"/>
      </w:pPr>
      <w:r>
        <w:t>ПРИМЕНЕНИЕ АЭРОЗОЛЕЙ ЭНРОФЛОНА</w:t>
      </w:r>
    </w:p>
    <w:p w:rsidR="00542A01" w:rsidRDefault="00542A01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</w:t>
      </w:r>
    </w:p>
    <w:p w:rsidR="00542A01" w:rsidRDefault="00542A01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Используемые в настоящее время индивидуальные методы профилактики и лечения животных требуют больших затрат труда и времени ветеринарных специалистов. В связи с этим одним из наиболее реальных путей совершенствования лечебно-профилактических обработок животных является применение химических и биологических препаратов в форме аэрозолей. .Необходимо изыскать такой препарат, к которому более медленно вырабатывается у микроорганизмов привыкание и который обладает свойством, восстанавливающим  до оптимального уровня деятельность факторов неспецифической резистентности организма животных. В связи с этим  большой интерес представляет энрофлон. При его изучении в доступной литературе не было найдено данных о его применении  аэрозольным путем. Поэтому целью настоящих исследований явились разработка научно  обоснованных  оптимальных доз энрофлона при аэрозольном применении  для лечения и профилактики респираторных заболеваний.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Опыты проводили на телятах черно-пестрой породы, 1,5-2 месячного возраста. После клинического обследования больных животных по принципу аналогов сформировали три группы телят по 10 голов в каждой. Технология содержания всех групп аналогична.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.Для лечения телят больных бронхопневмонией, были использованы 2 метода терапии: групповой аэрозольный и индивидуальное лечение больных телят.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качестве лекарственных средств при групповой аэрозольной терапии использовали: энрофлон в дозе 5мл/м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 xml:space="preserve"> в 1-ой группе; энрофлон в дозе 3мл/м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 xml:space="preserve"> во 2-ой группе; третья группа была контрольной и подвергалась индивидуальной терапии. 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Энрофлон – инъекционный раствор, содержащий в качестве активного вещества энтрофлоксацин. По внешнему виду представляет собой прозрачный стерильный раствор слегка желтоватого цвета. Энтрофлоксацин, входящий в состав энрофлона носится к группе антибактериального действия, активен в отношении грамотрицательных микроорганизмов.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Энрофлон хорошо всасывается и быстро проникает во все органы и ткани организма. Максимальная концентрация препарата в крови достигается через 0,5-2 часа после введения энрофлона и сохраняется на протяжении 4-6 часов, а терапевтическая концентрация - на  24 часов.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Аэрозоли широко использовали в условиях фермы в специализированной камере объемом 24 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 xml:space="preserve"> с использованием струйно-аэрозольного генератора САГ-1.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лечения бронхопневмонии телят первой группы проводили аэрозольную обработку энрофлоном в дозе 5мл на 1м</w:t>
      </w:r>
      <w:r>
        <w:rPr>
          <w:rFonts w:ascii="Arial" w:hAnsi="Arial"/>
          <w:sz w:val="28"/>
          <w:vertAlign w:val="superscript"/>
        </w:rPr>
        <w:t xml:space="preserve">3 </w:t>
      </w:r>
      <w:r>
        <w:rPr>
          <w:rFonts w:ascii="Arial" w:hAnsi="Arial"/>
          <w:sz w:val="28"/>
        </w:rPr>
        <w:t>помещения камеры на 20%-ном растворе глюкозы (1:10). Экспозиция 60 минут. Обработку проводили ежедневно в течение 7 дней. При лечении телят, больных бронхопневмонией, энрофлоном аэрозольным методом, снижение температуры тела, нормализация пульса и  дыхания отмечали  со 2-3-го дня лечения.   В эти дни, как правило, происходило улучшение общего состояния, температура  приходила к норме, появлялся аппетит. Постепенно исчезали признаки дыхательной  и сердечно-сосудистой недостаточности. В дальнейшем происходило купирование воспалительного процесса в легких.   На 6-7 день в первой опытной группе у многих животных наступило клиническое выздоровление.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Проведенные биохимические и гематологические исследования на 10 день после начала лечения дали результаты, соответствующие физиологической норме.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Телятам второй группы в профилактических целях проводили аэрозольную обработку энрофлоном в дозе  3 мл/м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 xml:space="preserve"> на 20% растворе глюкозы (1:10), по следующей схеме: в первый день животные подвергались аэрозольной обработке в выше указанной дозе  в течении 60 минут. Повторную аэрозольную обработку проводили в той же дозе, при той же экспозиции через 24 часа.  И в третий раз  через 72 часа после второй обработки. После проведения первой серии обработок делается  5-дневный перерыв, затем проводится вторая серия обработок и после следующего 5-дневного проводили третью серию аэрозольных обработок телят энрофлоном в той же дозе, последовательности и экспозиции.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сравнения лечебной эффективности, трудоемкости лечения, производительности и некоторых других показателей нами было проведено индивидуальное лечение больных животных третьей группы. Лечение проводилось согласно схеме, применяемой для лечения  бронхопневмонии телят в хозяйстве.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Больным телятам внутримышечно вводили пенициллина натриевую соль на 0,5% растворе новокаина 8 дней подряд. Сульфадиметоксин назначали внутрь 2 раза в сутки в течение 8 дней в дозе 0,02г/кг массы животного перед выпойкой молока.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Проведенными исследованиями установлено, что перед применением препарата у телят больных бронхопневмонией по данным морфологического анализа крови, отмечали нейтрофильный лейкоцитоз, увеличение количества лейкоцитов, что характерно при острых хронических воспалениях процессов в органах дыхания. А количество эритроцитов и концентрация  гемоглобина были примерно одинаковыми во всех группах, и эти показатели находились в пределах  нормальных физиологических величин ,</w:t>
      </w:r>
    </w:p>
    <w:p w:rsidR="00542A01" w:rsidRDefault="00542A01">
      <w:pPr>
        <w:pStyle w:val="20"/>
        <w:ind w:firstLine="0"/>
        <w:rPr>
          <w:rFonts w:ascii="Arial" w:hAnsi="Arial"/>
        </w:rPr>
      </w:pPr>
      <w:r>
        <w:rPr>
          <w:rFonts w:ascii="Arial" w:hAnsi="Arial"/>
        </w:rPr>
        <w:t>содержание альбуминов и глобулинов в сыворотке крови телят между сравниваемыми группами существенной разницы не имело. Показатели естественной резистентности  организма телят до применения энрофлона также существенных различий  не имели.</w:t>
      </w:r>
    </w:p>
    <w:p w:rsidR="00542A01" w:rsidRDefault="00542A01">
      <w:pPr>
        <w:spacing w:line="360" w:lineRule="auto"/>
        <w:ind w:firstLine="90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После обработки  животных препаратами проводили анализ профилактической и лечебной эффективности энрофлона. В ходе лечения, по мере уменьшения воспалительного процесса в организме телят происходила постепенная нормализация  состава крови. 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pStyle w:val="20"/>
        <w:rPr>
          <w:rFonts w:ascii="Arial" w:hAnsi="Arial"/>
        </w:rPr>
      </w:pPr>
      <w:r>
        <w:rPr>
          <w:rFonts w:ascii="Arial" w:hAnsi="Arial"/>
        </w:rPr>
        <w:t>Результаты исследований по изучению гуморальных факторов защиты организма телят после применения препаратов приведены в табл.1.</w:t>
      </w:r>
    </w:p>
    <w:p w:rsidR="00542A01" w:rsidRDefault="00542A01">
      <w:pPr>
        <w:pStyle w:val="20"/>
        <w:ind w:left="5664" w:firstLine="708"/>
        <w:rPr>
          <w:rFonts w:ascii="Arial" w:hAnsi="Arial"/>
        </w:rPr>
      </w:pPr>
      <w:r>
        <w:rPr>
          <w:rFonts w:ascii="Arial" w:hAnsi="Arial"/>
        </w:rPr>
        <w:t>Таблица №1.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Показатели гуморальных факторов защиты организма телят  после окончания опыта.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3315"/>
      </w:tblGrid>
      <w:tr w:rsidR="00542A01">
        <w:trPr>
          <w:cantSplit/>
          <w:trHeight w:val="240"/>
        </w:trPr>
        <w:tc>
          <w:tcPr>
            <w:tcW w:w="2448" w:type="dxa"/>
            <w:vMerge w:val="restart"/>
          </w:tcPr>
          <w:p w:rsidR="00542A01" w:rsidRDefault="00542A01">
            <w:pPr>
              <w:pStyle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Группа </w:t>
            </w:r>
          </w:p>
        </w:tc>
        <w:tc>
          <w:tcPr>
            <w:tcW w:w="6555" w:type="dxa"/>
            <w:gridSpan w:val="2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Показатели </w:t>
            </w:r>
          </w:p>
        </w:tc>
      </w:tr>
      <w:tr w:rsidR="00542A01">
        <w:trPr>
          <w:cantSplit/>
          <w:trHeight w:val="240"/>
        </w:trPr>
        <w:tc>
          <w:tcPr>
            <w:tcW w:w="2448" w:type="dxa"/>
            <w:vMerge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240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Бактерицидная активность</w:t>
            </w:r>
          </w:p>
        </w:tc>
        <w:tc>
          <w:tcPr>
            <w:tcW w:w="3315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Лизоцимная активность,%</w:t>
            </w:r>
          </w:p>
        </w:tc>
      </w:tr>
      <w:tr w:rsidR="00542A01">
        <w:tc>
          <w:tcPr>
            <w:tcW w:w="2448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  <w:vertAlign w:val="subscript"/>
              </w:rPr>
              <w:t>1</w:t>
            </w:r>
          </w:p>
        </w:tc>
        <w:tc>
          <w:tcPr>
            <w:tcW w:w="3240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80,0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0,14</w:t>
            </w:r>
          </w:p>
        </w:tc>
        <w:tc>
          <w:tcPr>
            <w:tcW w:w="3315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29,6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0,13</w:t>
            </w:r>
          </w:p>
        </w:tc>
      </w:tr>
      <w:tr w:rsidR="00542A01">
        <w:tc>
          <w:tcPr>
            <w:tcW w:w="2448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  <w:vertAlign w:val="subscript"/>
              </w:rPr>
              <w:t>2</w:t>
            </w:r>
          </w:p>
        </w:tc>
        <w:tc>
          <w:tcPr>
            <w:tcW w:w="3240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83,4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0,34</w:t>
            </w:r>
          </w:p>
        </w:tc>
        <w:tc>
          <w:tcPr>
            <w:tcW w:w="3315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30,1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0,14</w:t>
            </w:r>
          </w:p>
        </w:tc>
      </w:tr>
      <w:tr w:rsidR="00542A01">
        <w:tc>
          <w:tcPr>
            <w:tcW w:w="2448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</w:t>
            </w:r>
          </w:p>
        </w:tc>
        <w:tc>
          <w:tcPr>
            <w:tcW w:w="3240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78,7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0,31</w:t>
            </w:r>
          </w:p>
        </w:tc>
        <w:tc>
          <w:tcPr>
            <w:tcW w:w="3315" w:type="dxa"/>
          </w:tcPr>
          <w:p w:rsidR="00542A01" w:rsidRDefault="00542A01">
            <w:pPr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24,5</w:t>
            </w:r>
            <w:r>
              <w:rPr>
                <w:rFonts w:ascii="Arial" w:hAnsi="Arial"/>
                <w:sz w:val="28"/>
              </w:rPr>
              <w:sym w:font="Symbol" w:char="F0B1"/>
            </w:r>
            <w:r>
              <w:rPr>
                <w:rFonts w:ascii="Arial" w:hAnsi="Arial"/>
                <w:sz w:val="28"/>
              </w:rPr>
              <w:t>0,14</w:t>
            </w:r>
          </w:p>
        </w:tc>
      </w:tr>
    </w:tbl>
    <w:p w:rsidR="00542A01" w:rsidRDefault="00542A01">
      <w:pPr>
        <w:spacing w:line="360" w:lineRule="auto"/>
        <w:jc w:val="center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708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Показатели бактерицидной и лизоцимной активности сыворотки крови  у всех групп в этом периоде исследований повысились.  Телята первой и второй группы по этим показателям превосходили животных контрольной группы. Гуморальные факторы защиты организма  лучше проявились у телят второй опытной группы. Так, бактерицидная активность составила  83,4%, а лизоцимная  30,1%, у контрольной группы бактерицидная 78,7%, лизоцимная 24,5%.</w:t>
      </w:r>
    </w:p>
    <w:p w:rsidR="00542A01" w:rsidRDefault="00542A01">
      <w:pPr>
        <w:spacing w:line="360" w:lineRule="auto"/>
        <w:ind w:firstLine="900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использование аэрозолей энрофлона по указанно схеме применения повышает некоторые показатели иммунобиологической реактивности телят, предупреждает возникновение респираторных  заболеваний молодняка, а также способствует более быстрому выздоровлению при этих заболеваниях.</w:t>
      </w:r>
    </w:p>
    <w:p w:rsidR="00542A01" w:rsidRDefault="00542A01">
      <w:pPr>
        <w:spacing w:line="360" w:lineRule="auto"/>
        <w:ind w:firstLine="90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Полученные в экспериментах лечебные и профилактические свойства препарата дали нам основание провести их производственное использование  в условиях  АО «Лекраспром» Апшеронского района и учебно-опытного хозяйства « Кубань». Предварительные данные говорят о том, что предложенная нами схема лечения  и профилактики респираторных заболеваний в условиях молочно-товарной фермы эффективна.</w:t>
      </w:r>
    </w:p>
    <w:p w:rsidR="00542A01" w:rsidRDefault="00542A01">
      <w:pPr>
        <w:spacing w:line="360" w:lineRule="auto"/>
        <w:ind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результате проведенных исследований установлено, что изучаемый препарат  способствует повышению  неспецифических показателей естественной резистентности телят, снижает количество случаев заболевания респираторными болезнями животных в опытных группах по сравнению с животными контрольной группы, а также не оказывает отрицательного влияния на организм животного.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основании выше изложенного, целесообразно провести широкое исследование изучаемого препарата для профилактики и лечения респираторных заболеваний, а также повышения естественной резистентности телят в условиях ферм и комплексов Краснодарского края. </w:t>
      </w: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left="18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left="18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left="180"/>
        <w:jc w:val="both"/>
        <w:rPr>
          <w:rFonts w:ascii="Arial" w:hAnsi="Arial"/>
          <w:sz w:val="28"/>
        </w:rPr>
      </w:pPr>
    </w:p>
    <w:p w:rsidR="00542A01" w:rsidRDefault="00542A01">
      <w:pPr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.</w:t>
      </w:r>
    </w:p>
    <w:p w:rsidR="00542A01" w:rsidRDefault="00542A01">
      <w:pPr>
        <w:spacing w:line="360" w:lineRule="auto"/>
        <w:ind w:left="900"/>
        <w:jc w:val="both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rPr>
          <w:rFonts w:ascii="Arial" w:hAnsi="Arial"/>
          <w:sz w:val="28"/>
        </w:rPr>
      </w:pPr>
    </w:p>
    <w:p w:rsidR="00542A01" w:rsidRDefault="00542A01">
      <w:pPr>
        <w:spacing w:line="360" w:lineRule="auto"/>
        <w:ind w:firstLine="900"/>
        <w:rPr>
          <w:rFonts w:ascii="Arial" w:hAnsi="Arial"/>
          <w:sz w:val="28"/>
        </w:rPr>
      </w:pPr>
    </w:p>
    <w:p w:rsidR="00542A01" w:rsidRDefault="00542A01">
      <w:pPr>
        <w:spacing w:line="360" w:lineRule="auto"/>
        <w:jc w:val="both"/>
      </w:pPr>
      <w:bookmarkStart w:id="0" w:name="_GoBack"/>
      <w:bookmarkEnd w:id="0"/>
    </w:p>
    <w:sectPr w:rsidR="00542A01">
      <w:headerReference w:type="even" r:id="rId7"/>
      <w:headerReference w:type="default" r:id="rId8"/>
      <w:pgSz w:w="11906" w:h="16838" w:code="9"/>
      <w:pgMar w:top="1134" w:right="851" w:bottom="1134" w:left="1701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01" w:rsidRDefault="00542A01">
      <w:r>
        <w:separator/>
      </w:r>
    </w:p>
  </w:endnote>
  <w:endnote w:type="continuationSeparator" w:id="0">
    <w:p w:rsidR="00542A01" w:rsidRDefault="0054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01" w:rsidRDefault="00542A01">
      <w:r>
        <w:separator/>
      </w:r>
    </w:p>
  </w:footnote>
  <w:footnote w:type="continuationSeparator" w:id="0">
    <w:p w:rsidR="00542A01" w:rsidRDefault="0054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01" w:rsidRDefault="00542A01">
    <w:pPr>
      <w:pStyle w:val="a6"/>
      <w:framePr w:wrap="around" w:vAnchor="text" w:hAnchor="margin" w:xAlign="right" w:y="1"/>
      <w:rPr>
        <w:rStyle w:val="a7"/>
      </w:rPr>
    </w:pPr>
  </w:p>
  <w:p w:rsidR="00542A01" w:rsidRDefault="00542A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01" w:rsidRDefault="00C12D4A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42A01" w:rsidRDefault="00542A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9F8"/>
    <w:multiLevelType w:val="hybridMultilevel"/>
    <w:tmpl w:val="510A59B0"/>
    <w:lvl w:ilvl="0" w:tplc="2D2434C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7A235E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56C2E20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2B0D3B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DD409EB0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D5AD72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DAE2C03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C0C6EE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BCA8C5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9245DCA"/>
    <w:multiLevelType w:val="hybridMultilevel"/>
    <w:tmpl w:val="B29C83F2"/>
    <w:lvl w:ilvl="0" w:tplc="1902B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4A61E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17C81E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642F91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00830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27A346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214D66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4DA10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592A52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046678"/>
    <w:multiLevelType w:val="hybridMultilevel"/>
    <w:tmpl w:val="CE287C40"/>
    <w:lvl w:ilvl="0" w:tplc="92D0E09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58D694D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6C58F59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6E833E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33AD9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600BCD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1D244C4E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DFEE31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78DE485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487396B"/>
    <w:multiLevelType w:val="multilevel"/>
    <w:tmpl w:val="070E25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>
    <w:nsid w:val="26652048"/>
    <w:multiLevelType w:val="hybridMultilevel"/>
    <w:tmpl w:val="385691AC"/>
    <w:lvl w:ilvl="0" w:tplc="D0BA00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5B8BA5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3EE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F214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467E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EA4B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E2BB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08F3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308B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1611F6E"/>
    <w:multiLevelType w:val="hybridMultilevel"/>
    <w:tmpl w:val="E63E72BC"/>
    <w:lvl w:ilvl="0" w:tplc="E7BA74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0D4AD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80CE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996E5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07C8F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78021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7ED1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6CAC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6023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460082B"/>
    <w:multiLevelType w:val="hybridMultilevel"/>
    <w:tmpl w:val="137A7C1E"/>
    <w:lvl w:ilvl="0" w:tplc="DDC2E08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FBABD2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1D2AE98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D9C7E6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D80E5F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658E807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D67B8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5FA83B9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EF9A997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395705FD"/>
    <w:multiLevelType w:val="hybridMultilevel"/>
    <w:tmpl w:val="D884F5B0"/>
    <w:lvl w:ilvl="0" w:tplc="91F61FA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756659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61E28A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25EED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FE0156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4B61FD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7C8590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7CABED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11449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4584445"/>
    <w:multiLevelType w:val="multilevel"/>
    <w:tmpl w:val="19D6762A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9">
    <w:nsid w:val="65CF70E7"/>
    <w:multiLevelType w:val="multilevel"/>
    <w:tmpl w:val="A33CD52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0">
    <w:nsid w:val="7BDD0DD8"/>
    <w:multiLevelType w:val="hybridMultilevel"/>
    <w:tmpl w:val="B254DF84"/>
    <w:lvl w:ilvl="0" w:tplc="2D9C06F6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6952DB86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49885342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83CCC5C2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21004D50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46F0D85E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2DF451E2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B28C2CA6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602E2952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11">
    <w:nsid w:val="7C372CB7"/>
    <w:multiLevelType w:val="hybridMultilevel"/>
    <w:tmpl w:val="3D264CDE"/>
    <w:lvl w:ilvl="0" w:tplc="777E7C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1766A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A384E8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98DD2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D4292C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7545AF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172A53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BF6F4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ADEDFE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D4A"/>
    <w:rsid w:val="001F23E8"/>
    <w:rsid w:val="00542A01"/>
    <w:rsid w:val="00A63E49"/>
    <w:rsid w:val="00C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3D09-79E4-4E4F-AFDA-B3FCBBE9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900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90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9012" w:firstLine="900"/>
      <w:jc w:val="both"/>
      <w:outlineLvl w:val="4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900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900"/>
      <w:jc w:val="center"/>
    </w:pPr>
    <w:rPr>
      <w:b/>
      <w:bCs/>
      <w:i/>
      <w:iCs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b/>
      <w:bCs/>
      <w:i/>
      <w:iCs/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rFonts w:ascii="Arial" w:hAnsi="Arial"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11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112</dc:creator>
  <cp:keywords/>
  <dc:description/>
  <cp:lastModifiedBy>Irina</cp:lastModifiedBy>
  <cp:revision>2</cp:revision>
  <cp:lastPrinted>2002-12-08T16:55:00Z</cp:lastPrinted>
  <dcterms:created xsi:type="dcterms:W3CDTF">2014-08-04T14:09:00Z</dcterms:created>
  <dcterms:modified xsi:type="dcterms:W3CDTF">2014-08-04T14:09:00Z</dcterms:modified>
</cp:coreProperties>
</file>