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D1" w:rsidRDefault="001775D1" w:rsidP="001775D1">
      <w:pPr>
        <w:pStyle w:val="afe"/>
      </w:pPr>
    </w:p>
    <w:p w:rsidR="001775D1" w:rsidRDefault="001775D1" w:rsidP="001775D1">
      <w:pPr>
        <w:pStyle w:val="afe"/>
      </w:pPr>
    </w:p>
    <w:p w:rsidR="001775D1" w:rsidRDefault="001775D1" w:rsidP="001775D1">
      <w:pPr>
        <w:pStyle w:val="afe"/>
      </w:pPr>
    </w:p>
    <w:p w:rsidR="001775D1" w:rsidRDefault="001775D1" w:rsidP="001775D1">
      <w:pPr>
        <w:pStyle w:val="afe"/>
      </w:pPr>
    </w:p>
    <w:p w:rsidR="001775D1" w:rsidRDefault="001775D1" w:rsidP="001775D1">
      <w:pPr>
        <w:pStyle w:val="afe"/>
      </w:pPr>
    </w:p>
    <w:p w:rsidR="001775D1" w:rsidRDefault="001775D1" w:rsidP="001775D1">
      <w:pPr>
        <w:pStyle w:val="afe"/>
      </w:pPr>
    </w:p>
    <w:p w:rsidR="001775D1" w:rsidRDefault="001775D1" w:rsidP="001775D1">
      <w:pPr>
        <w:pStyle w:val="afe"/>
      </w:pPr>
    </w:p>
    <w:p w:rsidR="001775D1" w:rsidRDefault="001775D1" w:rsidP="001775D1">
      <w:pPr>
        <w:pStyle w:val="afe"/>
      </w:pPr>
    </w:p>
    <w:p w:rsidR="001775D1" w:rsidRDefault="001775D1" w:rsidP="001775D1">
      <w:pPr>
        <w:pStyle w:val="afe"/>
      </w:pPr>
    </w:p>
    <w:p w:rsidR="001775D1" w:rsidRDefault="001775D1" w:rsidP="001775D1">
      <w:pPr>
        <w:pStyle w:val="afe"/>
      </w:pPr>
    </w:p>
    <w:p w:rsidR="001775D1" w:rsidRDefault="001775D1" w:rsidP="001775D1">
      <w:pPr>
        <w:pStyle w:val="afe"/>
      </w:pPr>
    </w:p>
    <w:p w:rsidR="001775D1" w:rsidRDefault="001775D1" w:rsidP="001775D1">
      <w:pPr>
        <w:pStyle w:val="afe"/>
      </w:pPr>
    </w:p>
    <w:p w:rsidR="001775D1" w:rsidRDefault="001775D1" w:rsidP="001775D1">
      <w:pPr>
        <w:pStyle w:val="afe"/>
      </w:pPr>
    </w:p>
    <w:p w:rsidR="00C20C9B" w:rsidRDefault="000C6E06" w:rsidP="001775D1">
      <w:pPr>
        <w:pStyle w:val="afe"/>
      </w:pPr>
      <w:r w:rsidRPr="00C20C9B">
        <w:t>Применение</w:t>
      </w:r>
      <w:r w:rsidR="00C20C9B">
        <w:t xml:space="preserve"> </w:t>
      </w:r>
      <w:r w:rsidRPr="00C20C9B">
        <w:t>систем диспетчерской централизации</w:t>
      </w:r>
      <w:r w:rsidR="00C20C9B">
        <w:t xml:space="preserve"> </w:t>
      </w:r>
      <w:r w:rsidRPr="00C20C9B">
        <w:t>и диспетчерского контроля</w:t>
      </w:r>
    </w:p>
    <w:p w:rsidR="000C6E06" w:rsidRPr="00C20C9B" w:rsidRDefault="001775D1" w:rsidP="00C20C9B">
      <w:pPr>
        <w:pStyle w:val="2"/>
      </w:pPr>
      <w:r>
        <w:br w:type="page"/>
      </w:r>
      <w:r w:rsidR="000C6E06" w:rsidRPr="00C20C9B">
        <w:t>1</w:t>
      </w:r>
      <w:r w:rsidR="00C20C9B" w:rsidRPr="00C20C9B">
        <w:t xml:space="preserve">. </w:t>
      </w:r>
      <w:r w:rsidR="000C6E06" w:rsidRPr="00C20C9B">
        <w:t>Технико-экономическая эффективность</w:t>
      </w:r>
      <w:r w:rsidR="00C20C9B" w:rsidRPr="00C20C9B">
        <w:t xml:space="preserve"> </w:t>
      </w:r>
      <w:r w:rsidR="000C6E06" w:rsidRPr="00C20C9B">
        <w:t>внедрения систем</w:t>
      </w:r>
    </w:p>
    <w:p w:rsidR="00C20C9B" w:rsidRDefault="00C20C9B" w:rsidP="00C20C9B">
      <w:pPr>
        <w:widowControl w:val="0"/>
        <w:autoSpaceDE w:val="0"/>
        <w:autoSpaceDN w:val="0"/>
        <w:adjustRightInd w:val="0"/>
      </w:pP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Для оценки экономической эффективности инноваций используются показатели общественной и коммерческой эффективности</w:t>
      </w:r>
      <w:r w:rsidR="00C20C9B" w:rsidRPr="00C20C9B">
        <w:t xml:space="preserve">. </w:t>
      </w:r>
      <w:r w:rsidRPr="00C20C9B">
        <w:t>Общественная эффективность рассчитывается с учетом эффекта, достигаемого не только на железнодорожном транспорте, но и в других отраслях народного хозяйства</w:t>
      </w:r>
      <w:r w:rsidR="00C20C9B" w:rsidRPr="00C20C9B">
        <w:t xml:space="preserve">. </w:t>
      </w:r>
      <w:r w:rsidRPr="00C20C9B">
        <w:t>Коммерческая эффективность определяется эффектом, достигаемым на уровне отрасли, дороги или предприятия и используется для установления технико-экономической целесообразности диспетчеризации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Расчет коммерческой эффективности базируется на анализе разности между притоком и оттоком денежных средств от инвестиционной, операционной и финансовой деятельности</w:t>
      </w:r>
      <w:r w:rsidR="00C20C9B" w:rsidRPr="00C20C9B">
        <w:t xml:space="preserve">. </w:t>
      </w:r>
      <w:r w:rsidRPr="00C20C9B">
        <w:t>Показателями эффективности инноваций являются чистый дисконтированный доход (или интегральный эффект</w:t>
      </w:r>
      <w:r w:rsidR="00C20C9B" w:rsidRPr="00C20C9B">
        <w:t>),</w:t>
      </w:r>
      <w:r w:rsidRPr="00C20C9B">
        <w:t xml:space="preserve"> индекс доходности, внутренняя норма доходности, срок возврата (окупаемости</w:t>
      </w:r>
      <w:r w:rsidR="00C20C9B" w:rsidRPr="00C20C9B">
        <w:t xml:space="preserve">) </w:t>
      </w:r>
      <w:r w:rsidRPr="00C20C9B">
        <w:t>затрат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Расчеты эффективности централизации оперативного управления выполняются для следующих основных направлений диспетчеризации, реализуемых на сети железных дорог Российской Федерации</w:t>
      </w:r>
      <w:r w:rsidR="00C20C9B" w:rsidRPr="00C20C9B">
        <w:t xml:space="preserve">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 xml:space="preserve">замена существующих центральных постов компьютерными с сохранением традиционных линейных пунктов систем </w:t>
      </w:r>
      <w:r w:rsidR="00C20C9B" w:rsidRPr="00C20C9B">
        <w:t>"</w:t>
      </w:r>
      <w:r w:rsidRPr="00C20C9B">
        <w:t>Нева</w:t>
      </w:r>
      <w:r w:rsidR="00C20C9B" w:rsidRPr="00C20C9B">
        <w:t>"</w:t>
      </w:r>
      <w:r w:rsidRPr="00C20C9B">
        <w:t xml:space="preserve">, </w:t>
      </w:r>
      <w:r w:rsidR="00C20C9B" w:rsidRPr="00C20C9B">
        <w:t>"</w:t>
      </w:r>
      <w:r w:rsidRPr="00C20C9B">
        <w:t>Луч</w:t>
      </w:r>
      <w:r w:rsidR="00C20C9B" w:rsidRPr="00C20C9B">
        <w:t>"</w:t>
      </w:r>
      <w:r w:rsidRPr="00C20C9B">
        <w:t xml:space="preserve"> и ЧДЦ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оборудование участка компьютерной системой кодового управления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внедрение на участке компьютерной системы диспетчерского контроля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 первом случае определяется сравнительная экономическая эффективность с базовым вариантом</w:t>
      </w:r>
      <w:r w:rsidR="00C20C9B" w:rsidRPr="00C20C9B">
        <w:t xml:space="preserve"> - </w:t>
      </w:r>
      <w:r w:rsidRPr="00C20C9B">
        <w:t>ЦП традиционной ДЦ</w:t>
      </w:r>
      <w:r w:rsidR="00C20C9B" w:rsidRPr="00C20C9B">
        <w:t xml:space="preserve">. </w:t>
      </w:r>
      <w:r w:rsidRPr="00C20C9B">
        <w:t xml:space="preserve">При модернизации ЦП, </w:t>
      </w:r>
      <w:r w:rsidR="00C20C9B" w:rsidRPr="00C20C9B">
        <w:t xml:space="preserve">т.е. </w:t>
      </w:r>
      <w:r w:rsidRPr="00C20C9B">
        <w:t>замене компьютерными, капитальные вложения должны быть направлены на проектирование, К</w:t>
      </w:r>
      <w:r w:rsidR="001056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5.5pt">
            <v:imagedata r:id="rId7" o:title=""/>
          </v:shape>
        </w:pict>
      </w:r>
      <w:r w:rsidR="00C20C9B" w:rsidRPr="00C20C9B">
        <w:t xml:space="preserve">; </w:t>
      </w:r>
      <w:r w:rsidRPr="00C20C9B">
        <w:t>аппаратные средства К</w:t>
      </w:r>
      <w:r w:rsidR="0010561D">
        <w:pict>
          <v:shape id="_x0000_i1026" type="#_x0000_t75" style="width:15pt;height:25.5pt">
            <v:imagedata r:id="rId8" o:title=""/>
          </v:shape>
        </w:pict>
      </w:r>
      <w:r w:rsidRPr="00C20C9B">
        <w:t>, программное обеспечение К</w:t>
      </w:r>
      <w:r w:rsidR="0010561D">
        <w:pict>
          <v:shape id="_x0000_i1027" type="#_x0000_t75" style="width:14.25pt;height:24pt">
            <v:imagedata r:id="rId9" o:title=""/>
          </v:shape>
        </w:pict>
      </w:r>
      <w:r w:rsidRPr="00C20C9B">
        <w:t>, демонтаж оборудования старых систем К</w:t>
      </w:r>
      <w:r w:rsidR="0010561D">
        <w:pict>
          <v:shape id="_x0000_i1028" type="#_x0000_t75" style="width:15.75pt;height:20.25pt">
            <v:imagedata r:id="rId10" o:title=""/>
          </v:shape>
        </w:pict>
      </w:r>
      <w:r w:rsidR="00C20C9B" w:rsidRPr="00C20C9B">
        <w:t xml:space="preserve">; </w:t>
      </w:r>
      <w:r w:rsidRPr="00C20C9B">
        <w:t>монтажные работы компьютерных систем К</w:t>
      </w:r>
      <w:r w:rsidR="0010561D">
        <w:pict>
          <v:shape id="_x0000_i1029" type="#_x0000_t75" style="width:15pt;height:24.75pt">
            <v:imagedata r:id="rId11" o:title=""/>
          </v:shape>
        </w:pict>
      </w:r>
      <w:r w:rsidRPr="00C20C9B">
        <w:t>, пуско-наладочные работы</w:t>
      </w:r>
      <w:r w:rsidR="00C20C9B" w:rsidRPr="00C20C9B">
        <w:t xml:space="preserve"> </w:t>
      </w:r>
      <w:r w:rsidRPr="00C20C9B">
        <w:t>К</w:t>
      </w:r>
      <w:r w:rsidR="0010561D">
        <w:pict>
          <v:shape id="_x0000_i1030" type="#_x0000_t75" style="width:14.25pt;height:24pt">
            <v:imagedata r:id="rId12" o:title=""/>
          </v:shape>
        </w:pict>
      </w:r>
      <w:r w:rsidRPr="00C20C9B">
        <w:t>, обучение персонала К</w:t>
      </w:r>
      <w:r w:rsidR="0010561D">
        <w:pict>
          <v:shape id="_x0000_i1031" type="#_x0000_t75" style="width:14.25pt;height:24pt">
            <v:imagedata r:id="rId13" o:title=""/>
          </v:shape>
        </w:pict>
      </w:r>
      <w:r w:rsidR="00C20C9B" w:rsidRPr="00C20C9B">
        <w:t xml:space="preserve">. </w:t>
      </w:r>
    </w:p>
    <w:p w:rsidR="00C20C9B" w:rsidRDefault="000C6E06" w:rsidP="00C20C9B">
      <w:pPr>
        <w:widowControl w:val="0"/>
        <w:autoSpaceDE w:val="0"/>
        <w:autoSpaceDN w:val="0"/>
        <w:adjustRightInd w:val="0"/>
      </w:pPr>
      <w:r w:rsidRPr="00C20C9B">
        <w:t>Суммарные капитальные вложения</w:t>
      </w:r>
      <w:r w:rsidR="00C20C9B" w:rsidRPr="00C20C9B">
        <w:t xml:space="preserve">: </w:t>
      </w:r>
    </w:p>
    <w:p w:rsidR="00C20C9B" w:rsidRPr="00C20C9B" w:rsidRDefault="00C20C9B" w:rsidP="00C20C9B">
      <w:pPr>
        <w:widowControl w:val="0"/>
        <w:autoSpaceDE w:val="0"/>
        <w:autoSpaceDN w:val="0"/>
        <w:adjustRightInd w:val="0"/>
      </w:pPr>
    </w:p>
    <w:p w:rsidR="000C6E06" w:rsidRPr="00C20C9B" w:rsidRDefault="0010561D" w:rsidP="00C20C9B">
      <w:pPr>
        <w:widowControl w:val="0"/>
        <w:autoSpaceDE w:val="0"/>
        <w:autoSpaceDN w:val="0"/>
        <w:adjustRightInd w:val="0"/>
      </w:pPr>
      <w:r>
        <w:pict>
          <v:shape id="_x0000_i1032" type="#_x0000_t75" style="width:372pt;height:28.5pt">
            <v:imagedata r:id="rId14" o:title="" gain="2.5"/>
          </v:shape>
        </w:pict>
      </w:r>
    </w:p>
    <w:p w:rsidR="00C20C9B" w:rsidRDefault="00C20C9B" w:rsidP="00C20C9B">
      <w:pPr>
        <w:widowControl w:val="0"/>
        <w:autoSpaceDE w:val="0"/>
        <w:autoSpaceDN w:val="0"/>
        <w:adjustRightInd w:val="0"/>
      </w:pP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При этом эффективность составят</w:t>
      </w:r>
      <w:r w:rsidR="00C20C9B" w:rsidRPr="00C20C9B">
        <w:t xml:space="preserve">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остаточная стоимость демонтируемого оборудования Сост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уменьшение эксплуатационных расходов в результате сокращения численности обслуживающего персонала</w:t>
      </w:r>
      <w:r w:rsidR="00C20C9B" w:rsidRPr="00C20C9B">
        <w:t xml:space="preserve"> - </w:t>
      </w:r>
      <w:r w:rsidRPr="00C20C9B">
        <w:t>регулировщиков ремонтно-технологического участка благодаря ликвидации реле Сшн</w:t>
      </w:r>
      <w:r w:rsidR="00C20C9B" w:rsidRPr="00C20C9B">
        <w:t xml:space="preserve">; </w:t>
      </w:r>
      <w:r w:rsidRPr="00C20C9B">
        <w:t xml:space="preserve">снижения затрат на содержание площадей служебно-технических помещений (периодическое выполнение косметического ремонта, уборка, плата за обогрев и </w:t>
      </w:r>
      <w:r w:rsidR="00C20C9B" w:rsidRPr="00C20C9B">
        <w:t xml:space="preserve">т.д.) </w:t>
      </w:r>
      <w:r w:rsidRPr="00C20C9B">
        <w:t>С</w:t>
      </w:r>
      <w:r w:rsidR="0010561D">
        <w:pict>
          <v:shape id="_x0000_i1033" type="#_x0000_t75" style="width:18pt;height:29.25pt">
            <v:imagedata r:id="rId15" o:title=""/>
          </v:shape>
        </w:pict>
      </w:r>
      <w:r w:rsidR="00C20C9B" w:rsidRPr="00C20C9B">
        <w:t xml:space="preserve">; </w:t>
      </w:r>
      <w:r w:rsidRPr="00C20C9B">
        <w:t>уменьшения затрат на электроэнергию благодаря снижению энергопотребления как собственно в компьютерных системах, так и на освещение при сокращении площадей С</w:t>
      </w:r>
      <w:r w:rsidR="0010561D">
        <w:pict>
          <v:shape id="_x0000_i1034" type="#_x0000_t75" style="width:15.75pt;height:29.25pt">
            <v:imagedata r:id="rId16" o:title=""/>
          </v:shape>
        </w:pict>
      </w:r>
      <w:r w:rsidR="00C20C9B" w:rsidRPr="00C20C9B">
        <w:t xml:space="preserve">; </w:t>
      </w:r>
      <w:r w:rsidRPr="00C20C9B">
        <w:t xml:space="preserve">получения дополнительного дохода от высвобождаемых площадей (сдача в аренду, возможность использования для других устройств или размещения служебного персонала и </w:t>
      </w:r>
      <w:r w:rsidR="00C20C9B" w:rsidRPr="00C20C9B">
        <w:t xml:space="preserve">т.п.) </w:t>
      </w:r>
      <w:r w:rsidRPr="00C20C9B">
        <w:t>из-за небольших размеров и массы компьютерных систем Свп</w:t>
      </w:r>
      <w:r w:rsidR="00C20C9B" w:rsidRPr="00C20C9B">
        <w:t xml:space="preserve">; </w:t>
      </w:r>
      <w:r w:rsidRPr="00C20C9B">
        <w:t>снижения потерь в движении благодаря дальнейшей автоматизации и новым функциям при применении компьютерных средств Сдв</w:t>
      </w:r>
      <w:r w:rsidR="00C20C9B" w:rsidRPr="00C20C9B">
        <w:t xml:space="preserve">; </w:t>
      </w:r>
      <w:r w:rsidRPr="00C20C9B">
        <w:t>изменения амортизационных отчислений из-за уменьшения основных фондов Сам</w:t>
      </w:r>
      <w:r w:rsidR="00C20C9B" w:rsidRPr="00C20C9B">
        <w:t xml:space="preserve">. </w:t>
      </w:r>
    </w:p>
    <w:p w:rsidR="000C6E06" w:rsidRDefault="000C6E06" w:rsidP="00C20C9B">
      <w:pPr>
        <w:widowControl w:val="0"/>
        <w:autoSpaceDE w:val="0"/>
        <w:autoSpaceDN w:val="0"/>
        <w:adjustRightInd w:val="0"/>
      </w:pPr>
      <w:r w:rsidRPr="00C20C9B">
        <w:t>При новом строительстве ДЦ на участке к капитальным вложениям центрального поста добавляются затраты Кпл на строительство здания</w:t>
      </w:r>
      <w:r w:rsidR="00C20C9B" w:rsidRPr="00C20C9B">
        <w:t xml:space="preserve">. </w:t>
      </w:r>
      <w:r w:rsidRPr="00C20C9B">
        <w:t>Однако благодаря небольшим размерам новых компьютерных систем их удается разместить в существующих помещениях диспетчеров</w:t>
      </w:r>
      <w:r w:rsidR="00C20C9B" w:rsidRPr="00C20C9B">
        <w:t xml:space="preserve">. </w:t>
      </w:r>
      <w:r w:rsidRPr="00C20C9B">
        <w:t>Тогда</w:t>
      </w:r>
    </w:p>
    <w:p w:rsidR="00C20C9B" w:rsidRPr="00C20C9B" w:rsidRDefault="00C20C9B" w:rsidP="00C20C9B">
      <w:pPr>
        <w:widowControl w:val="0"/>
        <w:autoSpaceDE w:val="0"/>
        <w:autoSpaceDN w:val="0"/>
        <w:adjustRightInd w:val="0"/>
      </w:pPr>
    </w:p>
    <w:p w:rsidR="000C6E06" w:rsidRPr="00C20C9B" w:rsidRDefault="0010561D" w:rsidP="00C20C9B">
      <w:pPr>
        <w:widowControl w:val="0"/>
        <w:autoSpaceDE w:val="0"/>
        <w:autoSpaceDN w:val="0"/>
        <w:adjustRightInd w:val="0"/>
      </w:pPr>
      <w:r>
        <w:pict>
          <v:shape id="_x0000_i1035" type="#_x0000_t75" style="width:387.75pt;height:30.75pt">
            <v:imagedata r:id="rId17" o:title="" gain="2.5"/>
          </v:shape>
        </w:pict>
      </w:r>
    </w:p>
    <w:p w:rsidR="00C20C9B" w:rsidRDefault="00C20C9B" w:rsidP="00C20C9B">
      <w:pPr>
        <w:widowControl w:val="0"/>
        <w:autoSpaceDE w:val="0"/>
        <w:autoSpaceDN w:val="0"/>
        <w:adjustRightInd w:val="0"/>
      </w:pP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Капитальные вложения на станциях распределяются на проектирование контролируемых пунктов ДЦ, К</w:t>
      </w:r>
      <w:r w:rsidR="0010561D">
        <w:pict>
          <v:shape id="_x0000_i1036" type="#_x0000_t75" style="width:15.75pt;height:25.5pt">
            <v:imagedata r:id="rId18" o:title=""/>
          </v:shape>
        </w:pict>
      </w:r>
      <w:r w:rsidR="00C20C9B" w:rsidRPr="00C20C9B">
        <w:t xml:space="preserve">; </w:t>
      </w:r>
      <w:r w:rsidRPr="00C20C9B">
        <w:t>оборудование КП на станциях участка К</w:t>
      </w:r>
      <w:r w:rsidR="0010561D">
        <w:pict>
          <v:shape id="_x0000_i1037" type="#_x0000_t75" style="width:14.25pt;height:24pt">
            <v:imagedata r:id="rId19" o:title=""/>
          </v:shape>
        </w:pict>
      </w:r>
      <w:r w:rsidRPr="00C20C9B">
        <w:t xml:space="preserve">, программные средства КП К </w:t>
      </w:r>
      <w:r w:rsidR="0010561D">
        <w:pict>
          <v:shape id="_x0000_i1038" type="#_x0000_t75" style="width:15pt;height:21.75pt">
            <v:imagedata r:id="rId20" o:title=""/>
          </v:shape>
        </w:pict>
      </w:r>
      <w:r w:rsidR="00C20C9B" w:rsidRPr="00C20C9B">
        <w:t xml:space="preserve">; </w:t>
      </w:r>
      <w:r w:rsidRPr="00C20C9B">
        <w:t xml:space="preserve">монтажные работы К </w:t>
      </w:r>
      <w:r w:rsidR="0010561D">
        <w:pict>
          <v:shape id="_x0000_i1039" type="#_x0000_t75" style="width:15pt;height:24.75pt">
            <v:imagedata r:id="rId21" o:title=""/>
          </v:shape>
        </w:pict>
      </w:r>
      <w:r w:rsidR="00C20C9B" w:rsidRPr="00C20C9B">
        <w:t xml:space="preserve">; </w:t>
      </w:r>
      <w:r w:rsidRPr="00C20C9B">
        <w:t xml:space="preserve">пуско-наладочные работы К </w:t>
      </w:r>
      <w:r w:rsidR="0010561D">
        <w:pict>
          <v:shape id="_x0000_i1040" type="#_x0000_t75" style="width:17.25pt;height:24.75pt">
            <v:imagedata r:id="rId22" o:title=""/>
          </v:shape>
        </w:pict>
      </w:r>
      <w:r w:rsidRPr="00C20C9B">
        <w:t>, обучение обслуживающего персонала</w:t>
      </w:r>
      <w:r w:rsidR="00C20C9B" w:rsidRPr="00C20C9B">
        <w:t xml:space="preserve"> </w:t>
      </w:r>
      <w:r w:rsidRPr="00C20C9B">
        <w:t xml:space="preserve">К </w:t>
      </w:r>
      <w:r w:rsidR="0010561D">
        <w:pict>
          <v:shape id="_x0000_i1041" type="#_x0000_t75" style="width:15pt;height:24.75pt">
            <v:imagedata r:id="rId23" o:title=""/>
          </v:shape>
        </w:pict>
      </w:r>
      <w:r w:rsidR="00C20C9B" w:rsidRPr="00C20C9B">
        <w:t xml:space="preserve">. </w:t>
      </w:r>
    </w:p>
    <w:p w:rsidR="000C6E06" w:rsidRDefault="000C6E06" w:rsidP="00C20C9B">
      <w:pPr>
        <w:widowControl w:val="0"/>
        <w:autoSpaceDE w:val="0"/>
        <w:autoSpaceDN w:val="0"/>
        <w:adjustRightInd w:val="0"/>
      </w:pPr>
      <w:r w:rsidRPr="00C20C9B">
        <w:t>Общие капитальные вложения в устройства контролируемых пунктов участка</w:t>
      </w:r>
    </w:p>
    <w:p w:rsidR="00C20C9B" w:rsidRPr="00C20C9B" w:rsidRDefault="00C20C9B" w:rsidP="00C20C9B">
      <w:pPr>
        <w:widowControl w:val="0"/>
        <w:autoSpaceDE w:val="0"/>
        <w:autoSpaceDN w:val="0"/>
        <w:adjustRightInd w:val="0"/>
      </w:pPr>
    </w:p>
    <w:p w:rsidR="000C6E06" w:rsidRPr="00C20C9B" w:rsidRDefault="0010561D" w:rsidP="00C20C9B">
      <w:pPr>
        <w:widowControl w:val="0"/>
        <w:autoSpaceDE w:val="0"/>
        <w:autoSpaceDN w:val="0"/>
        <w:adjustRightInd w:val="0"/>
      </w:pPr>
      <w:r>
        <w:pict>
          <v:shape id="_x0000_i1042" type="#_x0000_t75" style="width:350.25pt;height:30pt">
            <v:imagedata r:id="rId24" o:title="" gain="136533f"/>
          </v:shape>
        </w:pic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где</w:t>
      </w:r>
      <w:r w:rsidR="00C20C9B" w:rsidRPr="00C20C9B">
        <w:t xml:space="preserve">: </w:t>
      </w:r>
      <w:r w:rsidRPr="00C20C9B">
        <w:t>т</w:t>
      </w:r>
      <w:r w:rsidR="00C20C9B" w:rsidRPr="00C20C9B">
        <w:t xml:space="preserve"> - </w:t>
      </w:r>
      <w:r w:rsidRPr="00C20C9B">
        <w:t>число станций участка</w:t>
      </w:r>
      <w:r w:rsidR="00C20C9B" w:rsidRPr="00C20C9B">
        <w:t xml:space="preserve">. </w:t>
      </w:r>
    </w:p>
    <w:p w:rsidR="00C20C9B" w:rsidRDefault="00C20C9B" w:rsidP="00C20C9B">
      <w:pPr>
        <w:widowControl w:val="0"/>
        <w:autoSpaceDE w:val="0"/>
        <w:autoSpaceDN w:val="0"/>
        <w:adjustRightInd w:val="0"/>
      </w:pP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Размеры составляющих капитальных вложений рассчитываются отдельно для каждой станции и определяются числом объектов управления, контроля и телеизмерения, что зависит от размеров станции (числа стрелок</w:t>
      </w:r>
      <w:r w:rsidR="00C20C9B" w:rsidRPr="00C20C9B">
        <w:t xml:space="preserve">) </w:t>
      </w:r>
      <w:r w:rsidRPr="00C20C9B">
        <w:t>и вида управления (диспетчерское, автономное</w:t>
      </w:r>
      <w:r w:rsidR="00C20C9B" w:rsidRPr="00C20C9B">
        <w:t xml:space="preserve">).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Эксплуатационные расходы при оборудовании участка ДЦ определяются</w:t>
      </w:r>
      <w:r w:rsidR="00C20C9B" w:rsidRPr="00C20C9B">
        <w:t xml:space="preserve">: </w:t>
      </w:r>
      <w:r w:rsidRPr="00C20C9B">
        <w:t>потерями в движении Сп</w:t>
      </w:r>
      <w:r w:rsidR="00C20C9B" w:rsidRPr="00C20C9B">
        <w:t xml:space="preserve">; </w:t>
      </w:r>
      <w:r w:rsidRPr="00C20C9B">
        <w:t>затратами на электроэнергию Сэ</w:t>
      </w:r>
      <w:r w:rsidR="00C20C9B" w:rsidRPr="00C20C9B">
        <w:t xml:space="preserve">; </w:t>
      </w:r>
      <w:r w:rsidRPr="00C20C9B">
        <w:t>расходами на тепло Ст, материалы См, амортизационными отчислениями Са</w:t>
      </w:r>
      <w:r w:rsidR="00C20C9B" w:rsidRPr="00C20C9B">
        <w:t xml:space="preserve">; </w:t>
      </w:r>
      <w:r w:rsidRPr="00C20C9B">
        <w:t>расходами на зарплату работников дистанции сигнализации и связи Сш, службы движения Сд, на содержание помещений ДСП на станциях Спл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 xml:space="preserve">С внедрением компьютерных систем ДЦ благодаря реализации новых функций достигается сокращение потерь в движении, обусловленных ошибками персонала и нерациональной организацией порядка пропуска поездов вследствие ограничений информационного обеспечения традиционных систем ДЦ с </w:t>
      </w:r>
      <w:r w:rsidR="00C20C9B" w:rsidRPr="00C20C9B">
        <w:t>"</w:t>
      </w:r>
      <w:r w:rsidRPr="00C20C9B">
        <w:t>жесткой</w:t>
      </w:r>
      <w:r w:rsidR="00C20C9B" w:rsidRPr="00C20C9B">
        <w:t>"</w:t>
      </w:r>
      <w:r w:rsidRPr="00C20C9B">
        <w:t xml:space="preserve"> логикой</w:t>
      </w:r>
      <w:r w:rsidR="00C20C9B" w:rsidRPr="00C20C9B">
        <w:t xml:space="preserve">. </w:t>
      </w:r>
      <w:r w:rsidRPr="00C20C9B">
        <w:t xml:space="preserve">Этот эксплуатационный эффект достигается автоматизацией новых функций ДЦ (слежение за продвижением поездов и трансляция их номеров, прогнозирование хода технологического процесса в увязке с выполняемой маневровой работой на участке, а также с учетом реальных ограничений (уменьшение полезной длины путей, закрытие участков, действующие ограничения скорости, </w:t>
      </w:r>
      <w:r w:rsidR="00C20C9B" w:rsidRPr="00C20C9B">
        <w:t>"</w:t>
      </w:r>
      <w:r w:rsidRPr="00C20C9B">
        <w:t>окна</w:t>
      </w:r>
      <w:r w:rsidR="00C20C9B" w:rsidRPr="00C20C9B">
        <w:t>"</w:t>
      </w:r>
      <w:r w:rsidRPr="00C20C9B">
        <w:t xml:space="preserve"> особенности путевого развития станций</w:t>
      </w:r>
      <w:r w:rsidR="00C20C9B" w:rsidRPr="00C20C9B">
        <w:t xml:space="preserve">) </w:t>
      </w:r>
      <w:r w:rsidRPr="00C20C9B">
        <w:t>на основе фактически исполненного графика движения</w:t>
      </w:r>
      <w:r w:rsidR="00C20C9B" w:rsidRPr="00C20C9B">
        <w:t xml:space="preserve">). </w:t>
      </w:r>
      <w:r w:rsidRPr="00C20C9B">
        <w:t>Кроме того, в современных системах ДЦ реализуются функции подсказки и речевого информирования об отказах и предотказных состояниях устройств в результате диагностирования, что обеспечивает принятие упреждающих организационных мероприятий по исключению задержек в перевозочном процессе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Обеспечение функции контроля хода технологического процесса на смежных полигонах позволяет оптимизировать подвод поездов, работу локомотивов и бригад не на одном участке, а на расширенном полигоне регионального центра управления в целом</w:t>
      </w:r>
      <w:r w:rsidR="00C20C9B" w:rsidRPr="00C20C9B">
        <w:t xml:space="preserve">. </w:t>
      </w:r>
      <w:r w:rsidRPr="00C20C9B">
        <w:t xml:space="preserve">Автоматизация управляющих функций в новых системах (автодействие сигналов, АУМ, </w:t>
      </w:r>
      <w:r w:rsidR="00C20C9B" w:rsidRPr="00C20C9B">
        <w:t>"</w:t>
      </w:r>
      <w:r w:rsidRPr="00C20C9B">
        <w:t>автопилот</w:t>
      </w:r>
      <w:r w:rsidR="00C20C9B" w:rsidRPr="00C20C9B">
        <w:t xml:space="preserve">") </w:t>
      </w:r>
      <w:r w:rsidRPr="00C20C9B">
        <w:t>обеспечивает своевременность пропуска поездов, уменьшает время их дополнительных остановок</w:t>
      </w:r>
      <w:r w:rsidR="00C20C9B" w:rsidRPr="00C20C9B">
        <w:t xml:space="preserve">. </w:t>
      </w:r>
      <w:r w:rsidRPr="00C20C9B">
        <w:t>Сокращение потерь в движении как составляющая экономического эффекта диспетчеризации наиболее значима и обеспечивает снижение не</w:t>
      </w:r>
      <w:r w:rsidR="00F32DC2">
        <w:t xml:space="preserve"> </w:t>
      </w:r>
      <w:r w:rsidRPr="00C20C9B">
        <w:t>только текущих издержек, но и капитальных вложении в подвижной состав, поскольку рациональное использование ресурсов обеспечивает выполнение объема перевозок меньшим парком вагонов и локомотивов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Внедрение систем ДЦ влечет изменение структуры затрат на электроэнергию</w:t>
      </w:r>
      <w:r w:rsidR="00C20C9B" w:rsidRPr="00C20C9B">
        <w:t xml:space="preserve">. </w:t>
      </w:r>
      <w:r w:rsidRPr="00C20C9B">
        <w:t>С одной стороны, с внедрением контролируемых пунктов ДЦ и АРМов диспетчерского персонала потребление электроэнергии возрастает</w:t>
      </w:r>
      <w:r w:rsidR="00C20C9B" w:rsidRPr="00C20C9B">
        <w:t xml:space="preserve">. </w:t>
      </w:r>
      <w:r w:rsidRPr="00C20C9B">
        <w:t>Однако, с другой стороны, с переводом станций на кодовое управление уменьшается потребление электроэнергии на станциях, что связано с выключением табло ЭЦ, а также освещения в аппаратной у дежурного по станции</w:t>
      </w:r>
      <w:r w:rsidR="00C20C9B" w:rsidRPr="00C20C9B">
        <w:t xml:space="preserve">. </w:t>
      </w:r>
      <w:r w:rsidRPr="00C20C9B">
        <w:t>Учитывая низкую потребляемую мощность современными средствами вычислительной техники, в итоге обеспечивается экономия электроэнергии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При переводе на диспетчерское управление сокращаются затраты на обогрев помещений на постах ЭЦ промежуточных станций</w:t>
      </w:r>
      <w:r w:rsidR="00C20C9B" w:rsidRPr="00C20C9B">
        <w:t xml:space="preserve">. </w:t>
      </w:r>
      <w:r w:rsidRPr="00C20C9B">
        <w:t>Экономический эффект определяется разностью потребления тепла при круглосуточном нахождении на станции персонала дежурных (необходимо поддерживать температуру не менее +18°С</w:t>
      </w:r>
      <w:r w:rsidR="00C20C9B" w:rsidRPr="00C20C9B">
        <w:t xml:space="preserve">) </w:t>
      </w:r>
      <w:r w:rsidRPr="00C20C9B">
        <w:t>после перевода станции на диспетчерское управление согласно действующим нормам для нормального функционирования постовой аппаратуры СЦБ температура должна быть не менее +5°С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Внедрение на участке кодового управления сопровождается ростом технической оснащенности и влечет увеличение эксплуатационных затрат на материалы и амортизационные отчисления</w:t>
      </w:r>
      <w:r w:rsidR="00C20C9B" w:rsidRPr="00C20C9B">
        <w:t xml:space="preserve">. </w:t>
      </w:r>
      <w:r w:rsidRPr="00C20C9B">
        <w:t>Особенность составляют программные средства, стоимость которых и включается в основные средства</w:t>
      </w:r>
      <w:r w:rsidR="00C20C9B" w:rsidRPr="00C20C9B">
        <w:t xml:space="preserve">. </w:t>
      </w:r>
      <w:r w:rsidRPr="00C20C9B">
        <w:t>Поэтому См и Са определяются от стоимости основных фондов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При этом также, обеспечивающих ремонт и обслуживание увеличивается штат работников дистанции сигнализации и связи устройств ДЦ</w:t>
      </w:r>
      <w:r w:rsidR="00C20C9B" w:rsidRPr="00C20C9B">
        <w:t xml:space="preserve">. </w:t>
      </w:r>
      <w:r w:rsidRPr="00C20C9B">
        <w:t>Дополнительная численность персонала определяется с учетом используемой элементной базы и технических особенностей внедряемой системы</w:t>
      </w:r>
      <w:r w:rsidR="00C20C9B" w:rsidRPr="00C20C9B">
        <w:t xml:space="preserve">. </w:t>
      </w:r>
      <w:r w:rsidRPr="00C20C9B">
        <w:t>Прежде всего, в расчете учитывается обслуживающий персонал центрального поста с обеспечением сменного дежурства</w:t>
      </w:r>
      <w:r w:rsidR="00C20C9B" w:rsidRPr="00C20C9B">
        <w:t xml:space="preserve">. </w:t>
      </w:r>
      <w:r w:rsidRPr="00C20C9B">
        <w:t xml:space="preserve">Резервирование технических средств КП и применение необслуживаемых средств вычислительной техники в системах ДЦ </w:t>
      </w:r>
      <w:r w:rsidR="00C20C9B" w:rsidRPr="00C20C9B">
        <w:t>"</w:t>
      </w:r>
      <w:r w:rsidRPr="00C20C9B">
        <w:t>Тракт</w:t>
      </w:r>
      <w:r w:rsidR="00C20C9B" w:rsidRPr="00C20C9B">
        <w:t>"</w:t>
      </w:r>
      <w:r w:rsidRPr="00C20C9B">
        <w:t xml:space="preserve"> ДЦ-МПК не требует дополнительного персонала на линии для выполнения</w:t>
      </w:r>
      <w:r w:rsidR="00C20C9B" w:rsidRPr="00C20C9B">
        <w:t xml:space="preserve"> </w:t>
      </w:r>
      <w:r w:rsidRPr="00C20C9B">
        <w:t>работ</w:t>
      </w:r>
      <w:r w:rsidR="00C20C9B" w:rsidRPr="00C20C9B">
        <w:t xml:space="preserve"> </w:t>
      </w:r>
      <w:r w:rsidRPr="00C20C9B">
        <w:t>по</w:t>
      </w:r>
      <w:r w:rsidR="00C20C9B" w:rsidRPr="00C20C9B">
        <w:t xml:space="preserve"> </w:t>
      </w:r>
      <w:r w:rsidRPr="00C20C9B">
        <w:t>профилактическому</w:t>
      </w:r>
      <w:r w:rsidR="00C20C9B" w:rsidRPr="00C20C9B">
        <w:t xml:space="preserve"> </w:t>
      </w:r>
      <w:r w:rsidRPr="00C20C9B">
        <w:t>обслуживанию 376</w:t>
      </w:r>
      <w:r w:rsidR="00C20C9B">
        <w:t xml:space="preserve"> </w:t>
      </w:r>
      <w:r w:rsidRPr="00C20C9B">
        <w:t>устройств</w:t>
      </w:r>
      <w:r w:rsidR="00C20C9B" w:rsidRPr="00C20C9B">
        <w:t xml:space="preserve">. </w:t>
      </w:r>
      <w:r w:rsidRPr="00C20C9B">
        <w:t xml:space="preserve">Наличие в системе ДЦ </w:t>
      </w:r>
      <w:r w:rsidR="00C20C9B" w:rsidRPr="00C20C9B">
        <w:t>"</w:t>
      </w:r>
      <w:r w:rsidRPr="00C20C9B">
        <w:t>Сетунь</w:t>
      </w:r>
      <w:r w:rsidR="00C20C9B" w:rsidRPr="00C20C9B">
        <w:t>"</w:t>
      </w:r>
      <w:r w:rsidRPr="00C20C9B">
        <w:t xml:space="preserve"> переходного релейного статива для дешифрации команд ТУ требует дополнительных затрат на обслуживание и проверку реле в РТУ дистанции С </w:t>
      </w:r>
      <w:r w:rsidR="0010561D">
        <w:pict>
          <v:shape id="_x0000_i1043" type="#_x0000_t75" style="width:25.5pt;height:27.75pt">
            <v:imagedata r:id="rId25" o:title=""/>
          </v:shape>
        </w:pic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 то же время сокращается численность персонала службы движения</w:t>
      </w:r>
      <w:r w:rsidR="00C20C9B" w:rsidRPr="00C20C9B">
        <w:t xml:space="preserve"> - </w:t>
      </w:r>
      <w:r w:rsidRPr="00C20C9B">
        <w:t>ДСП (на промежуточных станциях и разъездах, передаваемых на диспетчерское управление</w:t>
      </w:r>
      <w:r w:rsidR="00C20C9B" w:rsidRPr="00C20C9B">
        <w:t xml:space="preserve">). </w:t>
      </w:r>
      <w:r w:rsidRPr="00C20C9B">
        <w:t>Причем некорректным является включение в расчет эффективности ДЦ сокращение численности стрелочников, поскольку эта составляющая относится к ЭЦ</w:t>
      </w:r>
      <w:r w:rsidR="00C20C9B" w:rsidRPr="00C20C9B">
        <w:t xml:space="preserve">. </w:t>
      </w:r>
      <w:r w:rsidRPr="00C20C9B">
        <w:t>Этот эффект следует учитывать при расчетах эффективности капитальных вложений в целом, с учетом строительства ЭЦ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 xml:space="preserve">Поскольку в основном режиме дежурные на станциях отсутствуют, также сокращаются эксплуатационные расходы на содержание помещений ДСП (уборка, косметический ремонт, расходные материалы и </w:t>
      </w:r>
      <w:r w:rsidR="00C20C9B" w:rsidRPr="00C20C9B">
        <w:t xml:space="preserve">т.п.). </w:t>
      </w:r>
    </w:p>
    <w:p w:rsidR="000C6E06" w:rsidRDefault="000C6E06" w:rsidP="00C20C9B">
      <w:pPr>
        <w:widowControl w:val="0"/>
        <w:autoSpaceDE w:val="0"/>
        <w:autoSpaceDN w:val="0"/>
        <w:adjustRightInd w:val="0"/>
      </w:pPr>
      <w:r w:rsidRPr="00C20C9B">
        <w:t>При внедрении систем диспетчерского контроля составляющие капитальных вложений на центральном посту и станциях такие же, как и при внедрении ДЦ</w:t>
      </w:r>
      <w:r w:rsidR="00C20C9B" w:rsidRPr="00C20C9B">
        <w:t xml:space="preserve">. </w:t>
      </w:r>
      <w:r w:rsidRPr="00C20C9B">
        <w:t>Дополнительно при внедрении диспетчерского контроля в состав капитальных вложений включаются аналогичные стоимости диагностирования и мониторинга К</w:t>
      </w:r>
      <w:r w:rsidR="0010561D">
        <w:pict>
          <v:shape id="_x0000_i1044" type="#_x0000_t75" style="width:19.5pt;height:24pt">
            <v:imagedata r:id="rId26" o:title=""/>
          </v:shape>
        </w:pict>
      </w:r>
      <w:r w:rsidRPr="00C20C9B">
        <w:t xml:space="preserve"> перегонных устройств СЦБ</w:t>
      </w:r>
      <w:r w:rsidR="00C20C9B" w:rsidRPr="00C20C9B">
        <w:t xml:space="preserve"> - </w:t>
      </w:r>
      <w:r w:rsidRPr="00C20C9B">
        <w:t>сигнальных установок проходных светофоров автоблокировки и переездных установок</w:t>
      </w:r>
      <w:r w:rsidR="00C20C9B" w:rsidRPr="00C20C9B">
        <w:t xml:space="preserve">. </w:t>
      </w:r>
      <w:r w:rsidRPr="00C20C9B">
        <w:t>Для каждой из составляющих включают соответственно расходы на проектирование, аппаратные средства, программное обеспечение, монтаж и пусконаладочные работы, а также на обучение обслуживающего персонала</w:t>
      </w:r>
      <w:r w:rsidR="00C20C9B" w:rsidRPr="00C20C9B">
        <w:t xml:space="preserve">: </w:t>
      </w:r>
    </w:p>
    <w:p w:rsidR="00C20C9B" w:rsidRPr="00C20C9B" w:rsidRDefault="00C20C9B" w:rsidP="00C20C9B">
      <w:pPr>
        <w:widowControl w:val="0"/>
        <w:autoSpaceDE w:val="0"/>
        <w:autoSpaceDN w:val="0"/>
        <w:adjustRightInd w:val="0"/>
      </w:pPr>
    </w:p>
    <w:p w:rsidR="000C6E06" w:rsidRPr="00C20C9B" w:rsidRDefault="0010561D" w:rsidP="00C20C9B">
      <w:pPr>
        <w:widowControl w:val="0"/>
        <w:autoSpaceDE w:val="0"/>
        <w:autoSpaceDN w:val="0"/>
        <w:adjustRightInd w:val="0"/>
      </w:pPr>
      <w:r>
        <w:pict>
          <v:shape id="_x0000_i1045" type="#_x0000_t75" style="width:276.75pt;height:87pt">
            <v:imagedata r:id="rId27" o:title=""/>
          </v:shape>
        </w:pic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где</w:t>
      </w:r>
      <w:r w:rsidR="00C20C9B" w:rsidRPr="00C20C9B">
        <w:t xml:space="preserve">: </w:t>
      </w:r>
      <w:r w:rsidRPr="00C20C9B">
        <w:t>п</w:t>
      </w:r>
      <w:r w:rsidR="00C20C9B" w:rsidRPr="00C20C9B">
        <w:t xml:space="preserve"> - </w:t>
      </w:r>
      <w:r w:rsidRPr="00C20C9B">
        <w:t>число переездов</w:t>
      </w:r>
      <w:r w:rsidR="00C20C9B" w:rsidRPr="00C20C9B">
        <w:t xml:space="preserve">; </w:t>
      </w:r>
      <w:r w:rsidRPr="00C20C9B">
        <w:t>к</w:t>
      </w:r>
      <w:r w:rsidR="00C20C9B" w:rsidRPr="00C20C9B">
        <w:t xml:space="preserve"> - </w:t>
      </w:r>
      <w:r w:rsidRPr="00C20C9B">
        <w:t>число сигнальных точек</w:t>
      </w:r>
      <w:r w:rsidR="00C20C9B" w:rsidRPr="00C20C9B">
        <w:t xml:space="preserve">. </w:t>
      </w:r>
    </w:p>
    <w:p w:rsidR="00C20C9B" w:rsidRDefault="00C20C9B" w:rsidP="00C20C9B">
      <w:pPr>
        <w:widowControl w:val="0"/>
        <w:autoSpaceDE w:val="0"/>
        <w:autoSpaceDN w:val="0"/>
        <w:adjustRightInd w:val="0"/>
      </w:pP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Изменение эксплуатационных расходов составят</w:t>
      </w:r>
      <w:r w:rsidR="00C20C9B" w:rsidRPr="00C20C9B">
        <w:t xml:space="preserve">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уменьшение потерь в движении вследствие сокращения задержек поездов благодаря возможности своевременного обнаружения и предотвращения отказов устройств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сокращение потерь в движении из-за предоставления диспетчерскому персоналу информации о реальной поездной ситуации на участке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увеличение расходов на зарплату штата работников дистанции сигнализации и связи Сш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рост затрат на электроэнергию С</w:t>
      </w:r>
      <w:r w:rsidR="0010561D">
        <w:pict>
          <v:shape id="_x0000_i1046" type="#_x0000_t75" style="width:12.75pt;height:34.5pt">
            <v:imagedata r:id="rId28" o:title=""/>
          </v:shape>
        </w:pict>
      </w:r>
      <w:r w:rsidRPr="00C20C9B">
        <w:t xml:space="preserve"> амортизационные отчисления Са, материалы С</w:t>
      </w:r>
      <w:r w:rsidR="0010561D">
        <w:pict>
          <v:shape id="_x0000_i1047" type="#_x0000_t75" style="width:16.5pt;height:33pt">
            <v:imagedata r:id="rId29" o:title=""/>
          </v:shape>
        </w:pict>
      </w:r>
      <w:r w:rsidR="00C20C9B" w:rsidRPr="00C20C9B">
        <w:t xml:space="preserve">. </w:t>
      </w:r>
    </w:p>
    <w:p w:rsidR="00C20C9B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Результаты расчетов технико-экономической эффективности (на примере системы ДЦ-МПК</w:t>
      </w:r>
      <w:r w:rsidR="00C20C9B" w:rsidRPr="00C20C9B">
        <w:t xml:space="preserve">) </w:t>
      </w:r>
      <w:r w:rsidRPr="00C20C9B">
        <w:t>наглядно отражает график движения денежных средств (</w:t>
      </w:r>
      <w:r w:rsidR="00C20C9B">
        <w:t>рис.1</w:t>
      </w:r>
      <w:r w:rsidR="00C20C9B" w:rsidRPr="00C20C9B">
        <w:t>),</w:t>
      </w:r>
      <w:r w:rsidRPr="00C20C9B">
        <w:t xml:space="preserve"> при этом практические вычисления показателей окупаемости внедрения компьютерных диспетчерских систем показывают наибольшую целесообразность внедрения систем с кодовым управлением станциями участка</w:t>
      </w:r>
      <w:r w:rsidR="00C20C9B" w:rsidRPr="00C20C9B">
        <w:t xml:space="preserve">. </w:t>
      </w:r>
    </w:p>
    <w:p w:rsidR="000C6E06" w:rsidRPr="00C20C9B" w:rsidRDefault="0010561D" w:rsidP="00C20C9B">
      <w:pPr>
        <w:widowControl w:val="0"/>
        <w:autoSpaceDE w:val="0"/>
        <w:autoSpaceDN w:val="0"/>
        <w:adjustRightInd w:val="0"/>
      </w:pPr>
      <w:r>
        <w:pict>
          <v:shape id="_x0000_i1048" type="#_x0000_t75" style="width:333.75pt;height:360.75pt">
            <v:imagedata r:id="rId30" o:title=""/>
          </v:shape>
        </w:pict>
      </w:r>
    </w:p>
    <w:p w:rsidR="00C20C9B" w:rsidRDefault="00C20C9B" w:rsidP="00C20C9B">
      <w:pPr>
        <w:widowControl w:val="0"/>
        <w:autoSpaceDE w:val="0"/>
        <w:autoSpaceDN w:val="0"/>
        <w:adjustRightInd w:val="0"/>
      </w:pPr>
    </w:p>
    <w:p w:rsidR="000C6E06" w:rsidRPr="00C20C9B" w:rsidRDefault="00A03E65" w:rsidP="00C20C9B">
      <w:pPr>
        <w:pStyle w:val="2"/>
      </w:pPr>
      <w:r>
        <w:br w:type="page"/>
      </w:r>
      <w:r w:rsidR="000C6E06" w:rsidRPr="00C20C9B">
        <w:t>2</w:t>
      </w:r>
      <w:r w:rsidR="00C20C9B" w:rsidRPr="00C20C9B">
        <w:t xml:space="preserve">. </w:t>
      </w:r>
      <w:r w:rsidR="000C6E06" w:rsidRPr="00C20C9B">
        <w:t>Внедрение</w:t>
      </w:r>
      <w:r w:rsidR="00C20C9B">
        <w:t xml:space="preserve"> </w:t>
      </w:r>
      <w:r w:rsidR="000C6E06" w:rsidRPr="00C20C9B">
        <w:t>компьютерных диспетчерских систем</w:t>
      </w:r>
    </w:p>
    <w:p w:rsidR="00C20C9B" w:rsidRDefault="00C20C9B" w:rsidP="00C20C9B">
      <w:pPr>
        <w:widowControl w:val="0"/>
        <w:autoSpaceDE w:val="0"/>
        <w:autoSpaceDN w:val="0"/>
        <w:adjustRightInd w:val="0"/>
      </w:pP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Общие положения</w:t>
      </w:r>
      <w:r w:rsidR="00C20C9B" w:rsidRPr="00C20C9B">
        <w:t xml:space="preserve">. </w:t>
      </w:r>
      <w:r w:rsidRPr="00C20C9B">
        <w:t>В соответствии с инструкцией ЦШ-604 диспетчерская система должна пройти предварительные и эксплуатационные испытания и затем быть принята в постоянную эксплуатацию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До ввода в опытную эксплуатацию устройств диспетчерского (кодового</w:t>
      </w:r>
      <w:r w:rsidR="00C20C9B" w:rsidRPr="00C20C9B">
        <w:t xml:space="preserve">) </w:t>
      </w:r>
      <w:r w:rsidRPr="00C20C9B">
        <w:t>управления в соответствии с установленным порядком должны быть разработаны и утверждены инструкции о порядке пользования устройствами</w:t>
      </w:r>
      <w:r w:rsidR="00C20C9B" w:rsidRPr="00C20C9B">
        <w:t xml:space="preserve">. </w:t>
      </w:r>
      <w:r w:rsidRPr="00C20C9B">
        <w:t>С заполнением журнала по утвержденным программам и методикам проводятся обучение и прием экзаменов у эксплуатационного и технического персонала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По завершении монтажных и пуско-наладочных работ для подготовки к эксплуатационным испытаниям по согласованию с ЦШ МПС создается рабочая комиссия</w:t>
      </w:r>
      <w:r w:rsidR="00C20C9B" w:rsidRPr="00C20C9B">
        <w:t xml:space="preserve">. </w:t>
      </w:r>
      <w:r w:rsidRPr="00C20C9B">
        <w:t>Состав рабочей комиссии определяется начальником отделения железной дороги</w:t>
      </w:r>
      <w:r w:rsidR="00C20C9B" w:rsidRPr="00C20C9B">
        <w:t xml:space="preserve">. </w:t>
      </w:r>
      <w:r w:rsidRPr="00C20C9B">
        <w:t>В нее входят работники хозяйств сигнализации и связи, движения и электроснабжения, а также другие работники, обеспечивающие внедрение ДЦ, в том числе представители разработчика</w:t>
      </w:r>
      <w:r w:rsidR="00C20C9B" w:rsidRPr="00C20C9B">
        <w:t xml:space="preserve">. </w:t>
      </w:r>
      <w:r w:rsidRPr="00C20C9B">
        <w:t>Председателем комиссии, как правило, должен назначаться главный инженер отделения дороги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Рабочая комиссия определяет соответствие устройств ДЦ нормативной и проектной документации</w:t>
      </w:r>
      <w:r w:rsidR="00C20C9B" w:rsidRPr="00C20C9B">
        <w:t xml:space="preserve">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на центральном посту проверяются соответствие проекту автоматизированного рабочего места поездного диспетчера, обеспеченность диспетчера устройствами связи и другими, без которых невозможно нормальное функционирование устройств диспетчерской централизации</w:t>
      </w:r>
      <w:r w:rsidR="00C20C9B" w:rsidRPr="00C20C9B">
        <w:t xml:space="preserve">; </w:t>
      </w:r>
      <w:r w:rsidRPr="00C20C9B">
        <w:t>соответствие используемых в АРМе поездного диспетчера условных графических отображений и индикации требованиям ОСТ 3</w:t>
      </w:r>
      <w:r w:rsidR="00C20C9B">
        <w:t>2.1</w:t>
      </w:r>
      <w:r w:rsidRPr="00C20C9B">
        <w:t>11</w:t>
      </w:r>
      <w:r w:rsidR="00C20C9B" w:rsidRPr="00C20C9B">
        <w:t>-</w:t>
      </w:r>
      <w:r w:rsidRPr="00C20C9B">
        <w:t>98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питающие устройства, для определения соответствия нормативным требованиям обеспечения поста ДЦ электроэнергией</w:t>
      </w:r>
      <w:r w:rsidR="00C20C9B" w:rsidRPr="00C20C9B">
        <w:t xml:space="preserve">. </w:t>
      </w:r>
      <w:r w:rsidRPr="00C20C9B">
        <w:t>Предварительно питающие устройства должны быть проверены, отрегулированы и опробованы под нагрузкой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наличие двух фидеров переменного тока, переключение питания при пропадании напряжения на одном из них, индикацию на вводной панели, а также работоспособность источников бесперебойного питания с испытаниями продолжительности их работы и напряжений срабатывания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автоматический запуск дизель-генератора, если по условиям электроснабжения по проекту предусмотрена его установка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сопротивление изоляции монтажа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 линейном тракте измеряются параметры каналов передачи данных, в том числе уровни сигналов и скорость передачи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Для проверки правильности функционирования аппаратуры центрального поста и линейных (контролируемых</w:t>
      </w:r>
      <w:r w:rsidR="00C20C9B" w:rsidRPr="00C20C9B">
        <w:t xml:space="preserve">) </w:t>
      </w:r>
      <w:r w:rsidRPr="00C20C9B">
        <w:t>пунктов диспетчерской централизации рабочая комиссия делится на две группы</w:t>
      </w:r>
      <w:r w:rsidR="00C20C9B" w:rsidRPr="00C20C9B">
        <w:t xml:space="preserve">. </w:t>
      </w:r>
      <w:r w:rsidRPr="00C20C9B">
        <w:t>Одна из них должна находиться во время проверки на ПУ, другая</w:t>
      </w:r>
      <w:r w:rsidR="00C20C9B" w:rsidRPr="00C20C9B">
        <w:t xml:space="preserve"> - </w:t>
      </w:r>
      <w:r w:rsidRPr="00C20C9B">
        <w:t>на проверяемом контролируемом пункте</w:t>
      </w:r>
      <w:r w:rsidR="00C20C9B" w:rsidRPr="00C20C9B">
        <w:t xml:space="preserve">. </w:t>
      </w:r>
      <w:r w:rsidRPr="00C20C9B">
        <w:t>В каждой группе должны быть специалисты хозяйств сигнализации и связи, движения и представители разработчика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На этом этапе проверяется правильность отображения на мониторах или табло диспетчера</w:t>
      </w:r>
      <w:r w:rsidR="00C20C9B" w:rsidRPr="00C20C9B">
        <w:t xml:space="preserve">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положения стрелок в маршруте, потери контроля положения стрелок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свободности или занятости путей и стрелочных путевых участков, а также участков приближения и удаления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замыкания трассы маршрута, в том числе охранных стрелок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разрешающего показания поездных и маневровых светофоров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других объектов, предусмотренных таблицей сигналов ТС для данного КП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Проверка соответствия фактического положения контролируемых объектов отображению у поездного диспетчера может выполняться сравнением с индикацией на табло у дежурного по станции</w:t>
      </w:r>
      <w:r w:rsidR="00C20C9B" w:rsidRPr="00C20C9B">
        <w:t xml:space="preserve">. </w:t>
      </w:r>
      <w:r w:rsidRPr="00C20C9B">
        <w:t>При этом взаимодействие двух групп на КП и ПУ осуществляется посредством переговоров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Правильность функционирования устройств ПУ и КП при передаче команд управления проверяется по контрольной информации, передаваемой КП</w:t>
      </w:r>
      <w:r w:rsidR="00C20C9B" w:rsidRPr="00C20C9B">
        <w:t xml:space="preserve">. </w:t>
      </w:r>
      <w:r w:rsidRPr="00C20C9B">
        <w:t>Выполняются проверки передачи команд с использованием всех предусмотренных в системе органов управления (</w:t>
      </w:r>
      <w:r w:rsidR="00C20C9B" w:rsidRPr="00C20C9B">
        <w:t>"</w:t>
      </w:r>
      <w:r w:rsidRPr="00C20C9B">
        <w:t>мыши</w:t>
      </w:r>
      <w:r w:rsidR="00C20C9B" w:rsidRPr="00C20C9B">
        <w:t>"</w:t>
      </w:r>
      <w:r w:rsidRPr="00C20C9B">
        <w:t xml:space="preserve">, </w:t>
      </w:r>
      <w:r w:rsidR="00C20C9B" w:rsidRPr="00C20C9B">
        <w:t>"</w:t>
      </w:r>
      <w:r w:rsidRPr="00C20C9B">
        <w:t>трекбола</w:t>
      </w:r>
      <w:r w:rsidR="00C20C9B" w:rsidRPr="00C20C9B">
        <w:t>"</w:t>
      </w:r>
      <w:r w:rsidRPr="00C20C9B">
        <w:t>, клавиатуры общего назначения или специализированной, пульта-манипулятора или другого управляющего аппарата ПУ</w:t>
      </w:r>
      <w:r w:rsidR="00C20C9B" w:rsidRPr="00C20C9B">
        <w:t>),</w:t>
      </w:r>
      <w:r w:rsidRPr="00C20C9B">
        <w:t xml:space="preserve"> измеряются временные характеристики реакции системы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Результаты измерений и проверок оформляются в виде таблиц, подписываются членами комиссии, принимавшими участие в проверке, и утверждаются председателем комиссии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По окончании работы рабочей комиссии оформляются акт и протокол, подтверждающие готовность устройств к проведению испытаний</w:t>
      </w:r>
      <w:r w:rsidR="00C20C9B" w:rsidRPr="00C20C9B">
        <w:t xml:space="preserve"> </w:t>
      </w:r>
      <w:r w:rsidRPr="00C20C9B">
        <w:t>по</w:t>
      </w:r>
      <w:r w:rsidR="00C20C9B" w:rsidRPr="00C20C9B">
        <w:t xml:space="preserve"> </w:t>
      </w:r>
      <w:r w:rsidRPr="00C20C9B">
        <w:t>вводу в</w:t>
      </w:r>
      <w:r w:rsidR="00C20C9B" w:rsidRPr="00C20C9B">
        <w:t xml:space="preserve"> </w:t>
      </w:r>
      <w:r w:rsidRPr="00C20C9B">
        <w:t>опытную эксплуатацию</w:t>
      </w:r>
      <w:r w:rsidR="00C20C9B" w:rsidRPr="00C20C9B">
        <w:t xml:space="preserve">. </w:t>
      </w:r>
      <w:r w:rsidRPr="00C20C9B">
        <w:t>На</w:t>
      </w:r>
      <w:r w:rsidR="00C20C9B" w:rsidRPr="00C20C9B">
        <w:t xml:space="preserve"> </w:t>
      </w:r>
      <w:r w:rsidRPr="00C20C9B">
        <w:t>основании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уведомления дороги о готовности к опытной эксплуатации (адрес 13</w:t>
      </w:r>
      <w:r w:rsidR="00C20C9B" w:rsidRPr="00C20C9B">
        <w:t xml:space="preserve">) </w:t>
      </w:r>
      <w:r w:rsidRPr="00C20C9B">
        <w:t>МГТС назначает комиссию по вводу устройств ДЦ в опытную эксплуатацию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Комиссия проверяет</w:t>
      </w:r>
      <w:r w:rsidR="00C20C9B" w:rsidRPr="00C20C9B">
        <w:t xml:space="preserve">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полноту и соответствие</w:t>
      </w:r>
      <w:r w:rsidR="00A03E65">
        <w:t xml:space="preserve"> технической документации требо</w:t>
      </w:r>
      <w:r w:rsidRPr="00C20C9B">
        <w:t xml:space="preserve">ваниям Инструкции ЦШ-604, а также проекту документа </w:t>
      </w:r>
      <w:r w:rsidR="00C20C9B" w:rsidRPr="00C20C9B">
        <w:t>"</w:t>
      </w:r>
      <w:r w:rsidRPr="00C20C9B">
        <w:t>Доказательство безопасности системы</w:t>
      </w:r>
      <w:r w:rsidR="00C20C9B" w:rsidRPr="00C20C9B">
        <w:t xml:space="preserve">";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результаты работы рабочей комиссии (пр</w:t>
      </w:r>
      <w:r w:rsidR="00A03E65">
        <w:t>оверочные табли</w:t>
      </w:r>
      <w:r w:rsidRPr="00C20C9B">
        <w:t xml:space="preserve">цы, протоколы, акты, соответствие измерений нормам и </w:t>
      </w:r>
      <w:r w:rsidR="00C20C9B">
        <w:t>др.)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индикацию контролируем</w:t>
      </w:r>
      <w:r w:rsidR="00A03E65">
        <w:t>ых объектов с указанием в прото</w:t>
      </w:r>
      <w:r w:rsidRPr="00C20C9B">
        <w:t>коле соответствия изображения требованиям ОСТ 3</w:t>
      </w:r>
      <w:r w:rsidR="00C20C9B">
        <w:t>2.1</w:t>
      </w:r>
      <w:r w:rsidRPr="00C20C9B">
        <w:t>11</w:t>
      </w:r>
      <w:r w:rsidR="00C20C9B" w:rsidRPr="00C20C9B">
        <w:t>-</w:t>
      </w:r>
      <w:r w:rsidRPr="00C20C9B">
        <w:t>98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правильность формирования, прохождения и исполнения команд управления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соответствие функций системы требованиям технического задания на систему и ОСТ 3</w:t>
      </w:r>
      <w:r w:rsidR="00C20C9B">
        <w:t>2.1</w:t>
      </w:r>
      <w:r w:rsidRPr="00C20C9B">
        <w:t>12</w:t>
      </w:r>
      <w:r w:rsidR="00C20C9B" w:rsidRPr="00C20C9B">
        <w:t>-</w:t>
      </w:r>
      <w:r w:rsidRPr="00C20C9B">
        <w:t>98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обнаружение прекращения поступления известительных сигналов с фиксацией времени реакции системы сравнением его с допустимой нормой (до 1 мин</w:t>
      </w:r>
      <w:r w:rsidR="00C20C9B" w:rsidRPr="00C20C9B">
        <w:t xml:space="preserve">);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комплектность ЗИП оборудования (в объеме не менее 10</w:t>
      </w:r>
      <w:r w:rsidR="00C20C9B" w:rsidRPr="00C20C9B">
        <w:t>%</w:t>
      </w:r>
      <w:r w:rsidR="00C20C9B">
        <w:t xml:space="preserve"> </w:t>
      </w:r>
      <w:r w:rsidRPr="00C20C9B">
        <w:t>номенклатуры используемых изделий</w:t>
      </w:r>
      <w:r w:rsidR="00C20C9B" w:rsidRPr="00C20C9B">
        <w:t xml:space="preserve">) </w:t>
      </w:r>
      <w:r w:rsidRPr="00C20C9B">
        <w:t>и инсталляционных дискет (не менее двух комплектов</w:t>
      </w:r>
      <w:r w:rsidR="00C20C9B" w:rsidRPr="00C20C9B">
        <w:t xml:space="preserve">) </w:t>
      </w:r>
      <w:r w:rsidRPr="00C20C9B">
        <w:t>с программным обеспечением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готовность обслуживающего и оперативного персонала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Допускается выборочная проверка по пп</w:t>
      </w:r>
      <w:r w:rsidR="00C20C9B">
        <w:t>.3</w:t>
      </w:r>
      <w:r w:rsidRPr="00C20C9B">
        <w:t xml:space="preserve"> и 4 в объеме, допускаемом складывающейся поездной обстановкой с учетом ранее выполненных полных проверок рабочей комиссией</w:t>
      </w:r>
      <w:r w:rsidR="00C20C9B" w:rsidRPr="00C20C9B">
        <w:t xml:space="preserve">. </w:t>
      </w:r>
      <w:r w:rsidRPr="00C20C9B">
        <w:t>При вводе устройств в постоянную эксплуатацию дополнительно выполняются</w:t>
      </w:r>
      <w:r w:rsidR="00C20C9B" w:rsidRPr="00C20C9B">
        <w:t xml:space="preserve">: </w:t>
      </w:r>
      <w:r w:rsidRPr="00C20C9B">
        <w:t>анализ работы устройств за период опытной эксплуатации</w:t>
      </w:r>
      <w:r w:rsidR="00C20C9B" w:rsidRPr="00C20C9B">
        <w:t xml:space="preserve">; </w:t>
      </w:r>
      <w:r w:rsidRPr="00C20C9B">
        <w:t>проверка соответствия требованиям стандарта проекта технических условий на элементы ДЦ и наличие регистрации программного обеспечения в филиале отраслевого фонда алгоритмов и программ МПС по системам железнодорожной автоматики и телемеханики (филиал ОФАП МПС России СЖАТ</w:t>
      </w:r>
      <w:r w:rsidR="00C20C9B" w:rsidRPr="00C20C9B">
        <w:t xml:space="preserve">). </w:t>
      </w:r>
    </w:p>
    <w:p w:rsidR="00C20C9B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После опытной эксплуатации устройств МПС назначается приемочная комиссия по включению устройств в промышленную (постоянную</w:t>
      </w:r>
      <w:r w:rsidR="00C20C9B" w:rsidRPr="00C20C9B">
        <w:t xml:space="preserve">) </w:t>
      </w:r>
      <w:r w:rsidRPr="00C20C9B">
        <w:t>эксплуатацию</w:t>
      </w:r>
      <w:r w:rsidR="00C20C9B" w:rsidRPr="00C20C9B">
        <w:t xml:space="preserve">. </w:t>
      </w:r>
      <w:r w:rsidRPr="00C20C9B">
        <w:t>На основании результатов ее работы оформляются акты и протоколы, а также</w:t>
      </w:r>
      <w:r w:rsidR="00C20C9B">
        <w:t xml:space="preserve"> </w:t>
      </w:r>
      <w:r w:rsidRPr="00C20C9B">
        <w:t>уведомление (адрес 14</w:t>
      </w:r>
      <w:r w:rsidR="00C20C9B" w:rsidRPr="00C20C9B">
        <w:t xml:space="preserve">). </w:t>
      </w:r>
      <w:r w:rsidRPr="00C20C9B">
        <w:t>В выводах акта комиссии указывается целесообразность серийного производства системы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Методы доказательства уровней безопасности и организация работ по экспертизе</w:t>
      </w:r>
      <w:r w:rsidR="00C20C9B" w:rsidRPr="00C20C9B">
        <w:t xml:space="preserve">. </w:t>
      </w:r>
      <w:r w:rsidRPr="00C20C9B">
        <w:t xml:space="preserve">В соответствии с законами РФ </w:t>
      </w:r>
      <w:r w:rsidR="00C20C9B" w:rsidRPr="00C20C9B">
        <w:t>"</w:t>
      </w:r>
      <w:r w:rsidRPr="00C20C9B">
        <w:t>О защите прав потребителей</w:t>
      </w:r>
      <w:r w:rsidR="00C20C9B" w:rsidRPr="00C20C9B">
        <w:t>"</w:t>
      </w:r>
      <w:r w:rsidRPr="00C20C9B">
        <w:t xml:space="preserve">, </w:t>
      </w:r>
      <w:r w:rsidR="00C20C9B" w:rsidRPr="00C20C9B">
        <w:t>"</w:t>
      </w:r>
      <w:r w:rsidRPr="00C20C9B">
        <w:t>О сертификации продукции и услуг</w:t>
      </w:r>
      <w:r w:rsidR="00C20C9B" w:rsidRPr="00C20C9B">
        <w:t>"</w:t>
      </w:r>
      <w:r w:rsidRPr="00C20C9B">
        <w:t xml:space="preserve">, </w:t>
      </w:r>
      <w:r w:rsidR="00C20C9B" w:rsidRPr="00C20C9B">
        <w:t>"</w:t>
      </w:r>
      <w:r w:rsidRPr="00C20C9B">
        <w:t>О федеральном железнодорожном транспорте</w:t>
      </w:r>
      <w:r w:rsidR="00C20C9B" w:rsidRPr="00C20C9B">
        <w:t>"</w:t>
      </w:r>
      <w:r w:rsidRPr="00C20C9B">
        <w:t xml:space="preserve"> должна проводиться обязательная сертификация технических средств железнодорожного транспорта на соответствие требованиям безопасности, охраны труда и экологической чистоты, установленным в нормативных документах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 xml:space="preserve">С этой целью Департаментом сигнализации, централизации и блокировки был разработан комплекс нормативных документов </w:t>
      </w:r>
      <w:r w:rsidR="00C20C9B" w:rsidRPr="00C20C9B">
        <w:t>"</w:t>
      </w:r>
      <w:r w:rsidRPr="00C20C9B">
        <w:t>Безопасность железнодорожной автоматики и телемеханики</w:t>
      </w:r>
      <w:r w:rsidR="00C20C9B" w:rsidRPr="00C20C9B">
        <w:t xml:space="preserve">".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На основании этих документов проводятся экспертиза и испытания систем и устройств на безопасность, что позволяет обоснованно утверждать, обеспечивают или нет разрабатываемые системы железнодорожной автоматики и телемеханики требуемый уровень безопасности</w:t>
      </w:r>
      <w:r w:rsidR="00C20C9B" w:rsidRPr="00C20C9B">
        <w:t xml:space="preserve">. </w:t>
      </w:r>
      <w:r w:rsidRPr="00C20C9B">
        <w:t>Экспертиза на безопасность является первым этапом выполнения сертификационных работ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Экспертизу проводят для оценки выполнения количественных и качественных требований по безопасности</w:t>
      </w:r>
      <w:r w:rsidR="00C20C9B" w:rsidRPr="00C20C9B">
        <w:t xml:space="preserve">. </w:t>
      </w:r>
      <w:r w:rsidRPr="00C20C9B">
        <w:t>Основные задачи экспертизы</w:t>
      </w:r>
      <w:r w:rsidR="00C20C9B" w:rsidRPr="00C20C9B">
        <w:t xml:space="preserve">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проверка правильности и полноты определения качественных и количественных требований (норм</w:t>
      </w:r>
      <w:r w:rsidR="00C20C9B" w:rsidRPr="00C20C9B">
        <w:t xml:space="preserve">) </w:t>
      </w:r>
      <w:r w:rsidRPr="00C20C9B">
        <w:t>безопасности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проверка полноты и качества документации, а также правильности (безошибочности</w:t>
      </w:r>
      <w:r w:rsidR="00C20C9B" w:rsidRPr="00C20C9B">
        <w:t xml:space="preserve">) </w:t>
      </w:r>
      <w:r w:rsidRPr="00C20C9B">
        <w:t>функционирования системы и ее элементов</w:t>
      </w:r>
      <w:r w:rsidR="00C20C9B" w:rsidRPr="00C20C9B">
        <w:t xml:space="preserve">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проверка правильности расчета показателей безопасности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анализ корректности и полноты критериев опасных отказов изделия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анализ программно-аппаратных решений на безопасность</w:t>
      </w:r>
      <w:r w:rsidR="00C20C9B" w:rsidRPr="00C20C9B">
        <w:t xml:space="preserve">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анализ доказательства безопасности устройства (системы</w:t>
      </w:r>
      <w:r w:rsidR="00C20C9B" w:rsidRPr="00C20C9B">
        <w:t xml:space="preserve">):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анализ методик и программ испытаний на безопасность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разработка предложений (при необходимости</w:t>
      </w:r>
      <w:r w:rsidR="00C20C9B" w:rsidRPr="00C20C9B">
        <w:t xml:space="preserve">) </w:t>
      </w:r>
      <w:r w:rsidRPr="00C20C9B">
        <w:t>по корректировке требований безопасности</w:t>
      </w:r>
      <w:r w:rsidR="00C20C9B" w:rsidRPr="00C20C9B">
        <w:t xml:space="preserve">; </w:t>
      </w:r>
      <w:r w:rsidRPr="00C20C9B">
        <w:t>расчетных показателей безопасности</w:t>
      </w:r>
      <w:r w:rsidR="00C20C9B" w:rsidRPr="00C20C9B">
        <w:t xml:space="preserve">; </w:t>
      </w:r>
      <w:r w:rsidRPr="00C20C9B">
        <w:t>доказательства безопасности</w:t>
      </w:r>
      <w:r w:rsidR="00C20C9B" w:rsidRPr="00C20C9B">
        <w:t xml:space="preserve">; </w:t>
      </w:r>
      <w:r w:rsidRPr="00C20C9B">
        <w:t>методик и программ испытаний на безопасность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Показатели безопасности следует рассчитывать по методикам, утвержденным ЦШ МПС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Экспертизу на безопасность проводят, как правило, головные или базовые организации по сертификации (по видам техники</w:t>
      </w:r>
      <w:r w:rsidR="00C20C9B" w:rsidRPr="00C20C9B">
        <w:t>),</w:t>
      </w:r>
      <w:r w:rsidRPr="00C20C9B">
        <w:t xml:space="preserve"> если они не являются разработчиками изделия, предъявленного на экспертизу</w:t>
      </w:r>
      <w:r w:rsidR="00C20C9B" w:rsidRPr="00C20C9B">
        <w:t xml:space="preserve">. </w:t>
      </w:r>
      <w:r w:rsidRPr="00C20C9B">
        <w:t>Порядок, место, сроки, а также необходимость составления графика проведения экспертиз устанавливает МПС или по его поручению разработчики изделия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 соответствии с Порядком сертификации средств железнодорожной автоматики и телемеханики экспертиза осуществляется на каждой из стадий разработки</w:t>
      </w:r>
      <w:r w:rsidR="00C20C9B" w:rsidRPr="00C20C9B">
        <w:t xml:space="preserve">: </w:t>
      </w:r>
      <w:r w:rsidRPr="00C20C9B">
        <w:t>технического задания, эскизного проекта, технического проекта, рабочей документации и ввода в действие опытного образца</w:t>
      </w:r>
      <w:r w:rsidR="00C20C9B" w:rsidRPr="00C20C9B">
        <w:t xml:space="preserve">. </w:t>
      </w:r>
      <w:r w:rsidRPr="00C20C9B">
        <w:t>Разработчики и эксперты (контролеры</w:t>
      </w:r>
      <w:r w:rsidR="00C20C9B" w:rsidRPr="00C20C9B">
        <w:t xml:space="preserve">) </w:t>
      </w:r>
      <w:r w:rsidRPr="00C20C9B">
        <w:t>должны работать параллельно на каждом этапе разработки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Кроме документации, представляемой разработчиком в соответствии со стадией разработки изделия, для экспертизы дополнительно представляются следующие документы</w:t>
      </w:r>
      <w:r w:rsidR="00C20C9B" w:rsidRPr="00C20C9B">
        <w:t xml:space="preserve">: </w:t>
      </w:r>
      <w:r w:rsidRPr="00C20C9B">
        <w:t>техническое задание на разработку изделия</w:t>
      </w:r>
      <w:r w:rsidR="00C20C9B" w:rsidRPr="00C20C9B">
        <w:t xml:space="preserve">; </w:t>
      </w:r>
      <w:r w:rsidRPr="00C20C9B">
        <w:t>программа обеспечения безопасности (ПОБ</w:t>
      </w:r>
      <w:r w:rsidR="00C20C9B" w:rsidRPr="00C20C9B">
        <w:t xml:space="preserve">); </w:t>
      </w:r>
      <w:r w:rsidRPr="00C20C9B">
        <w:t>проектная оценка показателей безопасности</w:t>
      </w:r>
      <w:r w:rsidR="00C20C9B" w:rsidRPr="00C20C9B">
        <w:t xml:space="preserve">; </w:t>
      </w:r>
      <w:r w:rsidRPr="00C20C9B">
        <w:t>доказательство безопасности</w:t>
      </w:r>
      <w:r w:rsidR="00C20C9B" w:rsidRPr="00C20C9B">
        <w:t xml:space="preserve">; </w:t>
      </w:r>
      <w:r w:rsidRPr="00C20C9B">
        <w:t>справка об использовании элементов, блоков и узлов, имеющих сертификат безопасности</w:t>
      </w:r>
      <w:r w:rsidR="00C20C9B" w:rsidRPr="00C20C9B">
        <w:t xml:space="preserve">; </w:t>
      </w:r>
      <w:r w:rsidRPr="00C20C9B">
        <w:t>перечень использованных при разработке</w:t>
      </w:r>
      <w:r w:rsidR="00C20C9B" w:rsidRPr="00C20C9B">
        <w:t xml:space="preserve"> </w:t>
      </w:r>
      <w:r w:rsidRPr="00C20C9B">
        <w:t>государственных и отраслевых нормативных документов, регламентирующих вопросы безопасности изделий</w:t>
      </w:r>
      <w:r w:rsidR="00C20C9B" w:rsidRPr="00C20C9B">
        <w:t xml:space="preserve">; </w:t>
      </w:r>
      <w:r w:rsidRPr="00C20C9B">
        <w:t>материал о реализации выводов и предложений экспертизы, проведенной на предыдущих стадиях разработки изделия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Программа обеспечения безопасности определяет перечень мероприятий, позволяющих гарантировать высокий уровень безопасности и охватывающих все этапы жизненного цикла системы или устройства ЖАТ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Отчет по ПОБ позволяет судить об обоснованности выбранных решений по безопасности</w:t>
      </w:r>
      <w:r w:rsidR="00C20C9B" w:rsidRPr="00C20C9B">
        <w:t xml:space="preserve">. </w:t>
      </w:r>
      <w:r w:rsidRPr="00C20C9B">
        <w:t xml:space="preserve">Отчет по ПОБ входит в документ </w:t>
      </w:r>
      <w:r w:rsidR="00C20C9B" w:rsidRPr="00C20C9B">
        <w:t>"</w:t>
      </w:r>
      <w:r w:rsidRPr="00C20C9B">
        <w:t>Доказательство безопасности</w:t>
      </w:r>
      <w:r w:rsidR="00C20C9B" w:rsidRPr="00C20C9B">
        <w:t>"</w:t>
      </w:r>
      <w:r w:rsidRPr="00C20C9B">
        <w:t xml:space="preserve"> и является одним из основных документов при проведении экспертизы на безопасность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Организация, проводящая экспертизу, при необходимости более полного рассмотрения отдельных вопросов безопасности может затребовать дополнительные материалы или ознакомиться с ними у разработчика изделия,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Для проведения экспертизы МПС или по его поручению головной (базовой</w:t>
      </w:r>
      <w:r w:rsidR="00C20C9B" w:rsidRPr="00C20C9B">
        <w:t xml:space="preserve">) </w:t>
      </w:r>
      <w:r w:rsidRPr="00C20C9B">
        <w:t>организацией по сертификации (по видам техники</w:t>
      </w:r>
      <w:r w:rsidR="00C20C9B" w:rsidRPr="00C20C9B">
        <w:t xml:space="preserve">) </w:t>
      </w:r>
      <w:r w:rsidRPr="00C20C9B">
        <w:t>создается</w:t>
      </w:r>
      <w:r w:rsidR="00C20C9B" w:rsidRPr="00C20C9B">
        <w:t xml:space="preserve"> </w:t>
      </w:r>
      <w:r w:rsidRPr="00C20C9B">
        <w:t>экспертная</w:t>
      </w:r>
      <w:r w:rsidR="00C20C9B" w:rsidRPr="00C20C9B">
        <w:t xml:space="preserve"> </w:t>
      </w:r>
      <w:r w:rsidRPr="00C20C9B">
        <w:t>комиссия</w:t>
      </w:r>
      <w:r w:rsidR="00C20C9B" w:rsidRPr="00C20C9B">
        <w:t xml:space="preserve"> </w:t>
      </w:r>
      <w:r w:rsidRPr="00C20C9B">
        <w:t>из</w:t>
      </w:r>
      <w:r w:rsidR="00C20C9B" w:rsidRPr="00C20C9B">
        <w:t xml:space="preserve"> </w:t>
      </w:r>
      <w:r w:rsidRPr="00C20C9B">
        <w:t>числа</w:t>
      </w:r>
      <w:r w:rsidR="00C20C9B" w:rsidRPr="00C20C9B">
        <w:t xml:space="preserve"> </w:t>
      </w:r>
      <w:r w:rsidRPr="00C20C9B">
        <w:t>ведущих</w:t>
      </w:r>
      <w:r w:rsidR="00C20C9B" w:rsidRPr="00C20C9B">
        <w:t xml:space="preserve">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специалистов</w:t>
      </w:r>
      <w:r w:rsidR="00C20C9B" w:rsidRPr="00C20C9B">
        <w:t xml:space="preserve">. </w:t>
      </w:r>
      <w:r w:rsidRPr="00C20C9B">
        <w:t>При необходимости организация-разработчик выделяет специалистов для консультации экспертной комиссии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Выводы и предложения экспертизы включаются в экспертное заключение</w:t>
      </w:r>
      <w:r w:rsidR="00C20C9B" w:rsidRPr="00C20C9B">
        <w:t xml:space="preserve">. </w:t>
      </w:r>
      <w:r w:rsidRPr="00C20C9B">
        <w:t>Разработчик при получении заключения экспертизы должен рассмотреть выводы и предложения и откорректировать рабочую документацию</w:t>
      </w:r>
      <w:r w:rsidR="00C20C9B" w:rsidRPr="00C20C9B">
        <w:t xml:space="preserve">. </w:t>
      </w:r>
      <w:r w:rsidRPr="00C20C9B">
        <w:t>Решение разработчика о принятии выводов и предложений или обоснование отклонения его отдельных пунктов направляется в организацию, проводившую экспертизу, или в МПС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При наличии разногласий по результатам экспертизы между комиссией и разработчиком окончательное решение принимает МПС или организация, им уполномоченная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 xml:space="preserve">Результаты работ по экспертизе являются основой для составления документа </w:t>
      </w:r>
      <w:r w:rsidR="00C20C9B" w:rsidRPr="00C20C9B">
        <w:t>"</w:t>
      </w:r>
      <w:r w:rsidRPr="00C20C9B">
        <w:t>Доказательство безопасности при реализации ответственных команд</w:t>
      </w:r>
      <w:r w:rsidR="00C20C9B" w:rsidRPr="00C20C9B">
        <w:t xml:space="preserve">". </w:t>
      </w:r>
    </w:p>
    <w:p w:rsidR="00C20C9B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С точки зрения возможности допуска к опытной и постоянной эксплуатации разрабатываемых систем ДЦ в зависимости от степени готовности работ по доказательству безопасности при передаче ответственных команд можно выделить четыре этапа внедрения</w:t>
      </w:r>
      <w:r w:rsidR="00C20C9B" w:rsidRPr="00C20C9B">
        <w:t xml:space="preserve">: </w:t>
      </w:r>
    </w:p>
    <w:p w:rsidR="00C20C9B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Использование опытных образцов на участках железных дорог по технологии, не требующей передачи ответственных команд, например на двух</w:t>
      </w:r>
      <w:r w:rsidR="00C20C9B" w:rsidRPr="00C20C9B">
        <w:t xml:space="preserve"> - </w:t>
      </w:r>
      <w:r w:rsidRPr="00C20C9B">
        <w:t xml:space="preserve">и многопутных участках с односторонней автоблокировкой, а также аппаратуры компьютерных центральных постов, работающих с линейными пунктами эксплуатируемых систем </w:t>
      </w:r>
      <w:r w:rsidR="00C20C9B" w:rsidRPr="00C20C9B">
        <w:t>"</w:t>
      </w:r>
      <w:r w:rsidRPr="00C20C9B">
        <w:t>Нева</w:t>
      </w:r>
      <w:r w:rsidR="00C20C9B" w:rsidRPr="00C20C9B">
        <w:t>"</w:t>
      </w:r>
      <w:r w:rsidRPr="00C20C9B">
        <w:t xml:space="preserve"> и </w:t>
      </w:r>
      <w:r w:rsidR="00C20C9B" w:rsidRPr="00C20C9B">
        <w:t>"</w:t>
      </w:r>
      <w:r w:rsidRPr="00C20C9B">
        <w:t>Луч</w:t>
      </w:r>
      <w:r w:rsidR="00C20C9B" w:rsidRPr="00C20C9B">
        <w:t xml:space="preserve">". </w:t>
      </w:r>
    </w:p>
    <w:p w:rsidR="00C20C9B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 xml:space="preserve">Использование опытных образцов на малодеятельных участках железных дорог для систем ДЦ, процесс доказательства безопасности передачи ответственных команд которых не окончен, а также микроэлектронной аппаратуры линейных постов, работающих в протоколе передачи сигналов ТУ-ТС эксплуатируемых систем </w:t>
      </w:r>
      <w:r w:rsidR="00C20C9B" w:rsidRPr="00C20C9B">
        <w:t>"</w:t>
      </w:r>
      <w:r w:rsidRPr="00C20C9B">
        <w:t>Нева</w:t>
      </w:r>
      <w:r w:rsidR="00C20C9B" w:rsidRPr="00C20C9B">
        <w:t>"</w:t>
      </w:r>
      <w:r w:rsidRPr="00C20C9B">
        <w:t xml:space="preserve"> и </w:t>
      </w:r>
      <w:r w:rsidR="00C20C9B" w:rsidRPr="00C20C9B">
        <w:t>"</w:t>
      </w:r>
      <w:r w:rsidRPr="00C20C9B">
        <w:t>Луч</w:t>
      </w:r>
      <w:r w:rsidR="00C20C9B" w:rsidRPr="00C20C9B">
        <w:t xml:space="preserve">".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 xml:space="preserve">Использование опытных образцов на участках железных дорог для систем ДЦ, требования безопасности которых при передаче в телемеханическом канале, а также в аппаратуре центральных и линейных постов подтверждены в документе </w:t>
      </w:r>
      <w:r w:rsidR="00C20C9B" w:rsidRPr="00C20C9B">
        <w:t>"</w:t>
      </w:r>
      <w:r w:rsidRPr="00C20C9B">
        <w:t>Доказательство безопасности</w:t>
      </w:r>
      <w:r w:rsidR="00C20C9B" w:rsidRPr="00C20C9B">
        <w:t>"</w:t>
      </w:r>
      <w:r w:rsidRPr="00C20C9B">
        <w:t>, согласованном с организацией, проводящей экспертизу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Использование на участках железных дорог систем ДЦ, имеющих сертификат, выданный на соответствие требованиям</w:t>
      </w:r>
      <w:r w:rsidR="00A03E65">
        <w:t xml:space="preserve"> </w:t>
      </w:r>
      <w:r w:rsidRPr="00C20C9B">
        <w:t>безопасности при реализации ответственных команд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После проведения опытной эксплуатации систем ДЦ проводятся собственно сертификационные испытания, результатом которых является выдача сертификата соответствия на безопасность системы</w:t>
      </w:r>
      <w:r w:rsidR="00C20C9B" w:rsidRPr="00C20C9B">
        <w:t xml:space="preserve">. </w:t>
      </w:r>
    </w:p>
    <w:p w:rsidR="00A03E65" w:rsidRDefault="00A03E65" w:rsidP="00C20C9B">
      <w:pPr>
        <w:widowControl w:val="0"/>
        <w:autoSpaceDE w:val="0"/>
        <w:autoSpaceDN w:val="0"/>
        <w:adjustRightInd w:val="0"/>
      </w:pPr>
    </w:p>
    <w:p w:rsidR="000C6E06" w:rsidRPr="00C20C9B" w:rsidRDefault="00A03E65" w:rsidP="00A03E65">
      <w:pPr>
        <w:pStyle w:val="2"/>
      </w:pPr>
      <w:r>
        <w:br w:type="page"/>
      </w:r>
      <w:r w:rsidR="000C6E06" w:rsidRPr="00C20C9B">
        <w:t>3</w:t>
      </w:r>
      <w:r w:rsidR="00C20C9B" w:rsidRPr="00C20C9B">
        <w:t xml:space="preserve">. </w:t>
      </w:r>
      <w:r w:rsidR="000C6E06" w:rsidRPr="00C20C9B">
        <w:t>Методы обслуживания</w:t>
      </w:r>
    </w:p>
    <w:p w:rsidR="00A03E65" w:rsidRDefault="00A03E65" w:rsidP="00C20C9B">
      <w:pPr>
        <w:widowControl w:val="0"/>
        <w:autoSpaceDE w:val="0"/>
        <w:autoSpaceDN w:val="0"/>
        <w:adjustRightInd w:val="0"/>
      </w:pPr>
    </w:p>
    <w:p w:rsidR="000C6E06" w:rsidRPr="00C20C9B" w:rsidRDefault="00A03E65" w:rsidP="00A03E65">
      <w:pPr>
        <w:pStyle w:val="2"/>
      </w:pPr>
      <w:r>
        <w:t xml:space="preserve">3.1 </w:t>
      </w:r>
      <w:r w:rsidR="000C6E06" w:rsidRPr="00C20C9B">
        <w:t>Испытательное и сервисное оборудование</w:t>
      </w:r>
    </w:p>
    <w:p w:rsidR="00A03E65" w:rsidRDefault="00A03E65" w:rsidP="00C20C9B">
      <w:pPr>
        <w:widowControl w:val="0"/>
        <w:autoSpaceDE w:val="0"/>
        <w:autoSpaceDN w:val="0"/>
        <w:adjustRightInd w:val="0"/>
      </w:pP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Техническое обслуживание призвано обеспечить работоспособность устройств, состояние которых должно соответствовать требованиям ПТЭ и инструкций по техническому обслуживанию</w:t>
      </w:r>
      <w:r w:rsidR="00C20C9B" w:rsidRPr="00C20C9B">
        <w:t xml:space="preserve">. </w:t>
      </w:r>
      <w:r w:rsidRPr="00C20C9B">
        <w:t>Техническое обслуживание, ремонт и устранение отказов систем диспетчерской централизации выполняются работниками дистанции сигнализации и связи с соблюдением требований нормативной базы отрасли (инструкций и указаний</w:t>
      </w:r>
      <w:r w:rsidR="00C20C9B" w:rsidRPr="00C20C9B">
        <w:t>),</w:t>
      </w:r>
      <w:r w:rsidRPr="00C20C9B">
        <w:t xml:space="preserve"> а также в соответствии с утвержденными технологическими картами и руководством по эксплуатации системы, разрабатываемых с учетом ее особенностей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Для обеспечения надежной работы устройств ДЦ большое значение имеет качество регулирования сигналов ТУ и ТС на посту ДЦ, контролируемых пунктах, а также на усилительных и трансляционных пунктах</w:t>
      </w:r>
      <w:r w:rsidR="00C20C9B" w:rsidRPr="00C20C9B">
        <w:t xml:space="preserve">. </w:t>
      </w:r>
      <w:r w:rsidRPr="00C20C9B">
        <w:t>Регулирование уровней сигналов и параметров каналов фиксируется в соответствующих журналах</w:t>
      </w:r>
      <w:r w:rsidR="00C20C9B" w:rsidRPr="00C20C9B">
        <w:t xml:space="preserve">. </w:t>
      </w:r>
      <w:r w:rsidRPr="00C20C9B">
        <w:t>Аппаратуру линейных пунктов и каналы связи следует содержать в соответствии с Инструкцией по техническому обслуживанию кодовых устройств диспетчерской централизации системы, Инструкцией по техническому обслуживанию устройств сигнализации, централизации и блокировки (СЦБ</w:t>
      </w:r>
      <w:r w:rsidR="00C20C9B" w:rsidRPr="00C20C9B">
        <w:t xml:space="preserve">) </w:t>
      </w:r>
      <w:r w:rsidRPr="00C20C9B">
        <w:t>ЦШ/46160 и инструкциями по техническому обслуживанию средств связи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Главным в обслуживании устройств ДЦ является предупреждение отказов</w:t>
      </w:r>
      <w:r w:rsidR="00C20C9B" w:rsidRPr="00C20C9B">
        <w:t xml:space="preserve">. </w:t>
      </w:r>
      <w:r w:rsidRPr="00C20C9B">
        <w:t>Проверяются состояние, износ и изменения технических характеристик приборов ДЦ</w:t>
      </w:r>
      <w:r w:rsidR="00C20C9B" w:rsidRPr="00C20C9B">
        <w:t xml:space="preserve">. </w:t>
      </w:r>
      <w:r w:rsidRPr="00C20C9B">
        <w:t>При нарушениях правильной работы прибора (узла</w:t>
      </w:r>
      <w:r w:rsidR="00C20C9B" w:rsidRPr="00C20C9B">
        <w:t xml:space="preserve">) </w:t>
      </w:r>
      <w:r w:rsidRPr="00C20C9B">
        <w:t>он подлежит замене запасным и должен быть отправлен в ремонтно-технологический участок (РТУ</w:t>
      </w:r>
      <w:r w:rsidR="00C20C9B" w:rsidRPr="00C20C9B">
        <w:t xml:space="preserve">) </w:t>
      </w:r>
      <w:r w:rsidRPr="00C20C9B">
        <w:t>для проверки и настройки</w:t>
      </w:r>
      <w:r w:rsidR="00C20C9B" w:rsidRPr="00C20C9B">
        <w:t xml:space="preserve">. </w:t>
      </w:r>
      <w:r w:rsidRPr="00C20C9B">
        <w:t>Поэтому для этого на центральном посту и на каждой линейной станции должен предусматриваться комплект ЗИП, содержащий по одному и более блоку каждого наименования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 системах ДЦ предусматривается возможность быстрой замены оборудования резервным комплектом с последующим ремонтом устройств без прекращения функционирования системы</w:t>
      </w:r>
      <w:r w:rsidR="00C20C9B" w:rsidRPr="00C20C9B">
        <w:t xml:space="preserve">. </w:t>
      </w:r>
      <w:r w:rsidRPr="00C20C9B">
        <w:t>По установленным нормам периодичность замены и проверки аппаратуры каналов и полупроводниковых блоков составляет 5 лет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 РТУ для проверки и регулировки аппаратуры ДЦ, а также для измерения электрических и временных характеристик реле и параметров полупроводниковых элементов применяют специальные испытательные пульты</w:t>
      </w:r>
      <w:r w:rsidR="00C20C9B" w:rsidRPr="00C20C9B">
        <w:t xml:space="preserve">. </w:t>
      </w:r>
      <w:r w:rsidRPr="00C20C9B">
        <w:t>Пульт содержит устройства проверки аппаратуры каналов ДЦ, логической аппаратуры, коммутационных и измерительных устройств, а также источники питания пульта</w:t>
      </w:r>
      <w:r w:rsidR="00C20C9B" w:rsidRPr="00C20C9B">
        <w:t xml:space="preserve">. </w:t>
      </w:r>
      <w:r w:rsidRPr="00C20C9B">
        <w:t>Испытательный пульт включает в себя металлический стенд, размещаемый на сборном столе, комплект измерительных приборов и шланговые соединители для подключения проверяемых блоков</w:t>
      </w:r>
      <w:r w:rsidR="00C20C9B" w:rsidRPr="00C20C9B">
        <w:t xml:space="preserve">. </w:t>
      </w:r>
      <w:r w:rsidRPr="00C20C9B">
        <w:t>В комплект измерительных приборов входят</w:t>
      </w:r>
      <w:r w:rsidR="00C20C9B" w:rsidRPr="00C20C9B">
        <w:t xml:space="preserve">: </w:t>
      </w:r>
      <w:r w:rsidRPr="00C20C9B">
        <w:t>электронный осциллограф для</w:t>
      </w:r>
      <w:r w:rsidR="00C20C9B">
        <w:t xml:space="preserve"> </w:t>
      </w:r>
      <w:r w:rsidRPr="00C20C9B">
        <w:t>измерения временных параметров и определения формы сигналов, милливольтметр, частотомер, звуковой генератор, вольтамперметры, электро-секундомер для измерения временных параметров реле</w:t>
      </w:r>
      <w:r w:rsidR="00C20C9B" w:rsidRPr="00C20C9B">
        <w:t xml:space="preserve">. </w:t>
      </w:r>
      <w:r w:rsidRPr="00C20C9B">
        <w:t>Испытательный пульт применяется для индивидуальной проверки блоков</w:t>
      </w:r>
      <w:r w:rsidR="00C20C9B" w:rsidRPr="00C20C9B">
        <w:t xml:space="preserve">. </w:t>
      </w:r>
      <w:r w:rsidRPr="00C20C9B">
        <w:t>Исключение составляет проверка усилителя, требующего совместной работы с блоками формирования сигналов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Проверяемый прибор подключается к соответствующему разъему стенда гибким шлангом</w:t>
      </w:r>
      <w:r w:rsidR="00C20C9B" w:rsidRPr="00C20C9B">
        <w:t xml:space="preserve">. </w:t>
      </w:r>
      <w:r w:rsidRPr="00C20C9B">
        <w:t>Для переключения пульта на проверку и регулировку того или иного прибора ключи и тумблеры коммутационно-измерительной панели устанавливают в соответствующие положения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 процессе эксплуатации для проведения измерений параметров линейных цепей, источников питания, замены различных цепей резервными, контроля работы узлов предусматриваются вводно-испытательные щитки и панели с приборами и элементами индикации, размещаемые на стативах центрального поста и линейных пунктов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Для проверки работы кодовых устройств на центральном посту устанавливается испытательный статив, на котором смонтирована приемо-передающая аппаратура сигналов ТУ и ТС, обеспечивающая прием, регистрацию и индикацию контрольными лампами и светодиодами приказов ТУ для линейных</w:t>
      </w:r>
      <w:r w:rsidR="00C20C9B" w:rsidRPr="00C20C9B">
        <w:t xml:space="preserve"> </w:t>
      </w:r>
      <w:r w:rsidRPr="00C20C9B">
        <w:t>пунктов</w:t>
      </w:r>
      <w:r w:rsidR="00C20C9B" w:rsidRPr="00C20C9B">
        <w:t xml:space="preserve">. </w:t>
      </w:r>
      <w:r w:rsidRPr="00C20C9B">
        <w:t>Схема</w:t>
      </w:r>
      <w:r w:rsidR="00C20C9B" w:rsidRPr="00C20C9B">
        <w:t xml:space="preserve"> </w:t>
      </w:r>
      <w:r w:rsidRPr="00C20C9B">
        <w:t>статива</w:t>
      </w:r>
      <w:r w:rsidR="00C20C9B" w:rsidRPr="00C20C9B">
        <w:t xml:space="preserve"> </w:t>
      </w:r>
      <w:r w:rsidRPr="00C20C9B">
        <w:t>может</w:t>
      </w:r>
      <w:r w:rsidR="00C20C9B" w:rsidRPr="00C20C9B">
        <w:t xml:space="preserve"> </w:t>
      </w:r>
      <w:r w:rsidRPr="00C20C9B">
        <w:t>быть</w:t>
      </w:r>
      <w:r w:rsidR="00C20C9B" w:rsidRPr="00C20C9B">
        <w:t xml:space="preserve"> </w:t>
      </w:r>
      <w:r w:rsidRPr="00C20C9B">
        <w:t>настроена</w:t>
      </w:r>
      <w:r w:rsidR="00C20C9B" w:rsidRPr="00C20C9B">
        <w:t xml:space="preserve"> </w:t>
      </w:r>
      <w:r w:rsidRPr="00C20C9B">
        <w:t>на</w:t>
      </w:r>
      <w:r w:rsidR="00A03E65">
        <w:t xml:space="preserve"> </w:t>
      </w:r>
      <w:r w:rsidRPr="00C20C9B">
        <w:t>передачу сигнала ТС от группы контролируемых объектов с любым номером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 соответствии с эксплуатационно-техническими требованиями компьютерные системы ДЦ резервируются</w:t>
      </w:r>
      <w:r w:rsidR="00C20C9B" w:rsidRPr="00C20C9B">
        <w:t xml:space="preserve">. </w:t>
      </w:r>
      <w:r w:rsidRPr="00C20C9B">
        <w:t>Однако и в этом случае проводится техническое обслуживание аппаратуры, целью которого является предупреждение появления неисправностей, связанных со старением элементов, выходом из строя радиокомпонентов, деталей и узлов, которые при последующей эксплуатации могут привести к появлению отказов или неисправностей в работе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Обслуживание технических средств компьютерных ДЦ должно включать в себя два аспекта</w:t>
      </w:r>
      <w:r w:rsidR="00C20C9B" w:rsidRPr="00C20C9B">
        <w:t xml:space="preserve">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периодическое профилактическое обслуживание технических средств специально подготовленным персоналом электромехаников поста ДЦ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фирменное сервисное обслуживание и ремонт сменных модулей и блоков вычислительной техники</w:t>
      </w:r>
      <w:r w:rsidR="00C20C9B" w:rsidRPr="00C20C9B">
        <w:t xml:space="preserve">. </w:t>
      </w:r>
      <w:r w:rsidRPr="00C20C9B">
        <w:t>Оно осуществляется подразделениями, обслуживающими средства вычислительной техники (в гарантийный период</w:t>
      </w:r>
      <w:r w:rsidR="00C20C9B" w:rsidRPr="00C20C9B">
        <w:t xml:space="preserve"> - </w:t>
      </w:r>
      <w:r w:rsidRPr="00C20C9B">
        <w:t>поставщиком вычислительной техники</w:t>
      </w:r>
      <w:r w:rsidR="00C20C9B" w:rsidRPr="00C20C9B">
        <w:t xml:space="preserve">).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Кроме регламентных работ по контролю, измерениям и регулировкам параметров каналов и источников электроснабжения для компьютерных устройств ДЦ, периодическое профилактическое обслуживание включает в себя</w:t>
      </w:r>
      <w:r w:rsidR="00C20C9B" w:rsidRPr="00C20C9B">
        <w:t xml:space="preserve">: </w:t>
      </w:r>
      <w:r w:rsidRPr="00C20C9B">
        <w:t>внешний осмотр и чистку аппаратуры</w:t>
      </w:r>
      <w:r w:rsidR="00C20C9B" w:rsidRPr="00C20C9B">
        <w:t xml:space="preserve">; </w:t>
      </w:r>
      <w:r w:rsidRPr="00C20C9B">
        <w:t>внутреннюю проверку и чистку аппаратуры</w:t>
      </w:r>
      <w:r w:rsidR="00C20C9B" w:rsidRPr="00C20C9B">
        <w:t xml:space="preserve">; </w:t>
      </w:r>
      <w:r w:rsidRPr="00C20C9B">
        <w:t>проверку работоспособности источников бесперебойного питания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Эти виды работ выполняются при непрерывном</w:t>
      </w:r>
      <w:r w:rsidR="00C20C9B" w:rsidRPr="00C20C9B">
        <w:t xml:space="preserve"> </w:t>
      </w:r>
      <w:r w:rsidRPr="00C20C9B">
        <w:t>функционировании ДЦ благодаря резервированию системы</w:t>
      </w:r>
      <w:r w:rsidR="00C20C9B" w:rsidRPr="00C20C9B">
        <w:t xml:space="preserve">. </w:t>
      </w:r>
      <w:r w:rsidRPr="00C20C9B">
        <w:t>После завершения работ по техническому обслуживанию первого комплекта аппаратуры, включения питания и запуска его выполняются работы по техническому обслуживанию оборудования другого комплекта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Для обеспечения высоких показателей готовности к выполнению редко затребываемых функций, например при передаче и реализации ответственных команд, проверяется функционирование аппаратуры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При отказе устройств обслуживающим сменным персоналом выполняются работы по замене неисправного оборудования, используя ЗИП, а также проверяется правильность функционирования устройств после устранения отказа</w:t>
      </w:r>
      <w:r w:rsidR="00C20C9B" w:rsidRPr="00C20C9B">
        <w:t xml:space="preserve">. </w:t>
      </w:r>
      <w:r w:rsidRPr="00C20C9B">
        <w:t>Все переключения выполняются электромехаником в соответствии со схемами подключения устройств</w:t>
      </w:r>
      <w:r w:rsidR="00C20C9B" w:rsidRPr="00C20C9B">
        <w:t xml:space="preserve">. </w:t>
      </w:r>
      <w:r w:rsidRPr="00C20C9B">
        <w:t>Отказавшие устройства подлежат ремонту соответствующим подразделением (фирменное сервисное обслуживание</w:t>
      </w:r>
      <w:r w:rsidR="00C20C9B" w:rsidRPr="00C20C9B">
        <w:t xml:space="preserve">) </w:t>
      </w:r>
      <w:r w:rsidRPr="00C20C9B">
        <w:t>с предоставлением последним исправного оборудования для восстановления ЗИП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 случае отказа системного блока для обеспечения аварийного запаса и сокращения времени восстановления на полученный исправный системный блок обслуживающим персоналом поста ДЦ с дискет (</w:t>
      </w:r>
      <w:r w:rsidRPr="00C20C9B">
        <w:rPr>
          <w:lang w:val="en-US"/>
        </w:rPr>
        <w:t>CD</w:t>
      </w:r>
      <w:r w:rsidRPr="00C20C9B">
        <w:t>-диска</w:t>
      </w:r>
      <w:r w:rsidR="00C20C9B" w:rsidRPr="00C20C9B">
        <w:t xml:space="preserve">) </w:t>
      </w:r>
      <w:r w:rsidRPr="00C20C9B">
        <w:t>должно быть инсталлировано программное обеспечение в соответствии с Инструкцией по инсталляции программного обеспечения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Технологический процесс по обслуживанию и ремонту сменных модулей и блоков вычислительной техники выполняется в соответствии с технологическими картами на систему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Разработчиком после ввода в постоянную эксплуатацию осуществляется гарантийное сопровождение устройств и программного обеспечения, продолжительность которого составляет не менее одного года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Техническим средством, обеспечивающим технологический процесс обслуживания компьютерных систем, является комплекс автоматизированного рабочего места электромеханика поста ДЦ (АРМ ШН</w:t>
      </w:r>
      <w:r w:rsidR="00C20C9B" w:rsidRPr="00C20C9B">
        <w:t xml:space="preserve">). </w:t>
      </w:r>
      <w:r w:rsidRPr="00C20C9B">
        <w:t>Функционально он включает в себя</w:t>
      </w:r>
      <w:r w:rsidR="00C20C9B" w:rsidRPr="00C20C9B">
        <w:t xml:space="preserve">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программно-аппаратные средства контроля и измерений параметров сигналов ТУ-ТС-ТИ (программный аналог осциллографа, сервисные программы измерения параметров канала</w:t>
      </w:r>
      <w:r w:rsidR="00C20C9B" w:rsidRPr="00C20C9B">
        <w:t xml:space="preserve">);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программный модуль контроля оперативной поездной обстановки на участке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программный модуль просмотра и анализа протоколов работы системы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средства диагностирования аппаратуры ДЦ для проверки исправности модулей сопряжения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программный модуль контроля функционирования источников бесперебойного питания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программный аналог испытательного статива для контроля корректности обработки формируемых команд управления</w:t>
      </w:r>
      <w:r w:rsidR="00C20C9B" w:rsidRPr="00C20C9B">
        <w:t xml:space="preserve">. </w:t>
      </w:r>
    </w:p>
    <w:p w:rsidR="00A03E65" w:rsidRDefault="00A03E65" w:rsidP="00C20C9B">
      <w:pPr>
        <w:widowControl w:val="0"/>
        <w:autoSpaceDE w:val="0"/>
        <w:autoSpaceDN w:val="0"/>
        <w:adjustRightInd w:val="0"/>
      </w:pPr>
    </w:p>
    <w:p w:rsidR="000C6E06" w:rsidRPr="00C20C9B" w:rsidRDefault="00A03E65" w:rsidP="00A03E65">
      <w:pPr>
        <w:pStyle w:val="2"/>
      </w:pPr>
      <w:r>
        <w:br w:type="page"/>
      </w:r>
      <w:r w:rsidR="000C6E06" w:rsidRPr="00C20C9B">
        <w:t>4</w:t>
      </w:r>
      <w:r w:rsidR="00C20C9B" w:rsidRPr="00C20C9B">
        <w:t xml:space="preserve">. </w:t>
      </w:r>
      <w:r w:rsidR="000C6E06" w:rsidRPr="00C20C9B">
        <w:t>Организация электропитания систем</w:t>
      </w:r>
    </w:p>
    <w:p w:rsidR="00A03E65" w:rsidRDefault="00A03E65" w:rsidP="00C20C9B">
      <w:pPr>
        <w:widowControl w:val="0"/>
        <w:autoSpaceDE w:val="0"/>
        <w:autoSpaceDN w:val="0"/>
        <w:adjustRightInd w:val="0"/>
      </w:pP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Основным условием бесперебойной работы систем диспетчерской централизации, в особенности использующей надежного электроснабжения устройств центрального поста (центра управления</w:t>
      </w:r>
      <w:r w:rsidR="00C20C9B" w:rsidRPr="00C20C9B">
        <w:t xml:space="preserve">) </w:t>
      </w:r>
      <w:r w:rsidRPr="00C20C9B">
        <w:t>и контролируемых пунктов</w:t>
      </w:r>
      <w:r w:rsidR="00C20C9B" w:rsidRPr="00C20C9B">
        <w:t xml:space="preserve">. </w:t>
      </w:r>
      <w:r w:rsidRPr="00C20C9B">
        <w:t>Прекращение действия ДЦ по причине отсутствия электроэнергии не влечет за собой угрозы нарушения условий безопасности перевозочного процесса</w:t>
      </w:r>
      <w:r w:rsidR="00C20C9B" w:rsidRPr="00C20C9B">
        <w:t xml:space="preserve">. </w:t>
      </w:r>
      <w:r w:rsidRPr="00C20C9B">
        <w:t>Однако косвенная угроза имеется, поскольку персонал вынужден регулировать движение без технических средств, что, кроме того, приводит к потерям в движении до перевода станций на резервное управление</w:t>
      </w:r>
      <w:r w:rsidR="00C20C9B" w:rsidRPr="00C20C9B">
        <w:t xml:space="preserve">. </w:t>
      </w:r>
      <w:r w:rsidRPr="00C20C9B">
        <w:t>По этой причине системы ДЦ являются потребителями электроэнергии особой группы 1 категории и должны получать питание от двух независимых источников энергии по двум фидерам (силовым кабелям</w:t>
      </w:r>
      <w:r w:rsidR="00C20C9B" w:rsidRPr="00C20C9B">
        <w:t xml:space="preserve">) </w:t>
      </w:r>
      <w:r w:rsidRPr="00C20C9B">
        <w:t>с автоматическим переключением питания с одного фидера на другой в случае пропадания напряжения</w:t>
      </w:r>
      <w:r w:rsidR="00C20C9B" w:rsidRPr="00C20C9B">
        <w:t xml:space="preserve">. </w:t>
      </w:r>
      <w:r w:rsidRPr="00C20C9B">
        <w:t>Емкость аккумуляторов рассчитывается на резервное питание устройств в течение 6 ч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Электропитающая установка центрального поста ДЦ состоит из вводной панели ПВ-60 и панели выпрямителей ПДЦ</w:t>
      </w:r>
      <w:r w:rsidR="00C20C9B" w:rsidRPr="00C20C9B">
        <w:t xml:space="preserve">. </w:t>
      </w:r>
      <w:r w:rsidRPr="00C20C9B">
        <w:t>Вводная панель предназначена для подключения двух фидеров переменного тока и одного фидера от резервного источника, а также автоматического переключения нагрузки на работающий фидер при пропадании напряжения хотя бы одной из фаз работающего фидера</w:t>
      </w:r>
      <w:r w:rsidR="00C20C9B" w:rsidRPr="00C20C9B">
        <w:t xml:space="preserve">. </w:t>
      </w:r>
      <w:r w:rsidRPr="00C20C9B">
        <w:t>Коммутационная мощность панели составляет 60 кВА</w:t>
      </w:r>
      <w:r w:rsidR="00C20C9B" w:rsidRPr="00C20C9B">
        <w:t xml:space="preserve">. </w:t>
      </w:r>
      <w:r w:rsidRPr="00C20C9B">
        <w:t>На каждый диспетчерский круг устанавливаются панель ПДЦ и группа аккумуляторов, состоящая из двух секций по шесть аккумуляторов каждая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Электроснабжение современных систем, основывающихся на средствах вычислительной техники, имеет некоторые особенности</w:t>
      </w:r>
      <w:r w:rsidR="00C20C9B" w:rsidRPr="00C20C9B">
        <w:t xml:space="preserve">. </w:t>
      </w:r>
      <w:r w:rsidRPr="00C20C9B">
        <w:t>Электронное оборудование компьютерных систем ДЦ в процессе эксплуатации оказывается под воздействием различных электромагнитных помех, большая часть которых распространяется по цепям электропитания</w:t>
      </w:r>
      <w:r w:rsidR="00C20C9B" w:rsidRPr="00C20C9B">
        <w:t xml:space="preserve">. </w:t>
      </w:r>
      <w:r w:rsidRPr="00C20C9B">
        <w:t>Эти факторы могут вызвать не только сбои в работе компьютера или другого электронного оборудования и потерю данных, но и необратимые процессы разрушения программного продукта, а также выход из строя аппаратуры</w:t>
      </w:r>
      <w:r w:rsidR="00C20C9B" w:rsidRPr="00C20C9B">
        <w:t xml:space="preserve">. </w:t>
      </w:r>
      <w:r w:rsidRPr="00C20C9B">
        <w:t>Статистика также свидетельствует, что по причинам, связанным со сбоями в электросети, в 75</w:t>
      </w:r>
      <w:r w:rsidR="00C20C9B" w:rsidRPr="00C20C9B">
        <w:t>%</w:t>
      </w:r>
      <w:r w:rsidRPr="00C20C9B">
        <w:t xml:space="preserve"> случаев происходит потеря информации и в 65</w:t>
      </w:r>
      <w:r w:rsidR="00C20C9B" w:rsidRPr="00C20C9B">
        <w:t>%</w:t>
      </w:r>
      <w:r w:rsidRPr="00C20C9B">
        <w:t xml:space="preserve"> выходит из строя электронное оборудование</w:t>
      </w:r>
      <w:r w:rsidR="00C20C9B" w:rsidRPr="00C20C9B">
        <w:t xml:space="preserve">. </w:t>
      </w:r>
      <w:r w:rsidRPr="00C20C9B">
        <w:t>Искаженное, нестабильное напряжение электропитания системы отрицательно воздействует на файл-серверы, рабочие станции и другую сетевую аппаратуру</w:t>
      </w:r>
      <w:r w:rsidR="00C20C9B" w:rsidRPr="00C20C9B">
        <w:t xml:space="preserve"> </w:t>
      </w:r>
      <w:r w:rsidRPr="00C20C9B">
        <w:t>(концентраторы</w:t>
      </w:r>
      <w:r w:rsidR="00C20C9B" w:rsidRPr="00C20C9B">
        <w:t xml:space="preserve">, </w:t>
      </w:r>
      <w:r w:rsidRPr="00C20C9B">
        <w:t>маршрутизаторы, коммутаторы, мосты и пр</w:t>
      </w:r>
      <w:r w:rsidR="00A03E65">
        <w:t>.</w:t>
      </w:r>
      <w:r w:rsidR="00C20C9B" w:rsidRPr="00C20C9B">
        <w:t xml:space="preserve">). </w:t>
      </w:r>
      <w:r w:rsidRPr="00C20C9B">
        <w:t>Так, со снижением напряжения увеличивается потребляемый ток, в результате растет температура внутри корпуса системного блока, монитора, модемов и другого периферийного оборудования</w:t>
      </w:r>
      <w:r w:rsidR="00C20C9B" w:rsidRPr="00C20C9B">
        <w:t xml:space="preserve">. </w:t>
      </w:r>
      <w:r w:rsidRPr="00C20C9B">
        <w:t>Повышенная температура значительно сокращает срок службы многих элементов, особенно электролитических конденсаторов, приводит к выходу из строя полупроводниковых элементов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Бесперебойное снабжение электропитанием электронных устройств позволяет избежать таких отказов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Источники бесперебойного питания (ИБП</w:t>
      </w:r>
      <w:r w:rsidR="00C20C9B" w:rsidRPr="00C20C9B">
        <w:t xml:space="preserve">) </w:t>
      </w:r>
      <w:r w:rsidRPr="00C20C9B">
        <w:t>выполняют две основные функции</w:t>
      </w:r>
      <w:r w:rsidR="00C20C9B" w:rsidRPr="00C20C9B">
        <w:t xml:space="preserve">: </w:t>
      </w:r>
      <w:r w:rsidRPr="00C20C9B">
        <w:t>обеспечивают приемлемое качество электроэнергии на выходе и обеспечивают резервное электропитание в случае полного пропадания (или отклонения за пределы установленных норм</w:t>
      </w:r>
      <w:r w:rsidR="00C20C9B" w:rsidRPr="00C20C9B">
        <w:t xml:space="preserve">) </w:t>
      </w:r>
      <w:r w:rsidRPr="00C20C9B">
        <w:t>входного напряжения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В состав любого ИБП входят следующие элементы</w:t>
      </w:r>
      <w:r w:rsidR="00C20C9B" w:rsidRPr="00C20C9B">
        <w:t xml:space="preserve">: </w:t>
      </w:r>
      <w:r w:rsidRPr="00C20C9B">
        <w:t>входной фильтр (ВФ</w:t>
      </w:r>
      <w:r w:rsidR="00C20C9B" w:rsidRPr="00C20C9B">
        <w:t>),</w:t>
      </w:r>
      <w:r w:rsidRPr="00C20C9B">
        <w:t xml:space="preserve"> включающий в себя радиочастотный фильтр и подавитель импульсов</w:t>
      </w:r>
      <w:r w:rsidR="00C20C9B" w:rsidRPr="00C20C9B">
        <w:t xml:space="preserve">; </w:t>
      </w:r>
      <w:r w:rsidRPr="00C20C9B">
        <w:t>аккумуляторная батарея (АБ</w:t>
      </w:r>
      <w:r w:rsidR="00C20C9B" w:rsidRPr="00C20C9B">
        <w:t xml:space="preserve">) </w:t>
      </w:r>
      <w:r w:rsidRPr="00C20C9B">
        <w:t>с зарядным устройством (ЗУ</w:t>
      </w:r>
      <w:r w:rsidR="00C20C9B" w:rsidRPr="00C20C9B">
        <w:t xml:space="preserve">); </w:t>
      </w:r>
      <w:r w:rsidRPr="00C20C9B">
        <w:t>инвертор</w:t>
      </w:r>
      <w:r w:rsidR="00C20C9B" w:rsidRPr="00C20C9B">
        <w:t xml:space="preserve"> - </w:t>
      </w:r>
      <w:r w:rsidRPr="00C20C9B">
        <w:t>преобразователь постоянного тока в переменный</w:t>
      </w:r>
      <w:r w:rsidR="00C20C9B" w:rsidRPr="00C20C9B">
        <w:t xml:space="preserve">; </w:t>
      </w:r>
      <w:r w:rsidRPr="00C20C9B">
        <w:t>в некоторых типах ИБП</w:t>
      </w:r>
      <w:r w:rsidR="00C20C9B" w:rsidRPr="00C20C9B">
        <w:t xml:space="preserve"> - </w:t>
      </w:r>
      <w:r w:rsidRPr="00C20C9B">
        <w:t>преобразователь постоянного тока в постоянный ток другого номинального значения (конвертор</w:t>
      </w:r>
      <w:r w:rsidR="00C20C9B" w:rsidRPr="00C20C9B">
        <w:t xml:space="preserve">); </w:t>
      </w:r>
      <w:r w:rsidRPr="00C20C9B">
        <w:t>в некоторых типах ИБП</w:t>
      </w:r>
      <w:r w:rsidR="00C20C9B" w:rsidRPr="00C20C9B">
        <w:t xml:space="preserve"> - </w:t>
      </w:r>
      <w:r w:rsidRPr="00C20C9B">
        <w:t>трансформаторы для развязки выхода от входа</w:t>
      </w:r>
      <w:r w:rsidR="00C20C9B" w:rsidRPr="00C20C9B">
        <w:t xml:space="preserve">; </w:t>
      </w:r>
      <w:r w:rsidRPr="00C20C9B">
        <w:t>схемы управления работой ИБП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Способность ИБП обеспечивать заданные качество и бесперебойность питания нагрузки определяется его внутренней архитектурой, или классом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  <w:rPr>
          <w:lang w:val="en-US"/>
        </w:rPr>
      </w:pPr>
      <w:r w:rsidRPr="00C20C9B">
        <w:t>Различают</w:t>
      </w:r>
      <w:r w:rsidRPr="00C20C9B">
        <w:rPr>
          <w:lang w:val="en-US"/>
        </w:rPr>
        <w:t xml:space="preserve"> </w:t>
      </w:r>
      <w:r w:rsidRPr="00C20C9B">
        <w:t>три</w:t>
      </w:r>
      <w:r w:rsidRPr="00C20C9B">
        <w:rPr>
          <w:lang w:val="en-US"/>
        </w:rPr>
        <w:t xml:space="preserve"> </w:t>
      </w:r>
      <w:r w:rsidRPr="00C20C9B">
        <w:t>класса</w:t>
      </w:r>
      <w:r w:rsidRPr="00C20C9B">
        <w:rPr>
          <w:lang w:val="en-US"/>
        </w:rPr>
        <w:t xml:space="preserve"> </w:t>
      </w:r>
      <w:r w:rsidRPr="00C20C9B">
        <w:t>источников</w:t>
      </w:r>
      <w:r w:rsidR="00C20C9B" w:rsidRPr="00C20C9B">
        <w:rPr>
          <w:lang w:val="en-US"/>
        </w:rPr>
        <w:t xml:space="preserve">: </w:t>
      </w:r>
      <w:r w:rsidRPr="00C20C9B">
        <w:rPr>
          <w:lang w:val="en-US"/>
        </w:rPr>
        <w:t>OFF-LINE (STANDBY</w:t>
      </w:r>
      <w:r w:rsidR="00C20C9B" w:rsidRPr="00C20C9B">
        <w:rPr>
          <w:lang w:val="en-US"/>
        </w:rPr>
        <w:t>),</w:t>
      </w:r>
      <w:r w:rsidRPr="00C20C9B">
        <w:rPr>
          <w:lang w:val="en-US"/>
        </w:rPr>
        <w:t xml:space="preserve"> LINE-INTERACTIVE, ON-LINE</w:t>
      </w:r>
      <w:r w:rsidR="00C20C9B" w:rsidRPr="00C20C9B">
        <w:rPr>
          <w:lang w:val="en-US"/>
        </w:rPr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 xml:space="preserve">В ИБП </w:t>
      </w:r>
      <w:r w:rsidRPr="00C20C9B">
        <w:rPr>
          <w:lang w:val="en-US"/>
        </w:rPr>
        <w:t>OFF</w:t>
      </w:r>
      <w:r w:rsidRPr="00C20C9B">
        <w:t>-</w:t>
      </w:r>
      <w:r w:rsidRPr="00C20C9B">
        <w:rPr>
          <w:lang w:val="en-US"/>
        </w:rPr>
        <w:t>LINE</w:t>
      </w:r>
      <w:r w:rsidRPr="00C20C9B">
        <w:t xml:space="preserve"> электроэнергия внешнего снабжения через подавитель импульсов и радиочастотный фильтр передается на нагрузку (</w:t>
      </w:r>
      <w:r w:rsidR="00C20C9B">
        <w:t>рис.2</w:t>
      </w:r>
      <w:r w:rsidR="00C20C9B" w:rsidRPr="00C20C9B">
        <w:t xml:space="preserve">). </w:t>
      </w:r>
      <w:r w:rsidRPr="00C20C9B">
        <w:t>В случае недопустимых возмущений или полного пропадания входного напряжения специальные ключи переводят подключаемую к ИБП нагрузку на АБ и инвертор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Общим недостатком таких ИБП является разрыв синусоиды напряжения на выходе устройства на время 1</w:t>
      </w:r>
      <w:r w:rsidR="00C20C9B" w:rsidRPr="00C20C9B">
        <w:t>-</w:t>
      </w:r>
      <w:r w:rsidRPr="00C20C9B">
        <w:t>5 мс при переключении на резервный источник</w:t>
      </w:r>
      <w:r w:rsidR="00C20C9B" w:rsidRPr="00C20C9B">
        <w:t xml:space="preserve">. </w:t>
      </w:r>
    </w:p>
    <w:p w:rsidR="00A03E65" w:rsidRPr="00C20C9B" w:rsidRDefault="000C6E06" w:rsidP="00A03E65">
      <w:pPr>
        <w:widowControl w:val="0"/>
        <w:autoSpaceDE w:val="0"/>
        <w:autoSpaceDN w:val="0"/>
        <w:adjustRightInd w:val="0"/>
      </w:pPr>
      <w:r w:rsidRPr="00C20C9B">
        <w:t>Благодаря большой суммарной входной емкости таких блоков питания, достаточной для поддержания номинального напряжения на его силовых элементах в течение такого промежутка времени (менее четверти периода синусоиды</w:t>
      </w:r>
      <w:r w:rsidR="00C20C9B" w:rsidRPr="00C20C9B">
        <w:t>),</w:t>
      </w:r>
      <w:r w:rsidRPr="00C20C9B">
        <w:t xml:space="preserve"> в цепях</w:t>
      </w:r>
      <w:r w:rsidR="00C20C9B" w:rsidRPr="00C20C9B">
        <w:t xml:space="preserve"> </w:t>
      </w:r>
      <w:r w:rsidRPr="00C20C9B">
        <w:t>вторичного</w:t>
      </w:r>
      <w:r w:rsidR="00C20C9B" w:rsidRPr="00C20C9B">
        <w:t xml:space="preserve"> </w:t>
      </w:r>
      <w:r w:rsidRPr="00C20C9B">
        <w:t>электропитания</w:t>
      </w:r>
      <w:r w:rsidR="00C20C9B" w:rsidRPr="00C20C9B">
        <w:t xml:space="preserve"> </w:t>
      </w:r>
      <w:r w:rsidRPr="00C20C9B">
        <w:t>компьютеров</w:t>
      </w:r>
      <w:r w:rsidR="00C20C9B" w:rsidRPr="00C20C9B">
        <w:t xml:space="preserve"> </w:t>
      </w:r>
      <w:r w:rsidRPr="00C20C9B">
        <w:t>перерыва в</w:t>
      </w:r>
      <w:r w:rsidR="00A03E65" w:rsidRPr="00A03E65">
        <w:t xml:space="preserve"> </w:t>
      </w:r>
      <w:r w:rsidR="00A03E65" w:rsidRPr="00C20C9B">
        <w:t xml:space="preserve">электроснабжении не произойдет.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</w:p>
    <w:p w:rsidR="000C6E06" w:rsidRPr="00C20C9B" w:rsidRDefault="0010561D" w:rsidP="00C20C9B">
      <w:pPr>
        <w:widowControl w:val="0"/>
        <w:autoSpaceDE w:val="0"/>
        <w:autoSpaceDN w:val="0"/>
        <w:adjustRightInd w:val="0"/>
      </w:pPr>
      <w:r>
        <w:pict>
          <v:shape id="_x0000_i1049" type="#_x0000_t75" style="width:411pt;height:144.75pt" fillcolor="window">
            <v:imagedata r:id="rId31" o:title="" gain="218453f" blacklevel="-1966f"/>
          </v:shape>
        </w:pict>
      </w:r>
    </w:p>
    <w:p w:rsidR="00C20C9B" w:rsidRPr="00C20C9B" w:rsidRDefault="00C20C9B" w:rsidP="00C20C9B">
      <w:pPr>
        <w:widowControl w:val="0"/>
        <w:autoSpaceDE w:val="0"/>
        <w:autoSpaceDN w:val="0"/>
        <w:adjustRightInd w:val="0"/>
      </w:pPr>
      <w:r>
        <w:t>Рис.2</w:t>
      </w:r>
      <w:r w:rsidRPr="00C20C9B">
        <w:t xml:space="preserve">. </w:t>
      </w:r>
      <w:r w:rsidR="000C6E06" w:rsidRPr="00C20C9B">
        <w:t xml:space="preserve">Структурная схема источника бесперебойного питания </w:t>
      </w:r>
      <w:r w:rsidR="000C6E06" w:rsidRPr="00C20C9B">
        <w:rPr>
          <w:lang w:val="en-US"/>
        </w:rPr>
        <w:t>OFF</w:t>
      </w:r>
      <w:r w:rsidR="000C6E06" w:rsidRPr="00C20C9B">
        <w:t>-</w:t>
      </w:r>
      <w:r w:rsidR="000C6E06" w:rsidRPr="00C20C9B">
        <w:rPr>
          <w:lang w:val="en-US"/>
        </w:rPr>
        <w:t>LINE</w:t>
      </w:r>
    </w:p>
    <w:p w:rsidR="00A03E65" w:rsidRDefault="00A03E65" w:rsidP="00C20C9B">
      <w:pPr>
        <w:widowControl w:val="0"/>
        <w:autoSpaceDE w:val="0"/>
        <w:autoSpaceDN w:val="0"/>
        <w:adjustRightInd w:val="0"/>
      </w:pPr>
    </w:p>
    <w:p w:rsidR="00C20C9B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Однако для некоторых потребителей такой перерыв недопустим</w:t>
      </w:r>
      <w:r w:rsidR="00C20C9B" w:rsidRPr="00C20C9B">
        <w:t xml:space="preserve">. </w:t>
      </w:r>
      <w:r w:rsidRPr="00C20C9B">
        <w:t>К ним относятся, например, потребители с линейными (трансформаторными</w:t>
      </w:r>
      <w:r w:rsidR="00C20C9B" w:rsidRPr="00C20C9B">
        <w:t xml:space="preserve">) </w:t>
      </w:r>
      <w:r w:rsidRPr="00C20C9B">
        <w:t>блоками питания, маломощное (с точки зрения потребляемого тока</w:t>
      </w:r>
      <w:r w:rsidR="00C20C9B" w:rsidRPr="00C20C9B">
        <w:t xml:space="preserve">) </w:t>
      </w:r>
      <w:r w:rsidRPr="00C20C9B">
        <w:t xml:space="preserve">сетевое оборудование (репиторы, концентраторы, коммутаторы и </w:t>
      </w:r>
      <w:r w:rsidR="00C20C9B">
        <w:t>др.)</w:t>
      </w:r>
      <w:r w:rsidR="00C20C9B" w:rsidRPr="00C20C9B">
        <w:t xml:space="preserve">. </w:t>
      </w:r>
    </w:p>
    <w:p w:rsidR="00C20C9B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Главными преимуществами таких ИБП являются высокий кпд и простота схемотехнических решений</w:t>
      </w:r>
      <w:r w:rsidR="00C20C9B" w:rsidRPr="00C20C9B">
        <w:t xml:space="preserve">. </w:t>
      </w:r>
    </w:p>
    <w:p w:rsidR="000C6E06" w:rsidRDefault="000C6E06" w:rsidP="00C20C9B">
      <w:pPr>
        <w:widowControl w:val="0"/>
        <w:autoSpaceDE w:val="0"/>
        <w:autoSpaceDN w:val="0"/>
        <w:adjustRightInd w:val="0"/>
      </w:pPr>
      <w:r w:rsidRPr="00C20C9B">
        <w:t xml:space="preserve">Схема ИБП </w:t>
      </w:r>
      <w:r w:rsidRPr="00C20C9B">
        <w:rPr>
          <w:lang w:val="en-US"/>
        </w:rPr>
        <w:t>ON</w:t>
      </w:r>
      <w:r w:rsidRPr="00C20C9B">
        <w:t>-</w:t>
      </w:r>
      <w:r w:rsidRPr="00C20C9B">
        <w:rPr>
          <w:lang w:val="en-US"/>
        </w:rPr>
        <w:t>LINE</w:t>
      </w:r>
      <w:r w:rsidRPr="00C20C9B">
        <w:t xml:space="preserve"> построена по принципу двойного преобразования энергии (</w:t>
      </w:r>
      <w:r w:rsidR="00C20C9B">
        <w:t>рис.3</w:t>
      </w:r>
      <w:r w:rsidR="00C20C9B" w:rsidRPr="00C20C9B">
        <w:t xml:space="preserve">). </w:t>
      </w:r>
      <w:r w:rsidRPr="00C20C9B">
        <w:t>Входное напряжение через фильтрующие элементы поступает на выпрямитель, затем на инвертор и далее на нагрузку</w:t>
      </w:r>
      <w:r w:rsidR="00C20C9B" w:rsidRPr="00C20C9B">
        <w:t xml:space="preserve">. </w:t>
      </w:r>
      <w:r w:rsidRPr="00C20C9B">
        <w:t>На входе и выходе этой цепи могут стоять трансформаторные развязки</w:t>
      </w:r>
      <w:r w:rsidR="00C20C9B" w:rsidRPr="00C20C9B">
        <w:t xml:space="preserve">. </w:t>
      </w:r>
      <w:r w:rsidRPr="00C20C9B">
        <w:t>Аккумуляторная батарея подключена к инвертору и в случае пропадания напряжения на входе сети нагрузка безобрывно переходит на питание от АБ</w:t>
      </w:r>
      <w:r w:rsidR="00C20C9B" w:rsidRPr="00C20C9B">
        <w:t xml:space="preserve">. </w:t>
      </w:r>
      <w:r w:rsidRPr="00C20C9B">
        <w:t>В случае нарушения работы какого-либо из элементов входное напряжение напрямую коммутируется на нагрузку (режим обхода</w:t>
      </w:r>
      <w:r w:rsidR="00C20C9B" w:rsidRPr="00C20C9B">
        <w:t xml:space="preserve"> - </w:t>
      </w:r>
      <w:r w:rsidRPr="00C20C9B">
        <w:rPr>
          <w:lang w:val="en-US"/>
        </w:rPr>
        <w:t>bypass</w:t>
      </w:r>
      <w:r w:rsidRPr="00C20C9B">
        <w:t xml:space="preserve"> </w:t>
      </w:r>
      <w:r w:rsidRPr="00C20C9B">
        <w:rPr>
          <w:lang w:val="en-US"/>
        </w:rPr>
        <w:t>mode</w:t>
      </w:r>
      <w:r w:rsidR="00C20C9B" w:rsidRPr="00C20C9B">
        <w:t xml:space="preserve">). </w:t>
      </w:r>
    </w:p>
    <w:p w:rsidR="00A03E65" w:rsidRPr="00C20C9B" w:rsidRDefault="00A03E65" w:rsidP="00C20C9B">
      <w:pPr>
        <w:widowControl w:val="0"/>
        <w:autoSpaceDE w:val="0"/>
        <w:autoSpaceDN w:val="0"/>
        <w:adjustRightInd w:val="0"/>
      </w:pPr>
    </w:p>
    <w:p w:rsidR="000C6E06" w:rsidRPr="00C20C9B" w:rsidRDefault="0010561D" w:rsidP="00C20C9B">
      <w:pPr>
        <w:widowControl w:val="0"/>
        <w:autoSpaceDE w:val="0"/>
        <w:autoSpaceDN w:val="0"/>
        <w:adjustRightInd w:val="0"/>
      </w:pPr>
      <w:r>
        <w:pict>
          <v:shape id="_x0000_i1050" type="#_x0000_t75" style="width:410.25pt;height:130.5pt">
            <v:imagedata r:id="rId32" o:title="" gain="218453f" blacklevel="-3277f"/>
          </v:shape>
        </w:pict>
      </w:r>
    </w:p>
    <w:p w:rsidR="000C6E06" w:rsidRPr="00C20C9B" w:rsidRDefault="00C20C9B" w:rsidP="00C20C9B">
      <w:pPr>
        <w:widowControl w:val="0"/>
        <w:autoSpaceDE w:val="0"/>
        <w:autoSpaceDN w:val="0"/>
        <w:adjustRightInd w:val="0"/>
      </w:pPr>
      <w:r>
        <w:t>Рис.3</w:t>
      </w:r>
      <w:r w:rsidRPr="00C20C9B">
        <w:t xml:space="preserve">. </w:t>
      </w:r>
      <w:r w:rsidR="000C6E06" w:rsidRPr="00C20C9B">
        <w:t xml:space="preserve">Структурная схема источника бесперебойного питания </w:t>
      </w:r>
      <w:r w:rsidR="000C6E06" w:rsidRPr="00C20C9B">
        <w:rPr>
          <w:lang w:val="en-US"/>
        </w:rPr>
        <w:t>ON</w:t>
      </w:r>
      <w:r w:rsidR="000C6E06" w:rsidRPr="00C20C9B">
        <w:t>-</w:t>
      </w:r>
      <w:r w:rsidR="000C6E06" w:rsidRPr="00C20C9B">
        <w:rPr>
          <w:lang w:val="en-US"/>
        </w:rPr>
        <w:t>LINE</w:t>
      </w:r>
    </w:p>
    <w:p w:rsidR="00A03E65" w:rsidRDefault="00A03E65" w:rsidP="00C20C9B">
      <w:pPr>
        <w:widowControl w:val="0"/>
        <w:autoSpaceDE w:val="0"/>
        <w:autoSpaceDN w:val="0"/>
        <w:adjustRightInd w:val="0"/>
      </w:pP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Такая технология имеет свои недостатки</w:t>
      </w:r>
      <w:r w:rsidR="00C20C9B" w:rsidRPr="00C20C9B">
        <w:t xml:space="preserve">: </w:t>
      </w:r>
      <w:r w:rsidRPr="00C20C9B">
        <w:t>снижение ресурса АБ, относительно низкий кпд, ограниченные динамические и перегрузочные возможности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 xml:space="preserve">Однако бесспорными преимуществами ИБП </w:t>
      </w:r>
      <w:r w:rsidRPr="00C20C9B">
        <w:rPr>
          <w:lang w:val="en-US"/>
        </w:rPr>
        <w:t>ON</w:t>
      </w:r>
      <w:r w:rsidRPr="00C20C9B">
        <w:t>-</w:t>
      </w:r>
      <w:r w:rsidRPr="00C20C9B">
        <w:rPr>
          <w:lang w:val="en-US"/>
        </w:rPr>
        <w:t>LINE</w:t>
      </w:r>
      <w:r w:rsidRPr="00C20C9B">
        <w:t xml:space="preserve"> являются</w:t>
      </w:r>
      <w:r w:rsidR="00C20C9B" w:rsidRPr="00C20C9B">
        <w:t xml:space="preserve">: </w:t>
      </w:r>
      <w:r w:rsidRPr="00C20C9B">
        <w:t>отсутствие разрыва кривой выходного напряжения при переходе на резервный источник</w:t>
      </w:r>
      <w:r w:rsidR="00C20C9B" w:rsidRPr="00C20C9B">
        <w:t xml:space="preserve">; </w:t>
      </w:r>
      <w:r w:rsidRPr="00C20C9B">
        <w:t>синусоидальная форма выходного напряжения в любом режиме работы</w:t>
      </w:r>
      <w:r w:rsidR="00C20C9B" w:rsidRPr="00C20C9B">
        <w:t xml:space="preserve">; </w:t>
      </w:r>
      <w:r w:rsidRPr="00C20C9B">
        <w:t>лучшие, по сравнению с другими ИБП, стабилизационные и помехоподавляющие характеристики</w:t>
      </w:r>
      <w:r w:rsidR="00C20C9B" w:rsidRPr="00C20C9B">
        <w:t xml:space="preserve">. </w:t>
      </w:r>
      <w:r w:rsidRPr="00C20C9B">
        <w:t>Поэтому такие ИБП находят применение для электропитания файловых серверов, телекоммуникационных систем, в АСУ управления ответственными технологическими комплексами, к которым относятся системы ДЦ, и др</w:t>
      </w:r>
      <w:r w:rsidR="00C20C9B" w:rsidRPr="00C20C9B">
        <w:t xml:space="preserve">. </w:t>
      </w:r>
    </w:p>
    <w:p w:rsidR="00C20C9B" w:rsidRDefault="000C6E06" w:rsidP="00C20C9B">
      <w:pPr>
        <w:widowControl w:val="0"/>
        <w:autoSpaceDE w:val="0"/>
        <w:autoSpaceDN w:val="0"/>
        <w:adjustRightInd w:val="0"/>
      </w:pPr>
      <w:r w:rsidRPr="00C20C9B">
        <w:t xml:space="preserve">ИБП группы </w:t>
      </w:r>
      <w:r w:rsidRPr="00C20C9B">
        <w:rPr>
          <w:lang w:val="en-US"/>
        </w:rPr>
        <w:t>LINE</w:t>
      </w:r>
      <w:r w:rsidRPr="00C20C9B">
        <w:t>-</w:t>
      </w:r>
      <w:r w:rsidRPr="00C20C9B">
        <w:rPr>
          <w:lang w:val="en-US"/>
        </w:rPr>
        <w:t>INTERACTIVE</w:t>
      </w:r>
      <w:r w:rsidRPr="00C20C9B">
        <w:t xml:space="preserve"> представляют собой разнообразные гибриды </w:t>
      </w:r>
      <w:r w:rsidRPr="00C20C9B">
        <w:rPr>
          <w:lang w:val="en-US"/>
        </w:rPr>
        <w:t>ON</w:t>
      </w:r>
      <w:r w:rsidRPr="00C20C9B">
        <w:t>-</w:t>
      </w:r>
      <w:r w:rsidRPr="00C20C9B">
        <w:rPr>
          <w:lang w:val="en-US"/>
        </w:rPr>
        <w:t>LINE</w:t>
      </w:r>
      <w:r w:rsidRPr="00C20C9B">
        <w:t xml:space="preserve"> и </w:t>
      </w:r>
      <w:r w:rsidRPr="00C20C9B">
        <w:rPr>
          <w:lang w:val="en-US"/>
        </w:rPr>
        <w:t>STANDBY</w:t>
      </w:r>
      <w:r w:rsidRPr="00C20C9B">
        <w:t>-систем</w:t>
      </w:r>
      <w:r w:rsidR="00C20C9B" w:rsidRPr="00C20C9B">
        <w:t xml:space="preserve">. </w:t>
      </w:r>
      <w:r w:rsidRPr="00C20C9B">
        <w:t xml:space="preserve">Их объединяет то, что, являясь системами типа </w:t>
      </w:r>
      <w:r w:rsidRPr="00C20C9B">
        <w:rPr>
          <w:lang w:val="en-US"/>
        </w:rPr>
        <w:t>OFF</w:t>
      </w:r>
      <w:r w:rsidRPr="00C20C9B">
        <w:t>-</w:t>
      </w:r>
      <w:r w:rsidRPr="00C20C9B">
        <w:rPr>
          <w:lang w:val="en-US"/>
        </w:rPr>
        <w:t>LINE</w:t>
      </w:r>
      <w:r w:rsidRPr="00C20C9B">
        <w:t xml:space="preserve"> (прерываемыми</w:t>
      </w:r>
      <w:r w:rsidR="00C20C9B" w:rsidRPr="00C20C9B">
        <w:t xml:space="preserve">) </w:t>
      </w:r>
      <w:r w:rsidRPr="00C20C9B">
        <w:t>(</w:t>
      </w:r>
      <w:r w:rsidR="00C20C9B">
        <w:t>рис.4</w:t>
      </w:r>
      <w:r w:rsidRPr="00C20C9B">
        <w:t>, а</w:t>
      </w:r>
      <w:r w:rsidR="00C20C9B" w:rsidRPr="00C20C9B">
        <w:t>),</w:t>
      </w:r>
      <w:r w:rsidRPr="00C20C9B">
        <w:t xml:space="preserve"> они снабжают нагрузку в той или иной степени стабилизированным напряжением при питании от сети</w:t>
      </w:r>
      <w:r w:rsidR="00C20C9B" w:rsidRPr="00C20C9B">
        <w:t xml:space="preserve">. </w:t>
      </w:r>
    </w:p>
    <w:p w:rsidR="00A03E65" w:rsidRPr="00C20C9B" w:rsidRDefault="00A03E65" w:rsidP="00C20C9B">
      <w:pPr>
        <w:widowControl w:val="0"/>
        <w:autoSpaceDE w:val="0"/>
        <w:autoSpaceDN w:val="0"/>
        <w:adjustRightInd w:val="0"/>
      </w:pPr>
    </w:p>
    <w:p w:rsidR="00C20C9B" w:rsidRPr="00C20C9B" w:rsidRDefault="0010561D" w:rsidP="00C20C9B">
      <w:pPr>
        <w:widowControl w:val="0"/>
        <w:autoSpaceDE w:val="0"/>
        <w:autoSpaceDN w:val="0"/>
        <w:adjustRightInd w:val="0"/>
      </w:pPr>
      <w:r>
        <w:pict>
          <v:shape id="_x0000_i1051" type="#_x0000_t75" style="width:430.5pt;height:115.5pt">
            <v:imagedata r:id="rId33" o:title="" gain="2.5"/>
          </v:shape>
        </w:pict>
      </w:r>
    </w:p>
    <w:p w:rsidR="000C6E06" w:rsidRPr="00C20C9B" w:rsidRDefault="00C20C9B" w:rsidP="00C20C9B">
      <w:pPr>
        <w:widowControl w:val="0"/>
        <w:autoSpaceDE w:val="0"/>
        <w:autoSpaceDN w:val="0"/>
        <w:adjustRightInd w:val="0"/>
      </w:pPr>
      <w:r>
        <w:t>Рис.4</w:t>
      </w:r>
      <w:r w:rsidRPr="00C20C9B">
        <w:t xml:space="preserve">. </w:t>
      </w:r>
      <w:r w:rsidR="000C6E06" w:rsidRPr="00C20C9B">
        <w:t>Структурные схемы источника бесперебойного питания</w:t>
      </w:r>
      <w:r w:rsidR="00A03E65">
        <w:t xml:space="preserve"> </w:t>
      </w:r>
      <w:r w:rsidR="000C6E06" w:rsidRPr="00C20C9B">
        <w:rPr>
          <w:lang w:val="en-US"/>
        </w:rPr>
        <w:t>LINE</w:t>
      </w:r>
      <w:r w:rsidR="000C6E06" w:rsidRPr="00C20C9B">
        <w:t>-</w:t>
      </w:r>
      <w:r w:rsidR="000C6E06" w:rsidRPr="00C20C9B">
        <w:rPr>
          <w:lang w:val="en-US"/>
        </w:rPr>
        <w:t>INTERACTIVE</w:t>
      </w:r>
    </w:p>
    <w:p w:rsidR="00A03E65" w:rsidRDefault="00A03E65" w:rsidP="00C20C9B">
      <w:pPr>
        <w:widowControl w:val="0"/>
        <w:autoSpaceDE w:val="0"/>
        <w:autoSpaceDN w:val="0"/>
        <w:adjustRightInd w:val="0"/>
      </w:pP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По функциональным и схемотехническим признакам интерактивные ИБП можно отнести к одному из трех основных видов</w:t>
      </w:r>
      <w:r w:rsidR="00C20C9B" w:rsidRPr="00C20C9B">
        <w:t xml:space="preserve">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со ступенчато-апроксимированной формой выходного напряжения при работе от инвертора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с синусоидальной формой выходного напряжения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с феррорезонансной стабилизацией выходного напряжения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ИБП этого семейства оснащены бустерами (</w:t>
      </w:r>
      <w:r w:rsidRPr="00C20C9B">
        <w:rPr>
          <w:lang w:val="en-US"/>
        </w:rPr>
        <w:t>booster</w:t>
      </w:r>
      <w:r w:rsidR="00C20C9B" w:rsidRPr="00C20C9B">
        <w:t xml:space="preserve">) - </w:t>
      </w:r>
      <w:r w:rsidRPr="00C20C9B">
        <w:t xml:space="preserve">схемами ступенчатого автоматического регулирования входного напряжения вследствие переключения обмоток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автотрансформатора</w:t>
      </w:r>
      <w:r w:rsidR="00C20C9B" w:rsidRPr="00C20C9B">
        <w:t xml:space="preserve">. </w:t>
      </w:r>
      <w:r w:rsidRPr="00C20C9B">
        <w:t>Большинство интерактивных ИБП заряжают АБ при обратной работе инвертора, что позволяет избавиться от громоздкого ЗУ (см</w:t>
      </w:r>
      <w:r w:rsidR="00C20C9B" w:rsidRPr="00C20C9B">
        <w:t xml:space="preserve">. </w:t>
      </w:r>
      <w:r w:rsidR="00C20C9B">
        <w:t>рис.3</w:t>
      </w:r>
      <w:r w:rsidRPr="00C20C9B">
        <w:t xml:space="preserve"> и 4,6</w:t>
      </w:r>
      <w:r w:rsidR="00C20C9B" w:rsidRPr="00C20C9B">
        <w:t xml:space="preserve">). </w:t>
      </w:r>
      <w:r w:rsidRPr="00C20C9B">
        <w:t>Сам инвертор постоянно подсоединен к выходу, обеспечивая дополнительные стабилизационные функции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На основе ИБП проектируются системы гарантированного электроснабжения (СБЭ</w:t>
      </w:r>
      <w:r w:rsidR="00C20C9B" w:rsidRPr="00C20C9B">
        <w:t xml:space="preserve">) </w:t>
      </w:r>
      <w:r w:rsidRPr="00C20C9B">
        <w:t>(</w:t>
      </w:r>
      <w:r w:rsidR="00C20C9B">
        <w:t>рис.5</w:t>
      </w:r>
      <w:r w:rsidR="00C20C9B" w:rsidRPr="00C20C9B">
        <w:t xml:space="preserve">). </w:t>
      </w:r>
      <w:r w:rsidRPr="00C20C9B">
        <w:t>Под СБЭ понимают комплекс организационно-технических мероприятий, позволяющий обеспечить бесперебойное и качественное электроснабжение нагрузки</w:t>
      </w:r>
      <w:r w:rsidR="00C20C9B" w:rsidRPr="00C20C9B">
        <w:t xml:space="preserve">. </w:t>
      </w:r>
      <w:r w:rsidRPr="00C20C9B">
        <w:t xml:space="preserve">Децентрализованные СБЭ предполагают установку большого количества маломощных ИБП для каждого защищаемого прибора (компьютера, коммуникационного узла и </w:t>
      </w:r>
      <w:r w:rsidR="00C20C9B" w:rsidRPr="00C20C9B">
        <w:t xml:space="preserve">т.д.). </w:t>
      </w:r>
      <w:r w:rsidRPr="00C20C9B">
        <w:t>В случае централизованных СБЭ для центров диспетчерского управления проектируются централизованное преобразование, стабилизация и распределение энергии для питания потребителей</w:t>
      </w:r>
      <w:r w:rsidR="00C20C9B" w:rsidRPr="00C20C9B">
        <w:t xml:space="preserve">. </w:t>
      </w:r>
      <w:r w:rsidRPr="00C20C9B">
        <w:t xml:space="preserve">В общем виде подразумевается установка ИБП (одного или нескольких работающих параллельно или в </w:t>
      </w:r>
      <w:r w:rsidR="00C20C9B" w:rsidRPr="00C20C9B">
        <w:t>"</w:t>
      </w:r>
      <w:r w:rsidRPr="00C20C9B">
        <w:t>горячем</w:t>
      </w:r>
      <w:r w:rsidR="00C20C9B" w:rsidRPr="00C20C9B">
        <w:t>"</w:t>
      </w:r>
      <w:r w:rsidRPr="00C20C9B">
        <w:t xml:space="preserve"> резерве</w:t>
      </w:r>
      <w:r w:rsidR="00C20C9B" w:rsidRPr="00C20C9B">
        <w:t xml:space="preserve">) </w:t>
      </w:r>
      <w:r w:rsidRPr="00C20C9B">
        <w:t>и одного или нескольких дизель-генераторов</w:t>
      </w:r>
      <w:r w:rsidR="00C20C9B" w:rsidRPr="00C20C9B">
        <w:t xml:space="preserve">. </w:t>
      </w:r>
      <w:r w:rsidRPr="00C20C9B">
        <w:t>Дополнительные фильтры могут быть вынесены непосредственно к нагрузкам</w:t>
      </w:r>
      <w:r w:rsidR="00C20C9B" w:rsidRPr="00C20C9B">
        <w:t xml:space="preserve">. </w:t>
      </w:r>
      <w:r w:rsidRPr="00C20C9B">
        <w:t>Генераторы комплектуются панелями управления, которые позволяют выполнять их ручное и автоматическое включение и отключение, синхронизацию нескольких генераторов между собой, аварийные остановы, например, при превышении частоты вращения двигателя, перегреве, низком уровне топлива в баке и др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Переключения нагрузки между внешними сетями электроснабжения (фидерами 1 и 2</w:t>
      </w:r>
      <w:r w:rsidR="00C20C9B" w:rsidRPr="00C20C9B">
        <w:t xml:space="preserve">) </w:t>
      </w:r>
      <w:r w:rsidRPr="00C20C9B">
        <w:t>и генератором осуществляется с использованием панелей переключения СБЭ</w:t>
      </w:r>
      <w:r w:rsidR="00C20C9B" w:rsidRPr="00C20C9B">
        <w:t xml:space="preserve">.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Для надежной защиты нагрузки АДЦУ СБЭ контролирует параметры электроэнергии, исправность своих звеньев и своевременно реагирует на возникающие аварийные ситуации</w:t>
      </w:r>
      <w:r w:rsidR="00C20C9B" w:rsidRPr="00C20C9B">
        <w:t xml:space="preserve">. </w:t>
      </w:r>
      <w:r w:rsidRPr="00C20C9B">
        <w:t>Эти функции в системе выполняет программное обеспечение ИБП</w:t>
      </w:r>
      <w:r w:rsidR="00C20C9B" w:rsidRPr="00C20C9B">
        <w:t xml:space="preserve">. </w:t>
      </w:r>
      <w:r w:rsidRPr="00C20C9B">
        <w:t>Основными задачами ПО с СБЭ являются</w:t>
      </w:r>
      <w:r w:rsidR="00C20C9B" w:rsidRPr="00C20C9B">
        <w:t xml:space="preserve">: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закрытие операционных систем без потери данных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самодиагностирование ИБП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контроль параметров электроэнергии</w:t>
      </w:r>
      <w:r w:rsidR="00C20C9B" w:rsidRPr="00C20C9B">
        <w:t xml:space="preserve">; </w:t>
      </w:r>
    </w:p>
    <w:p w:rsidR="000C6E06" w:rsidRPr="00C20C9B" w:rsidRDefault="000C6E06" w:rsidP="00C20C9B">
      <w:pPr>
        <w:widowControl w:val="0"/>
        <w:autoSpaceDE w:val="0"/>
        <w:autoSpaceDN w:val="0"/>
        <w:adjustRightInd w:val="0"/>
      </w:pPr>
      <w:r w:rsidRPr="00C20C9B">
        <w:t>дистанционное управление ИБП</w:t>
      </w:r>
      <w:r w:rsidR="00C20C9B" w:rsidRPr="00C20C9B">
        <w:t xml:space="preserve">; </w:t>
      </w:r>
    </w:p>
    <w:p w:rsidR="000C6E06" w:rsidRDefault="000C6E06" w:rsidP="00C20C9B">
      <w:pPr>
        <w:widowControl w:val="0"/>
        <w:autoSpaceDE w:val="0"/>
        <w:autoSpaceDN w:val="0"/>
        <w:adjustRightInd w:val="0"/>
      </w:pPr>
      <w:r w:rsidRPr="00C20C9B">
        <w:t>мониторинг СБЭ, включая мотор-генераторные установки, коммутационную аппаратуру, ограничители перенапряжений и другое электрооборудование</w:t>
      </w:r>
      <w:r w:rsidR="00C20C9B" w:rsidRPr="00C20C9B">
        <w:t xml:space="preserve">; </w:t>
      </w:r>
    </w:p>
    <w:p w:rsidR="00A03E65" w:rsidRPr="00C20C9B" w:rsidRDefault="00A03E65" w:rsidP="00A03E65">
      <w:pPr>
        <w:widowControl w:val="0"/>
        <w:autoSpaceDE w:val="0"/>
        <w:autoSpaceDN w:val="0"/>
        <w:adjustRightInd w:val="0"/>
      </w:pPr>
      <w:r w:rsidRPr="00C20C9B">
        <w:t xml:space="preserve">прогнозирование возможных сбоев в электроснабжении с целью принятия превентивных мер по обеспечению бесперебойной работы АДЦУ. </w:t>
      </w:r>
    </w:p>
    <w:p w:rsidR="00C20C9B" w:rsidRPr="00C20C9B" w:rsidRDefault="001775D1" w:rsidP="00C20C9B">
      <w:pPr>
        <w:widowControl w:val="0"/>
        <w:autoSpaceDE w:val="0"/>
        <w:autoSpaceDN w:val="0"/>
        <w:adjustRightInd w:val="0"/>
      </w:pPr>
      <w:r>
        <w:br w:type="page"/>
      </w:r>
      <w:r w:rsidR="0010561D">
        <w:pict>
          <v:shape id="_x0000_i1052" type="#_x0000_t75" style="width:378.75pt;height:197.25pt" fillcolor="window">
            <v:imagedata r:id="rId34" o:title="" gain="218453f" blacklevel="-1966f"/>
          </v:shape>
        </w:pict>
      </w:r>
    </w:p>
    <w:p w:rsidR="000C6E06" w:rsidRPr="00C20C9B" w:rsidRDefault="00C20C9B" w:rsidP="00C20C9B">
      <w:pPr>
        <w:widowControl w:val="0"/>
        <w:autoSpaceDE w:val="0"/>
        <w:autoSpaceDN w:val="0"/>
        <w:adjustRightInd w:val="0"/>
      </w:pPr>
      <w:r>
        <w:t>Рис.5</w:t>
      </w:r>
      <w:r w:rsidRPr="00C20C9B">
        <w:t xml:space="preserve">. </w:t>
      </w:r>
      <w:r w:rsidR="000C6E06" w:rsidRPr="00C20C9B">
        <w:t>Структурная схема системы бесперебойного электроснабжения</w:t>
      </w:r>
    </w:p>
    <w:p w:rsidR="001775D1" w:rsidRDefault="001775D1" w:rsidP="00C20C9B">
      <w:pPr>
        <w:widowControl w:val="0"/>
        <w:autoSpaceDE w:val="0"/>
        <w:autoSpaceDN w:val="0"/>
        <w:adjustRightInd w:val="0"/>
      </w:pPr>
    </w:p>
    <w:p w:rsidR="000C6E06" w:rsidRPr="001775D1" w:rsidRDefault="000C6E06" w:rsidP="001775D1">
      <w:pPr>
        <w:widowControl w:val="0"/>
        <w:autoSpaceDE w:val="0"/>
        <w:autoSpaceDN w:val="0"/>
        <w:adjustRightInd w:val="0"/>
      </w:pPr>
      <w:r w:rsidRPr="00C20C9B">
        <w:t>Способность работы СБЭ даже при возникновении неисправностей достигается резервированием ИБП</w:t>
      </w:r>
      <w:r w:rsidR="00C20C9B" w:rsidRPr="00C20C9B">
        <w:t xml:space="preserve">. </w:t>
      </w:r>
      <w:r w:rsidRPr="00C20C9B">
        <w:t>В этом случае ИБП включаются параллельно, а при отказе одного из них неисправный отключается, а другой берет на себя электроснабжение всего диспетчерского центра управления</w:t>
      </w:r>
      <w:r w:rsidR="00C20C9B" w:rsidRPr="00C20C9B">
        <w:t xml:space="preserve">. </w:t>
      </w:r>
      <w:bookmarkStart w:id="0" w:name="_GoBack"/>
      <w:bookmarkEnd w:id="0"/>
    </w:p>
    <w:sectPr w:rsidR="000C6E06" w:rsidRPr="001775D1" w:rsidSect="00C20C9B">
      <w:headerReference w:type="default" r:id="rId35"/>
      <w:footerReference w:type="default" r:id="rId36"/>
      <w:headerReference w:type="first" r:id="rId37"/>
      <w:footerReference w:type="first" r:id="rId38"/>
      <w:pgSz w:w="11909" w:h="16834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3F3" w:rsidRDefault="006153F3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6153F3" w:rsidRDefault="006153F3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65" w:rsidRDefault="00A03E6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65" w:rsidRDefault="00A03E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3F3" w:rsidRDefault="006153F3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6153F3" w:rsidRDefault="006153F3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65" w:rsidRDefault="0066518B" w:rsidP="00C20C9B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03E65" w:rsidRDefault="00A03E65" w:rsidP="00C20C9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65" w:rsidRDefault="00A03E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1D19B9"/>
    <w:multiLevelType w:val="singleLevel"/>
    <w:tmpl w:val="0586260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F84C41"/>
    <w:multiLevelType w:val="singleLevel"/>
    <w:tmpl w:val="4CC8137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E06"/>
    <w:rsid w:val="00054228"/>
    <w:rsid w:val="000C6E06"/>
    <w:rsid w:val="0010561D"/>
    <w:rsid w:val="001775D1"/>
    <w:rsid w:val="003E5AC5"/>
    <w:rsid w:val="006153F3"/>
    <w:rsid w:val="0066518B"/>
    <w:rsid w:val="00A03E65"/>
    <w:rsid w:val="00B66207"/>
    <w:rsid w:val="00C20C9B"/>
    <w:rsid w:val="00F23C28"/>
    <w:rsid w:val="00F3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0B03B362-1424-41D7-9CC6-374BE1AE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20C9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20C9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20C9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20C9B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20C9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20C9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20C9B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20C9B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20C9B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20C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C20C9B"/>
    <w:rPr>
      <w:vertAlign w:val="superscript"/>
    </w:rPr>
  </w:style>
  <w:style w:type="paragraph" w:styleId="a7">
    <w:name w:val="Body Text"/>
    <w:basedOn w:val="a2"/>
    <w:link w:val="aa"/>
    <w:uiPriority w:val="99"/>
    <w:rsid w:val="00C20C9B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C20C9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20C9B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C20C9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20C9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C20C9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20C9B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20C9B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20C9B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20C9B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20C9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20C9B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C20C9B"/>
  </w:style>
  <w:style w:type="character" w:customStyle="1" w:styleId="af5">
    <w:name w:val="номер страницы"/>
    <w:uiPriority w:val="99"/>
    <w:rsid w:val="00C20C9B"/>
    <w:rPr>
      <w:sz w:val="28"/>
      <w:szCs w:val="28"/>
    </w:rPr>
  </w:style>
  <w:style w:type="paragraph" w:styleId="af6">
    <w:name w:val="Normal (Web)"/>
    <w:basedOn w:val="a2"/>
    <w:uiPriority w:val="99"/>
    <w:rsid w:val="00C20C9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20C9B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C20C9B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20C9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20C9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20C9B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C20C9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20C9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20C9B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C20C9B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20C9B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20C9B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20C9B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20C9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20C9B"/>
    <w:rPr>
      <w:i/>
      <w:iCs/>
    </w:rPr>
  </w:style>
  <w:style w:type="paragraph" w:customStyle="1" w:styleId="af8">
    <w:name w:val="ТАБЛИЦА"/>
    <w:next w:val="a2"/>
    <w:autoRedefine/>
    <w:uiPriority w:val="99"/>
    <w:rsid w:val="00C20C9B"/>
    <w:pPr>
      <w:spacing w:line="360" w:lineRule="auto"/>
    </w:pPr>
    <w:rPr>
      <w:color w:val="000000"/>
    </w:rPr>
  </w:style>
  <w:style w:type="paragraph" w:customStyle="1" w:styleId="14">
    <w:name w:val="Стиль1"/>
    <w:basedOn w:val="af8"/>
    <w:autoRedefine/>
    <w:uiPriority w:val="99"/>
    <w:rsid w:val="00C20C9B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C20C9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C20C9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C20C9B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C20C9B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C20C9B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jpe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image" Target="media/image19.wmf"/><Relationship Id="rId33" Type="http://schemas.openxmlformats.org/officeDocument/2006/relationships/image" Target="media/image27.jpe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5917</Words>
  <Characters>33733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</vt:lpstr>
    </vt:vector>
  </TitlesOfParts>
  <Company>Дом</Company>
  <LinksUpToDate>false</LinksUpToDate>
  <CharactersWithSpaces>39571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</dc:title>
  <dc:subject/>
  <dc:creator>Лена</dc:creator>
  <cp:keywords/>
  <dc:description/>
  <cp:lastModifiedBy>admin</cp:lastModifiedBy>
  <cp:revision>2</cp:revision>
  <dcterms:created xsi:type="dcterms:W3CDTF">2014-03-10T00:11:00Z</dcterms:created>
  <dcterms:modified xsi:type="dcterms:W3CDTF">2014-03-10T00:11:00Z</dcterms:modified>
</cp:coreProperties>
</file>