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99" w:rsidRPr="00612ADC" w:rsidRDefault="00931B99" w:rsidP="00931B99">
      <w:pPr>
        <w:spacing w:before="120"/>
        <w:jc w:val="center"/>
        <w:rPr>
          <w:b/>
          <w:bCs/>
          <w:sz w:val="32"/>
          <w:szCs w:val="32"/>
        </w:rPr>
      </w:pPr>
      <w:r w:rsidRPr="00612ADC">
        <w:rPr>
          <w:b/>
          <w:bCs/>
          <w:sz w:val="32"/>
          <w:szCs w:val="32"/>
        </w:rPr>
        <w:t>Принципы устройства и работы, электронно-вычислительных машин.</w:t>
      </w:r>
    </w:p>
    <w:p w:rsidR="00931B99" w:rsidRPr="00612ADC" w:rsidRDefault="00931B99" w:rsidP="00931B99">
      <w:pPr>
        <w:spacing w:before="120"/>
        <w:jc w:val="center"/>
        <w:rPr>
          <w:b/>
          <w:bCs/>
          <w:sz w:val="28"/>
          <w:szCs w:val="28"/>
        </w:rPr>
      </w:pPr>
      <w:r w:rsidRPr="00612ADC">
        <w:rPr>
          <w:b/>
          <w:bCs/>
          <w:sz w:val="28"/>
          <w:szCs w:val="28"/>
        </w:rPr>
        <w:t>1. Структура ПЭВМ, системные устройства.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Современные персональные ЭВМ оснащаются разнообразными техническими устройствами и по своему составу могут значительно отличаться друг от друга. Однако для всех типов ПЭВМ можно выделить минимальный (базовый) состав аппаратуры. Дисплей системный, блок, клавиатура.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Конструкции ПЭВМ конкретного типа могут отличаться друг от друга составом и расположением технических устройств. Например, в последних моделях компьютеров внешние запоминающие устройства (накопители) на жестком и гибких магнитных дисках, конструктивно включены в один общий корпус, называемый системным блоком.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 портативных компьютерах типа NOTEBOOK вообще все технические устройства, включая клавиатуру и дисплей, объединены вместе в виде портфеля – "дипломата". Технические устройства, входящие в ее состав, можно разделить на три группы: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1. Системные устройства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2. Внешние запоминающие устройства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3. Устройства ввода – вывода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Системные устройства образуют центральную часть персональной ЭВМ и служат для обработки информации, поступающей от внешних запоминающих устройств и устройств ввода – вывода.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Внешние запоминающие устройства (ВЗУ) предназначены для длительного хранения данных и программ. Информация сохраняется на ВЗУ, и после выключения электропитания компьютера.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Устройства ввода – вывода предназначены для ввода и вывода данных, текстов компьютерных программ, графиков, рисунков и другой информации, а так же для организации диалога человека – пользователя с компьютером.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Внешние запоминающие устройства и устройства ввода – вывода объединяются общим названием – внешние или периферийные устройства.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Базовый состав ПЭВМ может дополняться другими техническими средствами, например, манипулятором типа "мышь", графопостроителем, сканером и другими устройствами.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Расширение состава аппаратуры ПЭВМ выполняется простым подключением дополнительных устройств к системному блоку посредством линий связи (электрических кабелей). Такое несложное расширение состава ПЭВМ возможно благодаря модульному принципу их построения. Суть этого принципа заключается в том, что все технические средства разделяются на отдельные блоки, например, центральный микро процессор, внутренняя память и другие. Такие блоки называются функциональными модулями. Связь между модулями осуществляется через специальный канал – системная шина.</w:t>
      </w:r>
    </w:p>
    <w:p w:rsidR="00931B99" w:rsidRPr="00612ADC" w:rsidRDefault="00931B99" w:rsidP="00931B99">
      <w:pPr>
        <w:spacing w:before="120"/>
        <w:jc w:val="center"/>
        <w:rPr>
          <w:b/>
          <w:bCs/>
          <w:sz w:val="28"/>
          <w:szCs w:val="28"/>
        </w:rPr>
      </w:pPr>
      <w:r w:rsidRPr="00612ADC">
        <w:rPr>
          <w:b/>
          <w:bCs/>
          <w:sz w:val="28"/>
          <w:szCs w:val="28"/>
        </w:rPr>
        <w:t>Внешние запоминающие устройства.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Особенностью внешних запоминающих устройств (ВЗУ) является возможность длительного хранения информации, которая сохраняется после выключения ПЭВМ. Информация, хранящаяся в ВЗУ, предназначена для обработки центральным микропроцессором. Но перед этим она должна быть полностью или по частям переписана в оперативное запоминающее устройство внутренней памяти компьютера и только после этого обработана. Обмен информацией между ВЗУ и ОЗУ осуществляется в двух направлениях: прямом и обратном. Процесс передачи информации из ВЗУ в оперативную память для последующей обработки центральным микропроцессором называется вводом, обратный процесс – выводом.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 ПЭВМ наиболее широкое распространение получили следующие виды ВЗУ: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накопители на гибких магнитных дисках (НГМД);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накопители на жестком магнитном диске (НЖМД);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накопители на лазерном диске (НЛД).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Основными характеристики ВЗУ являются: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емкость;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время доступа;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- скорость передачи.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Емкость ВЗУ – максимальное количество информации, которое можно записать на данном устройстве. Единицы измерения – кило- и мегабайты.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Время доступа – это отрезок времени с момента обращения к ВЗУ до момента, когда необходимая информация, хранящаяся на ВЗУ, будет найдена. Единицей измерения являются тысячные доли секунды – миллисекунды.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Скорость передачи определяется количеством информации, передаваемой из ВЗУ в оперативную память в единицу времени. Единица измерения – килобайты в секунду.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Вопросы: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1. Назовите базовый состав ПЭВМ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2. Что является основными характеристиками ВЗУ?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3. Чем определяется емкость ВЗУ. Ее единицы измерения.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4. Что такое время доступа? Единицы измерения.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5. Чем определяется скорость? Ее единицы измерения.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2. Устройства ввода - вывода информации.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Устройство ввода-вывода предназначены для выполнения следующих функций: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ввода информации в ПЭВМ;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корректировки вводимой информации;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вывода результатов обработки;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- организация диалога человека с компьютером.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Из всего многообразия устройств ввода-вывода, которыми могут оснащаться современные ПЭВМ, основными, входящими в базовый состав аппаратуры, являются: клавиатура, дисплей и печатающее устройство.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Клавиатура представляет собой устройство для ручного ввода информации в ЭВМ.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Все клавиши входящие в ее состав, можно разделить на 5 групп: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алфавитно-цифровые;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дополнительные цифровые;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управление курсором;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специальные;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функциональные.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Группа алфавитно-цифровых клавиш объединяет клавиши букв латинского и русского алфавитов, десятичных цифр и специальных знаков (арифметических операций, операций сравнения, препинания и т.д.).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Клавиши имеют две надписи: одна – вверху, другая – внизу. Верхние соответствуют буквам латинского алфавита, нижние – русского и могут быть как прописными, так и строчными. Клавиши с цифрами и специальными знаками также имеют две надписи.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 xml:space="preserve">Переход с латинского алфавита на русский и обратно выполняется нажатием специальной клавиши. В нижней части, в середине, клавиатуры расположена клавиша пробела. 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Клавиши управления курсором обозначены стрелками, расположенными в разные стороны. Они предназначены для перемещения метки курсора на экране дисплея соответственно влево, вправо, вверх и вниз.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Клавиша Page Down выполняет "листание" отображаемой информации на размер экрана дисплея вперед, а клавиша Page Up – назад. С помощью клавиши Home на экран дисплея выводятся первые строки отображаемой информации, а курсор устанавливается в первую позицию первой строки экрана дисплея.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 xml:space="preserve">Группа специальных клавиш: 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Alt – используется в комбинациях с другими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Backspace – удаление символа, расположенного перед курсором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Break – прерывание выполнения команды или программы</w:t>
      </w:r>
    </w:p>
    <w:p w:rsidR="00931B99" w:rsidRPr="00BE46F7" w:rsidRDefault="00931B99" w:rsidP="00931B99">
      <w:pPr>
        <w:spacing w:before="120"/>
        <w:ind w:firstLine="567"/>
        <w:jc w:val="both"/>
      </w:pPr>
      <w:r w:rsidRPr="00BE46F7">
        <w:t>Caps Lock – переключение размера букв (прописные или строчные)</w:t>
      </w:r>
    </w:p>
    <w:p w:rsidR="00931B99" w:rsidRDefault="00931B99" w:rsidP="00931B99">
      <w:pPr>
        <w:spacing w:before="120"/>
        <w:ind w:firstLine="567"/>
        <w:jc w:val="both"/>
      </w:pPr>
      <w:r w:rsidRPr="00BE46F7">
        <w:t>Delete – удаление символа, расположенного над курсор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B99"/>
    <w:rsid w:val="00095BA6"/>
    <w:rsid w:val="0031418A"/>
    <w:rsid w:val="005A2562"/>
    <w:rsid w:val="00612ADC"/>
    <w:rsid w:val="00653F9B"/>
    <w:rsid w:val="00931B99"/>
    <w:rsid w:val="00971D7A"/>
    <w:rsid w:val="00A44D32"/>
    <w:rsid w:val="00BE46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141603-323F-4D97-94C4-50CF4470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>Home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устройства и работы, электронно-вычислительных машин</dc:title>
  <dc:subject/>
  <dc:creator>Alena</dc:creator>
  <cp:keywords/>
  <dc:description/>
  <cp:lastModifiedBy>admin</cp:lastModifiedBy>
  <cp:revision>2</cp:revision>
  <dcterms:created xsi:type="dcterms:W3CDTF">2014-02-16T16:46:00Z</dcterms:created>
  <dcterms:modified xsi:type="dcterms:W3CDTF">2014-02-16T16:46:00Z</dcterms:modified>
</cp:coreProperties>
</file>