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FE" w:rsidRPr="00A31C46" w:rsidRDefault="00CB4FFE" w:rsidP="00CB4FFE">
      <w:pPr>
        <w:spacing w:before="120"/>
        <w:jc w:val="center"/>
        <w:rPr>
          <w:b/>
          <w:bCs/>
          <w:sz w:val="32"/>
          <w:szCs w:val="32"/>
        </w:rPr>
      </w:pPr>
      <w:r w:rsidRPr="00A31C46">
        <w:rPr>
          <w:b/>
          <w:bCs/>
          <w:sz w:val="32"/>
          <w:szCs w:val="32"/>
        </w:rPr>
        <w:t xml:space="preserve">Проблема травматизма в строительстве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Статья 3 Всеобщей декларации прав человека гласит: “Каждый человек имеет право на жизнь”. Статья 7 Международного Пакта об экономических, социальных и культурных правах включает в себя следующее: “Участвующие в настоящем пакте государства признают право каждого на справедливые и благоприятные условия труда, включая, в частности… условия работы, отвечающие требованиям безопасности и гигиены”. Конституция Российской Федерации содержит указанные положения без существенных текстуальных изменений (ст.ст. 20, 37).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В основе идеологии демократических режимов лежит понимание того, что некие фундаментальные права даны каждому человеку от рождения — причем даны не государством. Так, в американской Декларации независимости, принятой в конце XVIII века, эта идея выражена следующим образом: “Все люди созданы равными и обладают некоторыми неотъемлемыми правами, врученными им Создателем, среди которых есть право на жизнь…”. Это означает, что никто — в том числе и государство — не может их отобрать, потому что не оно их давало. Напротив, задача государства заключается в том, чтобы эти данные свыше права охранять от любых посягательств и нарушений. Наше государство справляется с этой задачей не лучшим образом, и это обстоятельство достаточно убедительно иллюстрируется, в частности, ситуацией, связанной с охраной труда.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В отношении наиболее серьезных несчастных случаев Федеральная инспекция труда Министерства труда и социального развития Российской Федерации приводит следующие данные. По уровню производственного травматизма наша страна в 3 —10 раз опережает индустриально развитые страны. Профессиональные заболевания и производственный травматизм уже угрожают не только здоровью, но и генофонду нации, они превратились в реальную угрозу национальной безопасности (см. Шадрин. В. Рабочее место не должно быть зоной смертельного риска (по материалам Первого Общероссийского совещания по охране и безопасности труда, проходившего 3 – 5 июня 1996 г. в Москве) // Человек и труд (условия и организация труда). М., 1996, № 8. с. 93).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Известно, что строительство относится к ряду производственных процессов, характеризующихся повышенной опасностью для непосредственных исполнителей рабочих операций. На его долю приходится до 35% несчастных случаев в промышленности России. В настоящее время складывается устойчивая тенденция к росту этого показателя, причем сведения о значительной части травматических событий остаются за рамками отчетов официальной статистики. Такая ситуация связана, с одной стороны, с существенным снижением эффективности системы охраны труда в строительстве, а с другой — с избытком рабочей силы, лиц различного уровня квалификации, нетребовательных к условиям труда. Указанные обстоятельства способствуют тому, что руководители строительных организаций, в частности “самостийных” строительных и ремонтно-строительных фирм, артелей и бригад, закладывают в расходную часть недостаточный объем затрат бюджета на обучение, инструктаж, обеспечение спецодеждой и иные средства защиты, а также на принятие эффективных трудоохранных мер. Ситуация в Москве, наиболее привлекательном для работы городе России, весьма показательна: статистика (табл. 1 и 2) отражает лидирующее место строительства и промышленности строительных материалов по количеству случаев травмирования и гибели людей (данные Государственной инспекции труда в г. Москве).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Таблица 1. Количество смертельных, тяжелых и групповых несчастных случаев в различных отраслях народного хозяйства г.Москвы в 1999-2002 гг. </w:t>
      </w:r>
    </w:p>
    <w:tbl>
      <w:tblPr>
        <w:tblW w:w="5000" w:type="pct"/>
        <w:tblCellSpacing w:w="7" w:type="dxa"/>
        <w:tblInd w:w="72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62"/>
        <w:gridCol w:w="722"/>
        <w:gridCol w:w="722"/>
        <w:gridCol w:w="722"/>
        <w:gridCol w:w="729"/>
      </w:tblGrid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Группы отраслей экономики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1999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2000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2001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Строительство и промышленность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строительных материалов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339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Жилищно-коммунальное хозяйство и бытовое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обслуживание населения, городской транспорт,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связь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161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Авиационная, оборонные отрасли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промышленности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51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Электроэнергетика, топливная, химическая и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нефтехимическая 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33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Машиностроение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63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Легкая, пищевая и мясомолочная 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72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Здравоохранение и медицинская 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48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Государственные учреждения, наука, финансовые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организации, культура, спорт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Малый бизнес, торговля, общественное питание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72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Железнодорожный транспорт, транспортное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строительство (включая метрополитен)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28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Водный транспорт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Авиационный транспорт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</w:t>
            </w:r>
          </w:p>
        </w:tc>
      </w:tr>
    </w:tbl>
    <w:p w:rsidR="00CB4FFE" w:rsidRPr="00A31C46" w:rsidRDefault="00CB4FFE" w:rsidP="00CB4FFE">
      <w:pPr>
        <w:spacing w:before="120"/>
        <w:ind w:firstLine="567"/>
        <w:jc w:val="both"/>
      </w:pP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Таблица 2. Количество погибших в различных отраслях народного хозяйства г.Москвы в 1999-2002 гг. </w:t>
      </w:r>
    </w:p>
    <w:tbl>
      <w:tblPr>
        <w:tblW w:w="5000" w:type="pct"/>
        <w:tblCellSpacing w:w="7" w:type="dxa"/>
        <w:tblInd w:w="661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62"/>
        <w:gridCol w:w="722"/>
        <w:gridCol w:w="722"/>
        <w:gridCol w:w="722"/>
        <w:gridCol w:w="729"/>
      </w:tblGrid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Группы отраслей экономики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1999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2000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2001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Строительство и промышленность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строительных материалов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125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Жилищно-коммунальное хозяйство и бытовое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обслуживание населения, городской транспорт,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связь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Авиационная, оборонные отрасли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промышленности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Электроэнергетика, топливная, химическая и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нефтехимическая 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Машиностроение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Легкая, пищевая и мясомолочная 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Здравоохранение и медицинская 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Государственные учреждения, наука, финансовые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организации, культура, спорт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33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Малый бизнес, торговля, общественное питание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16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Железнодорожный транспорт, транспортное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строительство (включая метрополитен)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10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Водный транспорт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-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Авиационный транспорт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</w:t>
            </w:r>
          </w:p>
        </w:tc>
      </w:tr>
    </w:tbl>
    <w:p w:rsidR="00CB4FFE" w:rsidRPr="00A31C46" w:rsidRDefault="00CB4FFE" w:rsidP="00CB4FFE">
      <w:pPr>
        <w:spacing w:before="120"/>
        <w:ind w:firstLine="567"/>
        <w:jc w:val="both"/>
      </w:pP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Следует отметить, что в общем количестве несчастных случаев со смертельным исходом, происшедших в строительстве и промышленности строительных материалов г. Москвы, основной их удельный вес приходится на собственно строительство. Так, в 2001 г. произошло 119, а в 2002 г. — 121 случай (в промышленности строительных материалов произошло, соответственно, 11 и 4 случая). Устойчивое первое место по рассматриваемым показателям (табл. 3) занимает строительство и в целом по стране (данные предоставлены Федеральной инспекцией труда Министерства труда и социального развития Российской Федерации).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Таблица 3. </w:t>
      </w:r>
    </w:p>
    <w:tbl>
      <w:tblPr>
        <w:tblW w:w="5000" w:type="pct"/>
        <w:tblCellSpacing w:w="7" w:type="dxa"/>
        <w:tblInd w:w="661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131"/>
        <w:gridCol w:w="873"/>
        <w:gridCol w:w="873"/>
        <w:gridCol w:w="880"/>
      </w:tblGrid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Отрасли хозяйства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2000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2001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Строительство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897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1002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966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Промышленность строительных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материалов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130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Электроэнергетика, всего: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114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Газовая 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Химическая и нефтехимическая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промышленность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86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Машиностроение и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металлообработка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295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Легкая 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34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Пищевая 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85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Мясная и молочная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промышленность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Траспорт, всего: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565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Связь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50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Торговля и общественное питание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257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Здравоохранение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64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7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Жилищно-коммунальное хозяйство и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бытовое обслуживание населения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261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Культура и искусство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17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Наука и научное обслуживание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41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Финансы, кредит, страхование,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29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Органы государственного управления,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власти и местного самоуправления,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общественные объездинения и организация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294</w:t>
            </w:r>
          </w:p>
        </w:tc>
      </w:tr>
    </w:tbl>
    <w:p w:rsidR="00CB4FFE" w:rsidRPr="00A31C46" w:rsidRDefault="00CB4FFE" w:rsidP="00CB4FFE">
      <w:pPr>
        <w:spacing w:before="120"/>
        <w:ind w:firstLine="567"/>
        <w:jc w:val="both"/>
      </w:pP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В настоящее время получает все более широкое распространение ведение строительных и ремонтно-строительных работ на территориях воинских частей, соединений, военных и исправительных учреждений, погранзастав силами военнослужащих, военнообязанных во время прохождения ими сборов, сотрудников исправительных учреждений, а также рабочих и служащих Вооруженных сил России. Во исполнение служебных обязанностей либо приказов командиров и начальников работы, связанные со строительством, производятся и за пределами указанных территорий. Военнослужащих можно увидеть в цехах заводов и предприятий, выпускающих строительные конструкции, детали и материалы; на строительстве жилых домов и промышленных предприятий, пресловутых “генеральских” дач, при выполнении ремонтных работ на автодорогах и т.д.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Недостаточное финансирование Вооруженных сил, системы исправительных учреждений обусловливает стремление командиров и начальников вести строительство и осуществлять ремонт зданий, строений и сооружений силами своих подчиненных, без привлечения профессиональных рабочих и опытных руководителей строительного производства, направлять рядовых и младших командиров на предприятия строительной индустрии для выполнения обязанностей рабочих в порядке своеобразной оплаты за материалы и изделия, необходимые для ведения строительства и ремонта военно-строительных и иных объектов. Массовый отток квалифицированных кадров, прежде всего офицеров, привел к невозможности в полной мере обеспечить проведение работ руководителями, способными грамотно, в соответствии с требованиями действующих норм и правил, осуществлять организацию и контроль строительства и восстановления требующих ремонта объектов. Все это формирует условия для создания опасной обстановки, в которой и происходит несчастный случай (авария).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Наглядным показателем, подтверждающим тенденцию деградации производственной среды и углубления кризиса в сфере охраны труда, является высокий удельный вес работников, занятых на рабочих местах, не отвечающих санитарно-гигиеническим, эргономическим требованиям и правилам охраны труда. Так, численность занятых в неблагоприятных, вредных и опасных условиях в среднем за год в строительстве увеличивается на 8 %. (см. Роик В. Безопасность труда в России // Охрана труда и социальное страхование. – 1996, № 12. с. 16 —18). Более 1 млн человек, деятельность которых связана с этой отраслью, заняты на рабочих местах, не отвечающих требованиям стандартов безопасности труда. На строительных площадках и в цехах предприятий стройиндустрии ежегодно происходит около 46 тыс. несчастных случаев, при этом погибает около 1500 человек (количество несчастных случаев со смертельным исходом на 1000 работающих увеличивается на 13% в год). В отрасли практически перестала действовать система управления охраной труда, ниже возможно допустимого уровня сокращена численность служб охраны труда в организациях, а на 40% предприятий вообще таких служб нет, как нет и надлежащих условий для подготовки и обеспечения строительства соответствующими специалистами. Так, например, Московский государственный строительный университет (МГСУ) выпускает в год всего 10 — 12 инженеров с квалификацией “инженер по безопасности жизнедеятельности”.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Проблема безопасности и охраны труда в строительстве остается одной из самых актуальных и социально значимых, так как ее решение затрагивает непосредственные интересы каждого из 7 млн работающих в отрасли. По различным существующим классификациям основные травмирующие факторы насчитывают свыше 30 определений, а номенклатура организационных, технических и других причин нарушения правил техники безопасности в строительстве, приводящих к возникновению травмирующих факторов, — свыше 150 позиций. Нет необходимости рассматривать каждую из них, так как они подробно описаны в специальной литературе. Отметим самые представительные с точки зрения их потенциальной опасности и частоты воздействия.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Исходя из анализа статистических данных, основными травмирующими факторами при производстве строительных работ следует считать: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падение с высоты – 28% от общего числа случаев;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машины и механизмы – 14,6%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дорожно-транспортные происшествия – 14,6%;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обрушения, падения предметов на человека – 13%;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электротравмы – 7,4%;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температурные воздействия – 6%;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обрабатываемая деталь – 5%;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отравление, химические ожоги – 3,4%;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утопление – 2%;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иные факторы – 6%.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При этом велик удельный вес пострадавших, которые в момент травмирования не выполняли никакой работы, но находились на стройплощадке. Их доля составляет не менее 16 %. В определенной степени это объясняется низким уровнем организации труда и слабой дисциплиной работающих. В 35% всех зарегистрированных несчастных случаев пострадавшие находились в состоянии алкогольного опьянения.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Отмечается, что на объектах, сооружаемых отечественными строительными организациями, рабочие высокой и средней квалификации составляют не более 30%, а доля рабочих, не имеющих строительной специальности и проходящих обучение зачастую непосредственно на стройплощадке, нередко доходит до 50%.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Естественно, что самый высокий травматизм наблюдается у рабочих с минимальным производственным стажем и низкой квалификацией. Количество случаев травматизма, произошедших с рабочими, имеющими 2 — 3 разряд и стаж работы до одного года, в 3 — 4 раза больше, чем с опытными рабочими.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Основными причинами производственного травматизма, по выводам ЦК профсоюза работников строительства и промышленности строительных материалов России, являются: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отсутствие надзора со стороны ИТР за правильным и безопасным ведением работ — до 30% случаев;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эксплуатация неисправного оборудования — до 23%;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грубое нарушение правил техники безопасности — до 16%;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нарушение технологических регламентов, отсутствие проектов организации строительства (ПОС), проектов производства работ (ППР) и другой документации или их некачественная разработка — до 14% случаев.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Причинами травматизма являются также выполнение работ лицами, не прошедшими инструктаж и обучение, конструктивные недостатки машин и механизмов, отсутствие защитного оборудования и технических средств, отсутствие средств индивидуальной защиты (СИЗ) или их неиспользование и др. При всем многообразии причин несчастных случаев их объединяет то, что общим условием произошедшего являются нарушения правил безопасности при ведении строительных работ.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Законом предусмотрена уголовная ответственность за деяния, выразившиеся в нарушении указанных правил (ст. 216 УК). В табл. 4 приведен ряд статистических данных о делах этой категории, предоставленных Отделом разработки технологии, внедрения, эксплуатации и технического обеспечения информационных автоматизированных систем органов прокуратуры Института проблем укрепления законности и правопорядка при Генеральной прокуратуре Российской Федерации.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Таблица 4. </w:t>
      </w:r>
    </w:p>
    <w:tbl>
      <w:tblPr>
        <w:tblW w:w="5000" w:type="pct"/>
        <w:tblCellSpacing w:w="7" w:type="dxa"/>
        <w:tblInd w:w="661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63"/>
        <w:gridCol w:w="1823"/>
        <w:gridCol w:w="1414"/>
        <w:gridCol w:w="1682"/>
        <w:gridCol w:w="2194"/>
        <w:gridCol w:w="1381"/>
      </w:tblGrid>
      <w:tr w:rsidR="00CB4FFE" w:rsidRPr="00A31C46" w:rsidTr="006F49C1">
        <w:trPr>
          <w:tblCellSpacing w:w="7" w:type="dxa"/>
        </w:trPr>
        <w:tc>
          <w:tcPr>
            <w:tcW w:w="0" w:type="auto"/>
            <w:vMerge w:val="restart"/>
            <w:shd w:val="clear" w:color="auto" w:fill="DDDDDD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Период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времени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(год)</w:t>
            </w:r>
          </w:p>
        </w:tc>
        <w:tc>
          <w:tcPr>
            <w:tcW w:w="0" w:type="auto"/>
            <w:vMerge w:val="restart"/>
            <w:shd w:val="clear" w:color="auto" w:fill="DDDDDD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Количество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престу-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плений,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уголовные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дела по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которым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нахо-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дились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 произ-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водстве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на начало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отчетного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периода или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зарегистри-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рованы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 отчетном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году</w:t>
            </w:r>
          </w:p>
        </w:tc>
        <w:tc>
          <w:tcPr>
            <w:tcW w:w="0" w:type="auto"/>
            <w:gridSpan w:val="3"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DDDDDD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Выя-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влено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лиц,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соверша-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вших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престу-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пления 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vMerge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</w:p>
        </w:tc>
        <w:tc>
          <w:tcPr>
            <w:tcW w:w="0" w:type="auto"/>
            <w:vMerge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Зарегест-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рировано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престу-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плений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отчетном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году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Престу-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пления,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дела,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материалы,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прото-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кольные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произво-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дства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которым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закончены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расследо-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ванием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либо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разрешены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 отчетном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году </w:t>
            </w:r>
          </w:p>
        </w:tc>
        <w:tc>
          <w:tcPr>
            <w:tcW w:w="0" w:type="auto"/>
            <w:shd w:val="clear" w:color="auto" w:fill="DDDDDD"/>
            <w:vAlign w:val="center"/>
          </w:tcPr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Престу-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пления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(независимо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от времени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совершения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и реги-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страции),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следствие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которым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 отчетном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году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впервые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прриоста-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новлено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за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нерозы-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ском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или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неустано-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влением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виновных лиц,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подлежащих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привлечению в</w:t>
            </w:r>
          </w:p>
          <w:p w:rsidR="00CB4FFE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качестве</w:t>
            </w:r>
          </w:p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 xml:space="preserve">обвиняемых </w:t>
            </w:r>
          </w:p>
        </w:tc>
        <w:tc>
          <w:tcPr>
            <w:tcW w:w="0" w:type="auto"/>
            <w:vMerge/>
            <w:shd w:val="clear" w:color="auto" w:fill="DDDDDD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84 (8)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319 (32)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246 (22)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62 (7)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350(38)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79 (7)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258 (37)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282 (22)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47 (5)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266(36)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67 (9)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220 (25)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170 (16)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33 (4)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243(23)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238 (37)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174 (24)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130 (23)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22 (0)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184(37)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242 (37)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 (30)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142 (19)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23 (4)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203(36)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249 (33)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179 (26)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154 (20)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17 (1)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190(33)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192 (27)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146 (19)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108 (12)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 (4)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142(12)</w:t>
            </w:r>
          </w:p>
        </w:tc>
      </w:tr>
      <w:tr w:rsidR="00CB4FFE" w:rsidRPr="00A31C46" w:rsidTr="006F49C1">
        <w:trPr>
          <w:trHeight w:val="405"/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162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211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218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228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238</w:t>
            </w:r>
          </w:p>
        </w:tc>
      </w:tr>
      <w:tr w:rsidR="00CB4FFE" w:rsidRPr="00A31C46" w:rsidTr="006F49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4FFE" w:rsidRPr="00A31C46" w:rsidRDefault="00CB4FFE" w:rsidP="006F49C1">
            <w:pPr>
              <w:jc w:val="both"/>
              <w:rPr>
                <w:spacing w:val="24"/>
              </w:rPr>
            </w:pPr>
            <w:r w:rsidRPr="00A31C46">
              <w:rPr>
                <w:spacing w:val="24"/>
              </w:rPr>
              <w:t>228</w:t>
            </w:r>
          </w:p>
        </w:tc>
      </w:tr>
    </w:tbl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При этом количество осужденных составило: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в 1997 г. – 92 чел.;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1998 г. – 124 чел.;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1999 г. – 109 чел.;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2000 г. – 103 чел.;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2001 г. – 149 чел.; </w:t>
      </w:r>
    </w:p>
    <w:p w:rsidR="00CB4FFE" w:rsidRPr="00A31C46" w:rsidRDefault="00CB4FFE" w:rsidP="00CB4FFE">
      <w:pPr>
        <w:spacing w:before="120"/>
        <w:ind w:firstLine="567"/>
        <w:jc w:val="both"/>
      </w:pPr>
      <w:r w:rsidRPr="00A31C46">
        <w:t xml:space="preserve">2002 г. – 152 чел. </w:t>
      </w:r>
    </w:p>
    <w:p w:rsidR="00CB4FFE" w:rsidRDefault="00CB4FFE" w:rsidP="00CB4FFE">
      <w:pPr>
        <w:spacing w:before="120"/>
        <w:ind w:firstLine="567"/>
        <w:jc w:val="both"/>
      </w:pPr>
      <w:r w:rsidRPr="00A31C46">
        <w:t>Учитывая приведенные выше данные о ежегодном количестве смертельных случаев и травм работников строительного производства в России, а также то обстоятельство, что ст. 216 УК касается не только строительства, но и горных работ, отношение правоохранительных и правоприменительных органов к нарушениям правил безопасности труда нельзя признать излишне строгим. Безусловно, не только ужесточение карательных мер может повлиять на сложившуюся ситуацию: необходима активизация и корректировка государственной политики в области охраны труда, направленной на обеспечение безопасных и безаварийных условий труда как в строительстве, так и в целом в индустриально-производственной сфере.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FFE"/>
    <w:rsid w:val="004A25AF"/>
    <w:rsid w:val="005D2306"/>
    <w:rsid w:val="006B7124"/>
    <w:rsid w:val="006F49C1"/>
    <w:rsid w:val="009370B9"/>
    <w:rsid w:val="00A31C46"/>
    <w:rsid w:val="00CB4FFE"/>
    <w:rsid w:val="00CF42B1"/>
    <w:rsid w:val="00F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24783A-294A-4066-8AB3-9140FCC9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4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травматизма в строительстве </vt:lpstr>
    </vt:vector>
  </TitlesOfParts>
  <Company>Home</Company>
  <LinksUpToDate>false</LinksUpToDate>
  <CharactersWithSpaces>15483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травматизма в строительстве </dc:title>
  <dc:subject/>
  <dc:creator>User</dc:creator>
  <cp:keywords/>
  <dc:description/>
  <cp:lastModifiedBy>admin</cp:lastModifiedBy>
  <cp:revision>2</cp:revision>
  <dcterms:created xsi:type="dcterms:W3CDTF">2014-02-15T14:20:00Z</dcterms:created>
  <dcterms:modified xsi:type="dcterms:W3CDTF">2014-02-15T14:20:00Z</dcterms:modified>
</cp:coreProperties>
</file>