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B4" w:rsidRDefault="004F40B4">
      <w:pPr>
        <w:ind w:firstLine="0"/>
        <w:jc w:val="center"/>
        <w:rPr>
          <w:b/>
          <w:sz w:val="32"/>
        </w:rPr>
      </w:pPr>
    </w:p>
    <w:p w:rsidR="004F40B4" w:rsidRDefault="004F40B4">
      <w:pPr>
        <w:pStyle w:val="7"/>
      </w:pPr>
      <w:r>
        <w:t>Министерство общего и профессионального образования РФ</w:t>
      </w:r>
    </w:p>
    <w:p w:rsidR="004F40B4" w:rsidRDefault="004F40B4">
      <w:pPr>
        <w:ind w:firstLine="0"/>
        <w:jc w:val="center"/>
        <w:rPr>
          <w:b/>
          <w:sz w:val="32"/>
        </w:rPr>
      </w:pPr>
    </w:p>
    <w:p w:rsidR="004F40B4" w:rsidRDefault="004F40B4">
      <w:pPr>
        <w:pStyle w:val="6"/>
        <w:rPr>
          <w:b w:val="0"/>
        </w:rPr>
      </w:pPr>
      <w:r>
        <w:rPr>
          <w:b w:val="0"/>
        </w:rPr>
        <w:t>Государственное высшее профессиональное образовательное учреждение</w:t>
      </w:r>
    </w:p>
    <w:p w:rsidR="004F40B4" w:rsidRDefault="004F40B4">
      <w:pPr>
        <w:ind w:firstLine="0"/>
        <w:jc w:val="center"/>
        <w:rPr>
          <w:b/>
          <w:sz w:val="32"/>
        </w:rPr>
      </w:pPr>
      <w:r>
        <w:rPr>
          <w:b/>
          <w:sz w:val="32"/>
        </w:rPr>
        <w:t>Тюменский международный институт экономики и права</w:t>
      </w:r>
    </w:p>
    <w:p w:rsidR="004F40B4" w:rsidRDefault="004F40B4">
      <w:pPr>
        <w:ind w:firstLine="0"/>
        <w:jc w:val="center"/>
        <w:rPr>
          <w:b/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  <w:r>
        <w:rPr>
          <w:sz w:val="32"/>
        </w:rPr>
        <w:t>Экономический факультет</w:t>
      </w: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pStyle w:val="3"/>
        <w:ind w:firstLine="0"/>
      </w:pPr>
      <w:r>
        <w:t>Кафедра экономики и МХС</w:t>
      </w: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pStyle w:val="1"/>
        <w:ind w:firstLine="0"/>
        <w:rPr>
          <w:b/>
          <w:sz w:val="32"/>
        </w:rPr>
      </w:pPr>
      <w:r>
        <w:rPr>
          <w:b/>
          <w:sz w:val="32"/>
        </w:rPr>
        <w:t>Контрольная работа</w:t>
      </w:r>
    </w:p>
    <w:p w:rsidR="004F40B4" w:rsidRDefault="004F40B4">
      <w:pPr>
        <w:ind w:firstLine="0"/>
      </w:pPr>
    </w:p>
    <w:p w:rsidR="004F40B4" w:rsidRDefault="004F40B4">
      <w:pPr>
        <w:pStyle w:val="2"/>
        <w:ind w:firstLine="0"/>
        <w:rPr>
          <w:i/>
        </w:rPr>
      </w:pPr>
      <w:r>
        <w:rPr>
          <w:i/>
        </w:rPr>
        <w:t>по дисциплине</w:t>
      </w:r>
    </w:p>
    <w:p w:rsidR="004F40B4" w:rsidRDefault="004F40B4">
      <w:pPr>
        <w:ind w:firstLine="0"/>
      </w:pPr>
    </w:p>
    <w:p w:rsidR="004F40B4" w:rsidRDefault="004F40B4">
      <w:pPr>
        <w:pStyle w:val="4"/>
        <w:ind w:firstLine="0"/>
        <w:rPr>
          <w:sz w:val="40"/>
        </w:rPr>
      </w:pPr>
      <w:r>
        <w:rPr>
          <w:sz w:val="40"/>
        </w:rPr>
        <w:t>Организация и управление ВЭД</w:t>
      </w:r>
    </w:p>
    <w:p w:rsidR="004F40B4" w:rsidRDefault="004F40B4">
      <w:pPr>
        <w:ind w:firstLine="0"/>
      </w:pPr>
    </w:p>
    <w:p w:rsidR="004F40B4" w:rsidRDefault="004F40B4">
      <w:pPr>
        <w:pStyle w:val="2"/>
        <w:ind w:firstLine="0"/>
        <w:rPr>
          <w:i/>
        </w:rPr>
      </w:pPr>
      <w:r>
        <w:rPr>
          <w:i/>
        </w:rPr>
        <w:t>на тему</w:t>
      </w:r>
    </w:p>
    <w:p w:rsidR="004F40B4" w:rsidRDefault="004F40B4">
      <w:pPr>
        <w:ind w:firstLine="0"/>
      </w:pPr>
    </w:p>
    <w:p w:rsidR="004F40B4" w:rsidRDefault="004F40B4">
      <w:pPr>
        <w:pStyle w:val="a4"/>
        <w:ind w:firstLine="0"/>
        <w:rPr>
          <w:sz w:val="40"/>
        </w:rPr>
      </w:pPr>
      <w:r>
        <w:rPr>
          <w:sz w:val="40"/>
        </w:rPr>
        <w:t>Проблемы функционирования</w:t>
      </w:r>
      <w:r>
        <w:rPr>
          <w:sz w:val="40"/>
        </w:rPr>
        <w:br/>
        <w:t xml:space="preserve"> льготных таможенных режимов</w:t>
      </w: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left="5670" w:firstLine="0"/>
        <w:rPr>
          <w:sz w:val="32"/>
        </w:rPr>
      </w:pPr>
      <w:r>
        <w:rPr>
          <w:sz w:val="32"/>
        </w:rPr>
        <w:t>Выполнил: студент 5 курса</w:t>
      </w:r>
    </w:p>
    <w:p w:rsidR="004F40B4" w:rsidRDefault="004F40B4">
      <w:pPr>
        <w:ind w:left="5670" w:firstLine="0"/>
        <w:rPr>
          <w:sz w:val="32"/>
        </w:rPr>
      </w:pPr>
      <w:r>
        <w:rPr>
          <w:sz w:val="32"/>
        </w:rPr>
        <w:t>Группы 152 Ермолаев В.И.</w:t>
      </w:r>
    </w:p>
    <w:p w:rsidR="004F40B4" w:rsidRDefault="004F40B4">
      <w:pPr>
        <w:ind w:left="5670" w:firstLine="0"/>
        <w:rPr>
          <w:sz w:val="32"/>
        </w:rPr>
      </w:pPr>
      <w:r>
        <w:rPr>
          <w:sz w:val="32"/>
        </w:rPr>
        <w:t>Проверила: Астахова М.А.</w:t>
      </w: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</w:p>
    <w:p w:rsidR="004F40B4" w:rsidRDefault="004F40B4">
      <w:pPr>
        <w:ind w:firstLine="0"/>
        <w:jc w:val="center"/>
        <w:rPr>
          <w:sz w:val="32"/>
        </w:rPr>
      </w:pPr>
      <w:r>
        <w:rPr>
          <w:sz w:val="32"/>
        </w:rPr>
        <w:t>Тюмень, 1999</w:t>
      </w:r>
    </w:p>
    <w:p w:rsidR="004F40B4" w:rsidRDefault="004F40B4">
      <w:pPr>
        <w:spacing w:line="288" w:lineRule="auto"/>
      </w:pPr>
      <w:r>
        <w:rPr>
          <w:sz w:val="32"/>
        </w:rPr>
        <w:br w:type="page"/>
      </w:r>
      <w:r>
        <w:t>Современная торговая политика характеризуется возросшим распространением льготных торговых режимов. Они являются начальной стадией создания интеграци</w:t>
      </w:r>
      <w:r>
        <w:softHyphen/>
        <w:t>онных группировок, служат решению как экономических, так и политических задач. Последний фактор часто побуждает государства идти на создание зон свободной торговли и таможенных союзов даже в тех случаях, когда их экономические пре</w:t>
      </w:r>
      <w:r>
        <w:softHyphen/>
        <w:t>имущества далеко не предопределены (Мексика в НАФТА, многие страны Цент</w:t>
      </w:r>
      <w:r>
        <w:softHyphen/>
        <w:t>ральной и Восточной Европы в ассоциации с ЕС). Более того, геополитические со</w:t>
      </w:r>
      <w:r>
        <w:softHyphen/>
        <w:t>ображения приводят к созданию преференциальных режимов, которые если и смо</w:t>
      </w:r>
      <w:r>
        <w:softHyphen/>
        <w:t>гут принести экономический эффект для их инициаторов, то лишь в отдаленной перспективе.</w:t>
      </w:r>
    </w:p>
    <w:p w:rsidR="004F40B4" w:rsidRDefault="004F40B4">
      <w:pPr>
        <w:spacing w:line="288" w:lineRule="auto"/>
      </w:pPr>
      <w:r>
        <w:t>Нормы ГАТТ/ВТО, регулирующие применение преференциальных отношений между развитыми странами, носят достаточно жесткий характер. Они позволяют ис</w:t>
      </w:r>
      <w:r>
        <w:softHyphen/>
        <w:t>ключать из льготного режима "чувствительные" секторы экономики лишь в течение периода поэтапного создания зоны свободной торговли или таможенного союза, ко</w:t>
      </w:r>
      <w:r>
        <w:softHyphen/>
        <w:t>торый как правило, не должен превышать 10 лет.</w:t>
      </w:r>
    </w:p>
    <w:p w:rsidR="004F40B4" w:rsidRDefault="004F40B4">
      <w:pPr>
        <w:spacing w:line="288" w:lineRule="auto"/>
      </w:pPr>
      <w:r>
        <w:t>Что касается преференций в пользу развивающихся стран, то здесь правовые возможности для регулирования объема льгот весьма широки, поскольку ГАТТ вы</w:t>
      </w:r>
      <w:r>
        <w:softHyphen/>
        <w:t>водит данный режим за пределы действия общего обязательства о наибольшем бла</w:t>
      </w:r>
      <w:r>
        <w:softHyphen/>
        <w:t>гоприятствовании и недискриминации.</w:t>
      </w:r>
    </w:p>
    <w:p w:rsidR="004F40B4" w:rsidRDefault="004F40B4">
      <w:pPr>
        <w:spacing w:line="288" w:lineRule="auto"/>
      </w:pPr>
      <w:r>
        <w:t>Применение льготного режима к ввозу товара на рынок создает экспортерам серьезные преимущества по сравнению с конкурентами и позволяет не только из</w:t>
      </w:r>
      <w:r>
        <w:softHyphen/>
        <w:t>бежать уплаты таможенных пошлин или существенно (в 2-3 раза) снизить их уро</w:t>
      </w:r>
      <w:r>
        <w:softHyphen/>
        <w:t>вень, но и в ряде случаев даже выводит такой импорт из-под действия антидемпин</w:t>
      </w:r>
      <w:r>
        <w:softHyphen/>
        <w:t>говых пошлин и количественных ограничений.</w:t>
      </w:r>
    </w:p>
    <w:p w:rsidR="004F40B4" w:rsidRDefault="004F40B4">
      <w:pPr>
        <w:spacing w:line="288" w:lineRule="auto"/>
      </w:pPr>
      <w:r>
        <w:t>В этих условиях повышенное значение приобретает создание административных механизмов, обеспечивающих нормальное функционирование преференциальных режимов, и, в частности, сведение к минимуму случаев их нарушения. ЕС не только сам является таможенным союзом, но и как уже было отмечено, предоставляет пре</w:t>
      </w:r>
      <w:r>
        <w:softHyphen/>
        <w:t>ференции (в договорной или односторонней форме) подавляющему большинству государств и территорий (за исключением неевропейских членов ОЭСР), в резуль</w:t>
      </w:r>
      <w:r>
        <w:softHyphen/>
        <w:t>тате чего до половины импорта ЕС является преференциальным. Однако, несмотря на предпринятые КЕС усилия по линии двусторонних соглашений (стандартизация преференциальных правил происхождения) и модификацию схемы Общей системы преференций (ОСП), масштабы нарушений при использовании льготных режимов растут, что приводит к недоборам доходов в бюджете ЕС и нарушениям конкуренции.</w:t>
      </w:r>
    </w:p>
    <w:p w:rsidR="004F40B4" w:rsidRDefault="004F40B4">
      <w:pPr>
        <w:spacing w:line="288" w:lineRule="auto"/>
      </w:pPr>
      <w:r>
        <w:t>Наиболее типичными нарушениями такого рода в практике ЕС являются: предо</w:t>
      </w:r>
      <w:r>
        <w:softHyphen/>
        <w:t>ставление недействительных или фальсифицированных документов, заведомо невер</w:t>
      </w:r>
      <w:r>
        <w:softHyphen/>
        <w:t>ная таможенная классификация товара, декларирование ложной таможенной стоимос</w:t>
      </w:r>
      <w:r>
        <w:softHyphen/>
        <w:t>ти, нарушение правил определения происхождения товара. По степени серьезности выделяются нарушения последнего типа, которые, как правило, с наибольшим трудом поддаются выявлению. Они, в свою очередь, бывают двух основных видов: предостав</w:t>
      </w:r>
      <w:r>
        <w:softHyphen/>
        <w:t>ление подлинных сертификатов происхождения, но для товаров, в действительности не происходящих из страны-бенефициара; предоставление подлинных сертификатов, но для товаров, которые лишь частично произведены в стране-бенефициаре и не со</w:t>
      </w:r>
      <w:r>
        <w:softHyphen/>
        <w:t>держат необходимой для льготы доли местной добавленной стоимости.</w:t>
      </w:r>
    </w:p>
    <w:p w:rsidR="004F40B4" w:rsidRDefault="004F40B4">
      <w:pPr>
        <w:spacing w:line="288" w:lineRule="auto"/>
      </w:pPr>
      <w:r>
        <w:t>О масштабах нарушений, выявленных в практике применения льготных внешне</w:t>
      </w:r>
      <w:r>
        <w:softHyphen/>
        <w:t>торговых режимов ЕС, свидетельствуют следующие данные КЕС. Всего в период с 1990 по 1997 гг. государства-члены уведомили КЕС о 796 случаях расследуемых ими нарушений, прямой ущерб от которых для бюджета ЕС составил 111 млн. экю. Кроме того, по наиболее серьезным нарушениям расследования проводятся непосредственно Комиссией ЕС (в сотрудничестве с государствами-членами). Весьма  невысокими являются и показатели взыскания недоплаченных пошлин. Еще ниже</w:t>
      </w:r>
      <w:r>
        <w:rPr>
          <w:lang w:val="en-US"/>
        </w:rPr>
        <w:t xml:space="preserve"> </w:t>
      </w:r>
      <w:r>
        <w:t>эффективность действий государств-членов ЕС, которые, по оценкам КЕС, возвращают в бюджет лишь около 10% противозаконно недоплаченных пошлин. Приведенные показатели косвенно свидетельствуют о степени серьезности проблемы. По признанию самой КЕС, действующие методы контроля позволяют выявить лишь незначительную часть нарушений, а реальный ущерб многократно превышает приведенные показатели. Данные свидетельствуют о том, что даже при отлаженной си</w:t>
      </w:r>
      <w:r>
        <w:softHyphen/>
        <w:t>стеме таможенного контроля, ЕС пока не удалось взять под контроль использование существующих таможенных льгот.</w:t>
      </w:r>
    </w:p>
    <w:p w:rsidR="004F40B4" w:rsidRDefault="004F40B4">
      <w:pPr>
        <w:spacing w:line="288" w:lineRule="auto"/>
      </w:pPr>
      <w:r>
        <w:t>Решение проблемы зависит прежде всего от налаживания прямого диалога с импортерами, которые, как правило, имеют достаточную информацию как об истинной таможенной классификации и стоимости товара, так и о его происхождении. Другая задача - таможенное сотрудничество с правительствами стран-бенефициаров, призванное содействовать разработке ими необходимых нормативных актов и соблюдению должного контроля за действиями своих административных органов, уполномоченных устанавливать таможенную стоимость и происхождение товаров. В этих целях Комиссия ЕС предполагает шире практиковать учебные мероприятия и в полной мере использовать возможности консультаций в рамках действующих соглашений и, при необходимости, применять санкции.</w:t>
      </w:r>
    </w:p>
    <w:p w:rsidR="004F40B4" w:rsidRDefault="004F40B4">
      <w:pPr>
        <w:spacing w:line="288" w:lineRule="auto"/>
      </w:pPr>
      <w:r>
        <w:t>Россия, как и ЕС, предоставляет преференциальные торговые режимы целому ряду государств: членам Таможенного союза (Белоруссия, Казахстан и Киргизия, Таджикистан), странам СНГ в рамках двусторонних зон свободной торговли, а также развивающимся государствам в рамках национальной схемы ОСП. К документам, регулирующим применение ОСП в России, относятся постановление Правительства Российской Федерации от 13 сентября 1994 г. № 1057 "Об утверждении перечня стран-пользователей схемой преференций Российской Федерации и списка това</w:t>
      </w:r>
      <w:r>
        <w:softHyphen/>
        <w:t>ров, на которые при импорте на территорию Российской Федерации преференци</w:t>
      </w:r>
      <w:r>
        <w:softHyphen/>
        <w:t>альный режим не распространяется", постановление Правительства от 6 мая 1995 г. № 454 "Об утверждений ставок ввозных таможенных пошлин", а также постановление Правительства от 13 сентября 1996 г. № 1095 "Об участии в постконфликтном восстановлении на территории бывшей Югославии" (о включении Боснии и Герцеговины в перечень стран, имеющих преференции Российской Федерации). В соответствии с данными документами, с 15 мая 1996 г. в отношении товаров, происходящих из разви</w:t>
      </w:r>
      <w:r>
        <w:softHyphen/>
        <w:t>вающихся стран-пользователей системой преференций Российской Федерации, применяются ставки импортных пошлин в размере 75% от действующих ставок.</w:t>
      </w:r>
    </w:p>
    <w:p w:rsidR="004F40B4" w:rsidRDefault="004F40B4">
      <w:pPr>
        <w:spacing w:line="288" w:lineRule="auto"/>
      </w:pPr>
      <w:r>
        <w:t>В настоящее время пользователями российской схемы тарифных преференций, помимо действительно слаборазвитых стран, являются также ряд экономически бы</w:t>
      </w:r>
      <w:r>
        <w:softHyphen/>
        <w:t>стро прогрессирующих государств, которые относятся к "развивающимся" в силу традиций или политической установки ведущих развитых стран на предоставление таким "развивающимся" государствам известных привилегий в международных эко</w:t>
      </w:r>
      <w:r>
        <w:softHyphen/>
        <w:t>номических отношениях. Новый, все более дифференцированный подход к различ</w:t>
      </w:r>
      <w:r>
        <w:softHyphen/>
        <w:t>ным по уровню развития странам-бенефициарам национальных схем тарифных преференций давно является актуальным и уже проводится в жизнь многими стра</w:t>
      </w:r>
      <w:r>
        <w:softHyphen/>
        <w:t>нами (соответствующая схема ЕС была описана выше). Россия также должна пойти по этому пути, что, с одной стороны, увеличило бы в перспективе поступления в бюджет от импортных таможенных пошлин, а с другой стороны, повысило бы эф</w:t>
      </w:r>
      <w:r>
        <w:softHyphen/>
        <w:t>фективность российской схемы тарифных преференций как торгово-политического инструмента в отношениях с третьим миром.</w:t>
      </w:r>
    </w:p>
    <w:p w:rsidR="004F40B4" w:rsidRDefault="004F40B4">
      <w:pPr>
        <w:spacing w:line="288" w:lineRule="auto"/>
      </w:pPr>
      <w:r>
        <w:t>Однако, простое исключение каких-либо стран из списка пользователей оказало бы неблагоприятное воздействие на весь комплекс политических и торгово-экономических отношений с ними. Такой шаг оказал бы неблагоприятное воздей</w:t>
      </w:r>
      <w:r>
        <w:softHyphen/>
        <w:t>ствие и на переговоры о вступлении России в ВТО. Ограничение круга стран-бенефициаров пошло бы, кроме того, вразрез с современной международной прак</w:t>
      </w:r>
      <w:r>
        <w:softHyphen/>
        <w:t>тикой предоставления тарифных преференций.</w:t>
      </w:r>
    </w:p>
    <w:p w:rsidR="004F40B4" w:rsidRDefault="004F40B4">
      <w:pPr>
        <w:spacing w:line="288" w:lineRule="auto"/>
      </w:pPr>
      <w:r>
        <w:t>В частности, программа Генеральной системы преференций США распростра</w:t>
      </w:r>
      <w:r>
        <w:softHyphen/>
        <w:t>няется на 150 государств и территорий. При этом число пользователей растет: с 1991-1995 гг. оно увеличилось на 12 государств. Общая система преференций ЕС распространяется на все развивающиеся страны (число стран и территорий-бенефициаров составляет 170). Процесс изменений схем тарифных преференций США и ЕС весьма сложен и идет на основе предварительных всесторонних прора</w:t>
      </w:r>
      <w:r>
        <w:softHyphen/>
        <w:t>боток с целью ненанесения ущерба политическим и экономическим отношениям с соответствующими государствами. В США, например, изменения в страновом со</w:t>
      </w:r>
      <w:r>
        <w:softHyphen/>
        <w:t>ставе и товарной структуре Генеральной системы преференций осуществляются все последние годы. При этом США идут по пути расширения в целом территориального охвата Генеральной системы преференций (отдельные пользователи тем не менее исключаются) при сокращении объема реально предоставляемых льгот. В результа</w:t>
      </w:r>
      <w:r>
        <w:softHyphen/>
        <w:t>те, товарная ее номенклатура включает более 4,5 тыс. товаров или примерно 50% всего таможенного тарифа, а тарифные преференции фактически распространяют</w:t>
      </w:r>
      <w:r>
        <w:softHyphen/>
        <w:t>ся всего на 7% совокупной стоимости импорта товаров в США. Технически же, ес</w:t>
      </w:r>
      <w:r>
        <w:softHyphen/>
        <w:t>ли в США товар включен в Генеральную систему преференций, то он ввозится бес</w:t>
      </w:r>
      <w:r>
        <w:softHyphen/>
        <w:t>пошлинно. Однако превышение импорта определенного уровня приводит к исключе</w:t>
      </w:r>
      <w:r>
        <w:softHyphen/>
        <w:t>нию данной товарной позиции из национальной схемы тарифных преференций.</w:t>
      </w:r>
    </w:p>
    <w:p w:rsidR="004F40B4" w:rsidRDefault="004F40B4">
      <w:pPr>
        <w:spacing w:line="288" w:lineRule="auto"/>
      </w:pPr>
      <w:r>
        <w:t>России следовало бы пойти по пути совершенствования системы преференций на основе схем, используемых в ЕС и США. Принятие в России упрощенного подхода к изменению системы преференций путем исключения ряда прогрессивно разви</w:t>
      </w:r>
      <w:r>
        <w:softHyphen/>
        <w:t>вающихся стран не приведет к ожидаемому бюджетному эффекту. Необходимо принимать во внимание, что основной объем торговли России приходится на промышленно развитые страны, а также страны СНГ, Центральной и Восточной Европы. Импорт из развивающихся стран не играет заметной роли в общем внешнеторговом обороте России. В 1997 г. доля развивающихся стран в импорте России составила менее 8%, ожидается ее дальнейшее снижение.</w:t>
      </w:r>
    </w:p>
    <w:p w:rsidR="004F40B4" w:rsidRDefault="004F40B4">
      <w:pPr>
        <w:spacing w:line="288" w:lineRule="auto"/>
      </w:pPr>
      <w:r>
        <w:t>Фискальные цели в рамках реформирования российской системы преференций можно было бы достичь без особого ущерба для всего комплекса отношений России с соответствующими странами в случае исключения из российской схемы ряда наи</w:t>
      </w:r>
      <w:r>
        <w:softHyphen/>
        <w:t>более «чувствительных» товарных групп. Это соответствовало бы и интересам защи</w:t>
      </w:r>
      <w:r>
        <w:softHyphen/>
        <w:t>ты отечественных производителей.</w:t>
      </w:r>
    </w:p>
    <w:p w:rsidR="004F40B4" w:rsidRDefault="004F40B4">
      <w:pPr>
        <w:spacing w:line="288" w:lineRule="auto"/>
      </w:pPr>
      <w:r>
        <w:t>Внесение существенных изменений в российскую схему тарифных преференций политически и экономически допустимо лишь на основе разработки новой, с учетом международных обязательств и мирового опыта, схемы тарифных преференций, со</w:t>
      </w:r>
      <w:r>
        <w:softHyphen/>
        <w:t>хранив при этом достаточно широкий страновой охват, но существенно уточнив то</w:t>
      </w:r>
      <w:r>
        <w:softHyphen/>
        <w:t>варную номенклатуру, размеры и механизм предоставления льгот и отказа от них. Такой подход способствовал бы дальнейшему совершенствованию национальной схемы тарифных преференций в целях превращения ее в действительно эффектив</w:t>
      </w:r>
      <w:r>
        <w:softHyphen/>
        <w:t>ный механизм регулирования торговых отношений с развивающимися странами, ко</w:t>
      </w:r>
      <w:r>
        <w:softHyphen/>
        <w:t>торый соответствовал бы принципам Общей системы тарифных преференций и учи</w:t>
      </w:r>
      <w:r>
        <w:softHyphen/>
        <w:t>тывал опыт других государств в этой области. В частности, можно было бы подумать о градации тарифных ставок в рамках национальной схемы преференций, введении тарифных квот в зависимости от «чувствительности» того или иного товара с точки зрения национального производства.</w:t>
      </w:r>
    </w:p>
    <w:p w:rsidR="004F40B4" w:rsidRDefault="004F40B4">
      <w:pPr>
        <w:spacing w:line="288" w:lineRule="auto"/>
      </w:pPr>
      <w:r>
        <w:t>Наряду с составлением списка товаров, подпадающих под условия предоставле</w:t>
      </w:r>
      <w:r>
        <w:softHyphen/>
        <w:t>ния преференций, необходимо проработать вопрос о порядке определения уровня конкурентоспособности конкретной продукции развивающихся стран-пользователей национальной схемы преференций на предмет возможного вывода ее из-под дей</w:t>
      </w:r>
      <w:r>
        <w:softHyphen/>
        <w:t>ствия указанной схемы. Это может быть, например, установление потолков в виде фиксации доли импорта какого-либо товара страны-пользователя системой префе</w:t>
      </w:r>
      <w:r>
        <w:softHyphen/>
        <w:t>ренций в общем импорте аналогичной продукции.</w:t>
      </w:r>
    </w:p>
    <w:p w:rsidR="004F40B4" w:rsidRDefault="004F40B4">
      <w:pPr>
        <w:spacing w:line="288" w:lineRule="auto"/>
      </w:pPr>
      <w:r>
        <w:t>Наличие списка товаров, включенных в систему преференций, требует разра</w:t>
      </w:r>
      <w:r>
        <w:softHyphen/>
        <w:t>ботки порядка внесения изменений в этот список, так как нельзя исключить возмож</w:t>
      </w:r>
      <w:r>
        <w:softHyphen/>
        <w:t>ность обращения той или иной страны с подобной просьбой. Необходимо пред</w:t>
      </w:r>
      <w:r>
        <w:softHyphen/>
        <w:t>усмотреть и критерии включения того или иного товара в систему преференций. Следует также иметь в виду, что внесение изменений в схему тарифных преферен</w:t>
      </w:r>
      <w:r>
        <w:softHyphen/>
        <w:t>ций Российской Федерации, утверждение списка товаров, на которые они распро</w:t>
      </w:r>
      <w:r>
        <w:softHyphen/>
        <w:t>страняются, должны быть согласованы в рамках таможенного союза с Белоруссией, Казахстаном, Киргизией и Таджикистаном.</w:t>
      </w:r>
    </w:p>
    <w:p w:rsidR="004F40B4" w:rsidRDefault="004F40B4">
      <w:pPr>
        <w:spacing w:line="288" w:lineRule="auto"/>
      </w:pPr>
      <w:r>
        <w:t>Опыт ЕС свидетельствует, что одной из центральных проблем функционирова</w:t>
      </w:r>
      <w:r>
        <w:softHyphen/>
        <w:t>ния преференциальных режимов, даже в условиях существования отлаженной и технически хорошо оснащенной системы таможенного контроля, являются нару</w:t>
      </w:r>
      <w:r>
        <w:softHyphen/>
        <w:t>шения правил использования льгот, прежде всего путем декларирования ложного происхождения товара. Ежегодный ущерб для российского бюджета от подобных нарушений может составить сотни миллионов долларов. Эффективность борьбы с этими нарушениями определяется, прежде всего, тем, насколько отлажен механизм функционирования каждого из действующих преференциальных торговых режимов. При этом, чем прозрачнее граница между участниками интеграционной группиров</w:t>
      </w:r>
      <w:r>
        <w:softHyphen/>
        <w:t>ки (как, например, между государствами-членами ЕС или между Россией и ее парт</w:t>
      </w:r>
      <w:r>
        <w:softHyphen/>
        <w:t>нерами по таможенному союзу), тем выше ответственность национальных таможенных органов. Даже в ЕС, где функции управления таможенным союзом весьма высоко централизованы в совместных органах (Комиссия ЕС), резервы для укрепле</w:t>
      </w:r>
      <w:r>
        <w:softHyphen/>
        <w:t>ния сотрудничества таможенных органов по линии как информации, так и гармонизации действий весьма велики.</w:t>
      </w:r>
    </w:p>
    <w:p w:rsidR="004F40B4" w:rsidRDefault="004F40B4">
      <w:pPr>
        <w:spacing w:line="288" w:lineRule="auto"/>
      </w:pPr>
      <w:r>
        <w:t>В российской специфике, когда функционирование таможенного союза только налаживается, создание действенного механизма таможенного сотрудничества приобретает решающий характер. Представляется целесообразным прежде всего централизовать координирующие функции такого сотрудничества в одном со</w:t>
      </w:r>
      <w:r>
        <w:softHyphen/>
        <w:t>вместном органе, куда поступала бы и систематизировалась вся таможенная ин</w:t>
      </w:r>
      <w:r>
        <w:softHyphen/>
        <w:t>формация.</w:t>
      </w:r>
    </w:p>
    <w:p w:rsidR="004F40B4" w:rsidRDefault="004F40B4">
      <w:pPr>
        <w:spacing w:line="288" w:lineRule="auto"/>
      </w:pPr>
      <w:bookmarkStart w:id="0" w:name="_GoBack"/>
      <w:bookmarkEnd w:id="0"/>
    </w:p>
    <w:sectPr w:rsidR="004F40B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7E17"/>
    <w:multiLevelType w:val="singleLevel"/>
    <w:tmpl w:val="F7F2B8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6D60F5F"/>
    <w:multiLevelType w:val="singleLevel"/>
    <w:tmpl w:val="DBF843A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BFA1D4D"/>
    <w:multiLevelType w:val="singleLevel"/>
    <w:tmpl w:val="94D2A5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78F236E"/>
    <w:multiLevelType w:val="singleLevel"/>
    <w:tmpl w:val="F6B2D3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04A"/>
    <w:rsid w:val="004F40B4"/>
    <w:rsid w:val="007B704A"/>
    <w:rsid w:val="00BA46BB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32C3-A59C-4E31-9975-2E99C953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72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ind w:firstLine="0"/>
      <w:jc w:val="center"/>
      <w:outlineLvl w:val="6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customStyle="1" w:styleId="FR1">
    <w:name w:val="FR1"/>
    <w:pPr>
      <w:widowControl w:val="0"/>
      <w:spacing w:before="180"/>
      <w:jc w:val="center"/>
    </w:pPr>
    <w:rPr>
      <w:i/>
      <w:snapToGrid w:val="0"/>
      <w:sz w:val="18"/>
    </w:rPr>
  </w:style>
  <w:style w:type="paragraph" w:styleId="a4">
    <w:name w:val="Body Text Indent"/>
    <w:basedOn w:val="a"/>
    <w:semiHidden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20</vt:lpstr>
    </vt:vector>
  </TitlesOfParts>
  <Company>TIIEL</Company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20</dc:title>
  <dc:subject/>
  <dc:creator>Vladislav Yermolayev</dc:creator>
  <cp:keywords/>
  <dc:description/>
  <cp:lastModifiedBy>admin</cp:lastModifiedBy>
  <cp:revision>2</cp:revision>
  <dcterms:created xsi:type="dcterms:W3CDTF">2014-02-10T08:17:00Z</dcterms:created>
  <dcterms:modified xsi:type="dcterms:W3CDTF">2014-02-10T08:17:00Z</dcterms:modified>
</cp:coreProperties>
</file>