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82B" w:rsidRPr="00114149" w:rsidRDefault="008C30DD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Проблемы национальных меньшинств проживающие в КАР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Подъем курдского национально-освободительного </w:t>
      </w:r>
      <w:r w:rsidR="008C30DD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движения,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начиная с конца XIX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и, в особенности, с середины 40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="00155F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годов 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XX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создал основу для консолидации курдов, укрепления внутренних связей и роста взаимодействия между всеми частями курдского общества. В последней четверти XX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курдский вопрос приобрел также международное звучание. В мире возникла широкая дискуссия о правах курдского народа и его дальнейшей судьбе.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практическом плане процесс решения курдского вопроса происходил в рамках тех государств, на территории которых проживает основная часть курдского народа (Турция, Ирак, Иран, Сирия), в форме борьбы за национальные права. Наибольшего прогресса в этом направлении курдам удалось добиться в Ираке, где несмотря на все сложности в их взаимоотношениях с режимом, в Багдаде 11 марта 1970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было подписано Соглашение об автономии иракского Курдистана. На его основе был создан Курдский автономный район (КАР) с четкими границами и соответствующими атрибутами автономной власти.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1991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после неудавшегося курдского восстания против режима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Хусейна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 многом именно благодаря наличию автономии иракские курды смогли отстоять свою самостоятельность, вывести КАР из-под контроля багдадского режима. Установленные по соглашению 1970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административные границы Курдского автономного района послужили основой для введения антииракской коалицией «красных линий», доступ за которые правительственным войскам был закрыт. Три курдские провинции – Эрбиль, Дахук и Сулеймания – стали «анклавом безопасности» и с тех пор сами определяют пути своего развития, формально оставаясь в составе иракского государства.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мае 1992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КАР состоялись парламентские выборы. Обретение иракскими курдами фактической независимости от Багдада создало предпосылки для дальнейшего укрепления автономии и ее</w:t>
      </w:r>
      <w:r w:rsidR="008C30DD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административных и общественно-политических институтов. Однако наряду с этим на повестку дня стали выходить вопросы, ранее носившие весьма второстепенный характер и потому зачастую игнорировавшиеся, несмотря на их серьезный конфликтообразующий характер.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Установление в Курдистане власти собственной национальной администрации привело к началу внутренней борьбы за контроль над нею между различными группировками. В итоге сформировалось два основных блока, объединенных вокруг крупнейших фракций КАР – Демократической партии Курдистана (ДПК) и Патриотического союза Курдистана (ПСК). В последующие годы противоречия между ними приобрели характер политического и идеологического противостояния, а в период с 1994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 1997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– открытого вооруженного конфликта.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бы ни пытались отдельные курдские политологи утверждать, что произошедшее было спровоцировано внешними силами, по сути, произошло достаточно распространенное в подобных случаях явление: ослабление внешней угрозы в результате защитной операции США и их союзников создало условия для выплескивания наружу внутрикурдских разногласий, приведших в итоге к гражданской войне, в которую оказались вовлечены не только силы пешмерги (курдские вооруженные формирования), но практически и все курдское общество.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Братоубийственный конфликт между ДПК и ПСК оказал важное негативное воздействие на развитие ситуации в КАР. Прежде всего</w:t>
      </w:r>
      <w:r w:rsidR="004B60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был нанесен мощный удар по стабильности и безопасности Курдистана. Конфликт отбросил назад наметившийся в 1992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процесс демократизации курдского общества, накалил гуманитарную и социальную обстановку.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Наиболее уязвимыми в условиях фактического военного времени оказались национальные меньшинства, проживающие в КАР. Их естественной реакцией на имевшие место события стал рост националистических настроений, курс на защиту своих прав. Таким образом, внутри Курдистана подспудно оформилась еще одна потенциальная «конфликтная зона», грозящая, в случае недостаточного внимания к чаяниям нацменьшинств, серьезными осложнениями для дальнейшего развития КАР.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Курдские аналитики за рубежом достаточно четко представляют себе масштаб возможных проблем. Их озабоченность стали разделять и арабские политологи, о чем, в частности, свидетельствует появление все большего числа материалов на эту тему во влиятельных общеарабских СМИ (см., к примеру, большой материал Махди Сайда «Нынешние масштабы проблемы национальных меньшинств в иракском Курдистане» в газете «аль-Хаят» за 4 марта 2001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.). Бесспорно, значительную роль в усилении внимания в ближневосточном регионе к проблеме национальных меньшинств сыграли события в Косово и Македонии в 1999–2001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отношении Курдистана высказываются мнения о наличии весьма высокой «вероятности начала конфликта между курдами и другими этническими группами, населяющими Южный Курдистан – ассирийцами, сириянцами, ассиро-халдеями, армянами, туркманами и арабами».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Наиболее вероятной причиной возникновения такого конфликта, по оценкам курдских исследователей, является стремление нацменьшинств добиваться в рамках Курдистана того же, что удалось сделать курдам в масштабе Ирака. Именно так, в частности, ставят вопрос туркманские лидеры, критикуя курдов за политику «у больших народов одни права, у малых – другие» ими «нам – можно, другим – нельзя».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Поводов для сепаратистских настроений у нацменьшинств предостаточно. Как пишут зарубежные курдские политологи, «в Бадинане земля, по праву принадлежащая ассирийцам и халдеям (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т.е.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тем же ассирийцам. – Прим. автора), была в 1993 и 1994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конфискована командирами ДПК». Затем в августе 1996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барзанисты выдали иракским спецслужбам, вошедшим в Эрбиль, 27 активистов туркманских организаций Курдистана (их судьба до сих пор неизвестна). Помимо этого, несколько ассирийских общественных деятелей, включая представителей в Курдском национальном парламенте, «были убиты при невыясненных обстоятельствах после протестов против конфискации земель функционерами Демократической партии».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Ассирийцы – небольшой этнос, принадлежащий к семитской семье народов. Его численность во всем мире оценивается сегодняприблизительно в 2,5 млн. человек. Большая часть ассирийцев принадлежит к апостольской ассирийской католической церкви (АКЦ), которую еще именуют Ассирийской церковью. Это одна из старейших христианских церквей, близкая по своим догматам к несторианам. Однако АКЦ признает главенство римского Папы в качестве верховного понтифика, 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т.е.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является униатской. Духовный глава ассиро-католиков – Патриарх Map Динха IV. Кроме этого, среди ассирийцев есть приверженцы халдейской, греко-католической, греко-православ-ной и несторианской церквей. Несмотря на поликонфессиональность, по утверждениям ассирийцев, все они – один народ.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Ассирийцы считаю</w:t>
      </w:r>
      <w:r w:rsidR="004B60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тся третьим по численности этно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религиозным меньшинством Ирака после курдов и туркман и, соответственно, третьей этнической группой в Курдистане. Несмотря на то, что официальная демографическая статистика об иракских меньшинствах отсутствует, по имеющимся (неофициальным) данным, ассирийцев в Ираке насчитывается около 750 тыс. человек. Крупная община – около 100 тыс. человек – проживает в столице страны – Багдаде. До 1991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Киркуке было около 30 тысяч ассирийских семей (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т.е.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также около 100 тыс. человек), многие из которых сегодня уехали из этого города. По собственным утверждениям, ассирийская община в иракском Курдистане составляет 1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населения КАР, то есть около 500 тыс. человек. Вместе с тем в курдских источниках численность «христиан» (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т.е.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последователей ассирийской, халдейской и несторианской церквей) оценивается в 40 тыс. человек, а иракский ассирийский исследователь Хошаба Шаба называет цифру 70 тыс. человек.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антимонархической революции 1958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оставшиеся в Ираке ассирийцы стали возвращаться в свои исторические районы в провинции Нейнава (Ниневия), Дахук и Эрбиль – населенные пункты аль-Кош, Буртала, Багдира (Хамдания), Фаткиш, Таклиф, Айн Кава, Шаклава, Карамлыс и др. Их отношения с местным курдским населением носят напряженный характер. По словам ассирийцев, курды обращаются с ними таким же образом, как Багдад обращается с курдами.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Национальными проблемами ассирийцев занимаются многочисленные общественно-политические организации, преимущественно созданные зарубежной диаспорой: Всемирный ассирийский союз, Американо-ассирийский национальный союз (США, создан в 1933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.), Американский халдейский союз (США), Ассирийский союз (Ливан). Некоторое время назад в Европе была основана еще одна организация – партия «Шуриа», первый съезд которой состоялся в декабре 1999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ФРГ. В Лондоне функционирует Ассирийское благотворительное общество (АБО), собирающее деньги и направляющее гуманитарную помощь своим соотечественникам в КАР. На средства АБО восстанавливаются разрушенные ассирийские деревни, открываются ассирийские школы, издаются газеты. Через Турцию в Северный Ирак доставляются многочисленные издания ассирийских эмигрантских общин.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Несколько влиятельных организаций действует и в самом Курдистане – Ассирийское демократическое движение (сокращенно «Руаа», глава – Йонадим Юсиф Канна), Ассирийская демократическая организация, Национальная ассирийская организация, Общество Бет-Нахрейн и ряд клубов. Четыре упомянутые партии образуют «Национальный ассирийский альянс».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Тем не менее</w:t>
      </w:r>
      <w:r w:rsidR="004B60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ни в центральном Ираке, ни в КАР ассирийцы не имеют статуса этнонационального меньшинства и считаются всего лишь религиозной конфессией. По утверждению ассирийцев, к ним до сих пор относятся как к одной из множества христианских сект, возникших на Ближнем Востоке в раннехристианскую эпоху (еще до раскола на католиков и православных). Так, ряд курдских организаций предпочитает именовать их «курдскими христианами», помятуя, что в ходе иракских общенациональных переписей населения в 1977 и 1987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ассирийцев законодательно обязали записываться либо арабами, либо курдами.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Среди ассирийцев бытует устойчивое мнение, что иракская пропаганда (включая курдские источники) сознательно распространяет миф о том, что они – «религиозное меньшинство». На интернет-сайте «Ассирийцы Чикаго» (www.aina.org/chicago.htm) дается опровержение этой версии: «Ассирийцы – это именно этническое меньшинство, имеющее собственный язык, культуру и наследие, базирующееся на христианстве».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Среди ассирийцев КАР также существует глубокая неудовлетворенность уровнем своего представительства в местном парламенте, искусственно, как они считают, занижаемого ведущими курдскими фракциями – ДПК и ПСК – путем манипуляций с избирательным законодательством района. Ассирийские организации постоянно говорят о «стремлении курдов единолично определять судьбу Курдистана без консультаций с другими силами и партиями». Острой критике подвергается ревизия закрепленной в 1992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за всеми ассирийцами без учета их религиозно-конфессиональной принадлежности квоты на 5 мест (из 105) в парламенте Курдского автономного района и включение в Вашингтонское соглашение от сентября 1998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пункта, фактически уравнивающего политические права халдеев как конфессии и ассирийцев как этнической группы. Ассирийские организации активно обвиняют ДПК и ПСК в следовании «баасистской политике раскола единых народов по религиозному признаку».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Основную угрозу лидеры общины усматривают именно в отсутствии признания курдами «национального единства» ассирийцев, в попытках создать при ДПК и ПСК «карманные» ассирийские фракции, а также расколоть этнос по конфессиональному признаку. Так, в итоговом документе 1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съезда партии «Шуриа» в ФРГ содержится требование «не принуждать лиц, представляющих ассирийский народ, к участию в парламентах при правительствах [ДПК и ПСК], поскольку эти депутатские советы выступают исключительно в роли послушного орудия в руках соответствующих властных структур». Исходя из этого, ассирийцы требуют своего полноценного, а не декоративного участия в представительных органах власти.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Среди других целей – создание культурной автономии и Ассирийского департамента культуры, введение в ассирийских школах в рамках среднего образования преподавания на родном языке всего цикла предметов.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Серьезным раздражителем отношений в современном Курдистане является продолжение курдами политики багдадского режима по изъятию земель уассирийской общины. Курды, которые сами страдают от правительственной политики насильственной арабизации, включающей экспроприацию земельных участков в провинциях Нейнава (Ниневия) и Киркук, по сути, проводят ту же линию в отношении ассирийских деревень. Место выселенных еще до 1991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ассирийцев занимают курдские беженцы, при этом прежним хозяевам возвращение в родные населенные пункты фактически запрещается. Таких, по данным ассирийских организаций, только в районе Бахдинана насчитывается более 50 деревень и сел.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докладе о ситуации в области прав человека в ассирийской общине Ирака за 1997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упоминается об экспроприации курдскими властями или при их попустительстве с 1993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170 донумов земли в округе Симеле (Дейрбун) провинции Дохук, 1530 донумов в Пахлудже (провинция Захо), 530 донумов в Сурие, 735 донумов в Тоусане, 250 донумов в Мшаре, 190 донумов в Баджидбраке, 125 донумов в Бравуке, 560 донумов в Мансурийе, 7000 донумов в селении Хоуриск, 850 донумов в Халахе (под Захо), 45 донумов в Мал-Урабе, 35 донумов в Бар Рушкисаве, а также площади в Фиш Хабуре, Чемчале, Чешкаве, Денарта Агре.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Курдов также обвиняют в «этнических чистках» ассирийцев. В частности, после целого ряда вооруженных нападений на представителей этого народа в провинции Эрбиль зимой 1998/1999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Ассирийское международное информационное агентство (AINA) выступило с призывом защитить ассирийцев от «политики запугивания, которая направлена на то, чтобы очистить Северный Ирак от ассирийцев, а также заставить их согласиться с политическими задачами курдов». По утверждению агентства, «в Северном Ираке ассирийская самобытность (identity) вновь переживает религиозное, лингвистическое и культурное нападение». Больше всего претензий предъявляется администрации ДПК, которая, мол, занимается «этническими чистками коренного ассирийского населения», в то время как на публике ее лидер старательно выставляет себя приверженцем «общечеловеческих ценностей, секуляризма и демократии».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Неудовлетворены ассирийцы и тем, как происходит распределение гуманитарной помощи, поступающей в КАР в рамках программы ООН «Нефтьв обмен на продовольствие». Они считают, что их община не получает своей законной доли, которая в стоимостном выражении должна составлять 1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выделяемых Курдистану средств (1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выручки от иракского нефтеэкспорта). Сейчас же, дескать, почти вся помощь идет исключительно курдской общине.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Ситуацию вокруг ассирийцев в Курдистане с курдским вопросом в Ираке в целом «роднит» и тот факт, что в отношении активистов ассирийской общины КАР курдские администрации, прежде всего в Эрбиле, допускают неполитические методы ограничения их деятельности, порой самые крайние. Ассирийцы указывают на власти в деле об убийствах в провинции Дахук члена Ассирийского демократического движения и депутата курдского парламента Фрэнсиса Шабо в конце мая 1993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и члена ЦК Иракской компартии Лазаря Михо Ханны 14 июня 1993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этом информация о деталях подобных «операций» рано или поздно становится достоянием гласности прежде всего потому, что ее стремятся обнародовать в качестве «компромата» группировки-со-перники. Так, Патриотический союз Курдистана под руководством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Дж.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Талабани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представил в организацию «Международная амнистия» подробную информацию о «ликвидационных командах» службы безопасности Демократической партии Курдистана «Рекхистин тайбети», которая среди прочего, как утверждается, занимается физическим устранением политических конкурентов и неугодных Эрбильской администрации лиц по заданию руководящего звена партии. В свою очередь ДПК раскрыла схожие секреты аналогичной службы партии Талабани «Дезгай заньяри».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Также беспокоит ассирийскую общину ставшая характерной практика похищения курдами-мусульманами ассирийских девушек с последующим бракосочетанием с одним из похитителей и, соответственно, принятием ислама. Кроме этого молодые ассирийки, работающие в домах курдской знати, подвергаются насилию со стороны работодателей. Широкий резонанс получило убийство хозяином дома молодой ассирийской служанки Хелен Алон Савва в 1999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Имеют место и другие бытовые нападения на ассирийцев. Несмотря на уголовный характер этих действий, никакихреальных шагов против этого, по словам ассирийцев, курдскими властями не предпринимается.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убеждению христиан, в условиях доминирования в курдской среде традиционных клановых отношений правоохранительные органы просто вынуждены на все это закрывать глаза. Это, естественно, усиливает недовольство и оппозиционные настроения внутри ассирийской общины. Особенно болезненную реакцию вызывает насилие в отношении священников и вандализм против церквей. Усугубляет ситуацию то, что в связи с практически поголовной вооруженностью курдов в КАР даже небольшие противоречия и конфликты решаются ими с помощью оружия. В случае же пролития крови курдов (например, в результате самообороны или драки) закон уступает место обычаям, 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т.е.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дело вступает кровная месть.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1997–2001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нападениями на ассирийских политиков стали активно заниматься курдские исламисты, позиции которых резко усилились после вооруженного конфликта между ДПК и ПСК (1994–1997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.). Резкое неприятие в фундаменталистской среде вызывает торговля спиртным, которой по закону могут заниматься только христиане. Реакция исламистов нередко принимает форму террористических актов против владельцев таких магазинов и их собственности.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феврале 1997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исламские радикалы совершили первое (неудачное) покушение на губернатора Эрбиля видного деятеля ассирийской общины Франсо Харири. В феврале 2001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им удалось достичь цели. Разумеется, это не имеет никакого отношения к политике курдских властей, тем не менее, также усиливает сепаратистские настроения внутри ассирийской общины.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Значительное влияние на политику иракских ассирийских партий оказывают зарубежные ассирийские структуры, в основном находящиеся в западных странах. Именно оттуда ведется финансовая и идеологическая подпитка борьбы ассирийцев за свои политические и культурные права. Известный ассирийский деятель Абрам Шапира пропагандирует абсолютную невозможность полноценного обеспечения прав ассирийцев в условиях диктатуры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Хусейна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опирающейся «не на широкие демократические массы, а на конфедерацию арабских суннитских кланов», учитывающих толькособственные интересы. По его мнению, в современном Ираке перспектив предоставления всем этническим группам равных условий политического представительства, труда и образования не имеется.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Соответственно, основная работа в этом направлении концентрируется на территории Курдистана. Главным объектом нападок эмигрантских структур стали курдские власти. Эмиграция считает, что «уход» центральной власти с севера Ирака привел к неограниченной власти курдов над всеми жителями КАР и репрессиям против ассирийского населения, и призывает положить этому конец. Речь фактически идет о необходимости дать ассирийцам самоуправление в рамках уже автономного Курдистана, поскольку-де от багдадского режима этого ожидать не приходится.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 влиянием диктуемых зарубежной диаспорой политических установок ассирийские партии и движения Курдистана несколько отстраненно и по-диссидентски ведут себя по отношению к иракской оппозиции, заметную роль в которой играют две курдские партии, возглавляемые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Барзани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Дж.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Талабани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ноябре 1999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Бейруте состоялась встреча представителей ассирийских организаций, проведенная при негласной поддержке Сирии, на которой основными вопросами стали обеспечение соответствующего ассирийского представительства в будущем едином парламенте КАР, а также в структурах антисаддамовской оппозиции.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Немаловажным считается и преодоление бытового угнетения со стороны курдов, особенно клановых шейхов и богатых землевладельцев. Отдельные ассирийские круги (в основном эмигрантские) ставят вопрос об извинениях за прошлые избиения ассирийцев курдами, в частности за резню 50 тыс. человек, устроенную князем Бадреддин-ханом в середине XIX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Ассирийцы в целом выступают за смену режима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Хусейна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однако значительная их часть не поддерживает идей создания независимого курдского образования и выступает за «сохранение территориальной целостности Ирака и противодействие попыткам отдельных сторон перекроить карту региона, поставив всю его дальнейшую судьбу под угрозу». В вопросе международных санкций ассирийцы считают, что их необходимо как можно быстрее снять, поскольку «основной жертвой блокады является народ Ирака во всех его конфессиях и этносах без исключения».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Ассирийцами ведется активная обработка арабской иракской оппозиции, которой разъясняется «ошибочность линии Багдада и курдских фракций в отношении ассирийских требований, проистекающая из неверного толкования принципа права национальностей на самоопределение» (речь идет об обвинениях ассирийцев в сепаратизме и попытках создать на севере Ирака самостоятельное государственное образование). Путь к реализации декларируемой оппозицией и, в частности, Иракским национальным конгрессом задачи по построению нового Ирака видится ассирийцам через обеспечение всем народностям равных гражданских и религиозных прав.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менее сложными являются отношения курдского большинства с туркманской общиной КАР. Туркманы – одно из национальных меньшинств Ирака, проживающее преимущественно на севере страны. При этом подавляющее большинство представителей этой народности сконцентрировано именно в Ираке, хотя отдельные туркманские общины имеются и в других ближневосточных странах, включая Израиль.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Несмотря на расхожее мнение, что туркман на севере Ирака расселили турки-османы в качестве «щита» от набегов арабских племен (на эту версию работает то, что туркманы действительно фактически занимают «зону разграничения» между Курдистаном и арабской частью Ирака), история этой народности в Ираке началась гораздо раньше. Еще при халифах династии Омейядов, в 692 г. 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н.э.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правитель Ирака Хаджадж Бен Юсеф ас-Сакафи нанял туркман для охраны гор и дал им для местожительства район Брара в современной провинции Васит (на юго-востоке от Багдада).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Аббасидах практика военного использования туркман была продолжена: в рядах халифской армии находилось около 40 тысяч туркман. Халиф Муатасим (1248–1252) поселил большое число туркманских семей в городе Самарра, построенном когда-то в качестве столицы аббасидского государства. Достаточно привилегированное положение туркман способствовало росту их миграции в Ирак, особенно усилившейся в сельджукскую эпоху, когда на севере страны, в районе Киркука, Мосула иЭрбиля был создан независимый туркманский эмират. Туркманы считают намеренной фальсификацией появляющиеся в иракской арабской и курдской историографии сведения о том, что их расселение на территории страны связано с завоеваниями турок-османов, считая их попытками представить туркманскую общину «чужеродным элементом для Ирака» со всеми вытекающими из этого последствиями.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Сегодня, по оценкам западных исследователей, численность иракских туркман составляет около 2,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населения страны, 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т.е.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приблизительно 450–500 тысяч человек, такую же цифру называют курдские источники. В республиканском Ираке этот вопрос полностью обходят стороной. Известно лишь, что согласно переписи населения страны, проводившейся в 1957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., иракских туркман уже насчитывалось 500 тыс. человек. При этом следует учитывать, что туркманская община больше ассирийской. Сами туркманы утверждают, и это мнение поддерживается Турцией, что их в Ираке около 2 млн. человек. В нынешней ситуации действительно очень сложно разобраться в этом вопросе, однако, как представляется, все же следует исходить из того, что численность иракских туркман превышает 1 млн. человек.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Основная их масса проживает в населенных пунктах Киркук, Туз-Хурмату, Кара-Тепе, Эрбиль, Дахук, Телль-Афар, Алтынкёпрю. При этом полностью туркманских поселков в Ираке, в том числе в Курдистане, нет. Своим центром туркманы считают город Киркук и выступают за то, чтобы он стал «столицей» их будущего автономного образования. Обращает на себя внимание, что туркманы ведут идеологический спор с курдскими партиями о «национальной принадлежности» города Киркука. Оба народа считают его своим. При этом дискуссия об этом, носящая весьма острый характер, в силу известных обстоятельств также ведется за пределами контролируемых Багдадом территорий, включая сам Киркук.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выделить из истории Ирака только последние 80 лет, то следует отметить, что отношение к туркманской общине было одинаково сложным и противоречивым как со стороны Багдада, так и курдов. Этническая близость туркман к туркам всегда вызывала недоверие. Соответственно, любыеразговоры о правах туркманского меньшинства воспринимались не иначе как «удар в спину» иракской государственности. Во время празднования в июле 1959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первой годовщины антимонархической революции иракская компартия, в которой всегда ощущалось сильное влияние курдских элементов, провела серию нападений на туркман в Киркуке. Их жертвами стали около 30 человек, более 400 семей бежали в Багдад и другие города.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Сегодня в Багдаде по-прежнему смотрят на туркман как на «пятую колонну» Турции, а через нее и всего Североатлантического блока. В 2000–2001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центральных иракских СМИ об этом говорилось вполне конкретно, хотя формально речь шла о деятельности туркманских организаций в КАР. По этой причине уже не один год режим проводит активную арабизацию Киркука, где расположены нефтяные месторождения, и ряда северных районов Ирака, примыкающих к КАР. Туркманы выселяются или в Курдистан, или в центральные районы страны (собственно такая же политика осуществляется и в отношении курдов, и частично в отношении ассирийцев). В частности, к марту 2000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полностью ликвидировано традиционное ранее туркманское присутствие в киркукском районе Арафат, около 300 туркманских семей отправлены в Рамади. В начале 2002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более 300 рабочих-туркман были уволены и заменены арабами на объектах нефтяной инфраструктуры в Киркуке, Байджи и других местах. На туркман (как и на курдов и ассирийцев) распространяется правительственный запрет на использование неарабских имен.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Сопротивляться этим действиям в зоне контроля центрального правительства туркманы сегодня не могут. В этой части Ирака нет никаких туркманских общественно-политических объединений. Поэтому вся политическая работа туркман вынесена на территорию КАР, где для этого условия существуют.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Курдистане интересы туркман представляет около десяти различных партий и организаций, которые были созданы преимущественно после «кувейтских событий» и потому зарегистрированы лишь в МВД региональных «правительств»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Барзани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Дж.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Талабани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Наиболее влиятельные из них: Исламский союз иракских туркман под председательством Аббаса аль-Баяти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уркманская партия единства во главе с Насреддинином Дамирчи, Партия туркманского братства, возглавляемая Валидом Шарикатом, Туркманская партия национального спасения, Туркманская демократическая партия Курдистана, Ассоциация туркманского братства (глава – Нафи Кассаб), Культурный клубтуркманского братства, Иракское демократическое туркманское движени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(генсекретарь 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Азиз Кадер Саманджи), Движение независимых туркман (председатель – Канаан Шакер), Национальная партия иракских туркман (председатель – Мустафа Кемаль Яиджли), Партия «Туркмен-эли» (председатель – Рияд Сари Кахия).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Четыре последние партии объединены в Иракский туркманский фронт (ИТФ), сформированный в мае 1989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(по другим данным, в 1992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.). Его лидеры –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М.К.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Яиджли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А.К.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Саманджи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Канаан Шакер и др., печатный орган – газета «Туркмен-эли». Военное бюро ИТФ возглавляет Фикри Кемаль. В январе 2000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Эрбиле состоялся съезд фронта, на котором было избрано политбюро из 6 человек. Два раза в год проводятся заседания Совета ИТФ, на котором вырабатываются основные решения по направлениям деятельности этой организации.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Особенностью политической платформы ИТФ является то, что в от-личие от других туркманских организаций он не подает документов на официальную регистрацию (в соответствии с курдистанским Законом о партиях от 1993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.), не участвует в выборах, не признает Курдское региональное правительство и, в принципе, избегает упоминания термина Курдистан в своих СМИ (радио, телеканал, несколько газет, также не имеющих «официальной» лицензии). Исключением являются контакты с представителями США, периодически посещающими КАР – их ИТФ вынужден осуществлять через барзанистов и нередко непосредственно в штаб-квартире ДПК (как, например, было в случае с делегацией начальника отдела Ирака, Ирана и северной части Персидского залива Госдепартамента США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Диббле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летом 2000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фронте создано два специализированных управления – Образования и культуры и Здравоохранения, которые, как и сам ИТФ, действуют независимо от аналогичных структур курдских органов власти.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Фронт контролирует ряд туркманских школ, преподавание в которых ведется только на родном и турецком языках и исключительно в русле концепций организации. Помимо этого у ИТФ имеется своя визовая служба – Бюро координации с МИД Турции, обеспечивающее свободное перемещение туркман в Турцию и из нее. За «визы», число которых достигает 20 в день, взимаются сборы, которые под видом пожертвований идут в казну фронта.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Исламский союз иракских туркман (ИСИТ), объединяющий туркман-шиитов, был создан в 1991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Как и другие организации в Курдистане, имеющие исламскую религиозно-политическую направленность, ИСИТ стоит на жестких антибаасистских позициях и достаточно тесно сотрудничает с ведущими иракскими религиозными оппозиционными движениями – Высшим советом исламской революции в Ираке (ВСИРИ) и «Даава». Существуют и зарубежные туркманские организации, в том числе с такими экзотическими названиями, как, например, «Канадско-иракское общество турецкой культуры».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Наиболее активной политической структурой туркман в КАР сегодня является ИТФ. При этом, несмотря на внешнее единство его рядов, входящие в него группировки не преодолели всех внутренних разногласий, результатом чего периодически становятся громкие отставки и выходы из состава фронта. В 1999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некоторые ячейки покинули фронт в связи, как было заявлено, «с пропагандой им пантюркистских идей и подчиненности иностранному государству». В середине 2000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из ИТФ ушли видный туркманский деятель Видад Арслан и его группировка «Туркман Кардашлык Оджагы» (Клуб туркманского братства), а также более трех десятков учителей, профсоюзных активистов и деятелей культуры.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фронта имеются серьезные противоречия и с другими туркманскими фракциями. Одной из главных причин разногласий является отношение к Турции. Одни считают ее практически «родиной-матерью», другие настаивают на том, что туркманы – иракцы, и из этого следует исходить при формировании политической линии. Так, Партия туркманского братства (ПТБ) обвиняет ИТФ в том, что его деятельность «направляется из-за границы и нацелена на уничтожение демократического развития КАР».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ходе вооруженного конфликта между ДПК и ПСК (1994–1997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.) туркманы в целом оставались нейтральными, несмотря на многочисленные попытки соперников вовлечь их в боевые действия на своей стороне. Вместе с тем у различных туркманских организаций все же имеются определенные симпатии к тем или иным курдским фракциям. Так, Туркманская партия единства сочувствует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Барзани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его противоборстве с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Дж.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Талабани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то время как ПТБ и Туркманский фронт стоят ближе к талабанистам. Начиная с 2000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ИТФ стал более открыто играть на разногласиях между Демократической партией и Патриотическим союзом, блокируясь с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Дж.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Талабани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Состоялся целый ряд визитов руководителей фронта в штаб-квартиру политбюро ПСК в Кара-Чолане (под Сулейманией). В свою очередь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Дж.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Талабани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навещал лидера фронта Санана Ахмет-агу в Анкаре. При содействии ПСК были налажены контакты между ИТФ и Ираном (представительная делегация фронта посетила Тегеран в июле 2000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целом же туркманы стараются выступать как самостоятельная сила, ставящая целью обеспечение своих национальных прав в рамках КАР вплоть до создания внутри этого района туркманского самоуправления по образу автономии курдов в масштабе Ирака. У туркман имеется и свой аналог курдской пешмерги – вооруженная партийная милиция. Среди политических задач иракских туркман – добиваться включения в будущее автономное образование района Киркука. Наиболее радикально в этом плане настроен ИТФ и в особенности члены партии «Туркмен-эли». Другие группировки пока стоят на тех позициях, что самоуправление, дескать, возможно осуществлять и без административной автономии, на базе соответствующих договоренностей с курдскими властями. По словам лидера Общества туркманского братства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Кассаба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«9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туркман выступают за федерализм…, уважают федеративный статус [иракского] Курдистана».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Отсутствие единого выразителя туркманских интересов, «зазоры» между платформами туркманских организаций пока дают возможность курдским администрациям, прежде всего в Эрбиле, сдерживать их общее давление. Как высказался в интервью стамбульскому телеканалу «NTV» от 8 февраля 2002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лидер ДПК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Барзани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«мы не выступаем против правтуркман, однако отделяем этот вопрос от проблемы ИТФ». «Фронт представляет лишь часть туркман, однако при поддержке Турции пытается навязать себя всей общине. Если все туркманы проведут выборы и сделают фронт своим представителем, мы также признаем ИТФ единственным представителем туркман и станем рассматривать его в качестве партнера по переговорам. Однако мы против того, чтобы он навязывал себя в качестве такового как туркманам, так и нам». Правая рука лидера ДПК Хошияр Зебари высказался еще конкретнее: «Мы друзья Турции, однако мы не принадлежим Анкаре. [Туркманский фронт] не должен ставить себя над законом, а действовать в соответствии с ним, как все другие политические партии Курдистана. Он должен уважать демократический путь».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Постоянное упоминание Турции в контексте туркманского вопроса отнюдь не случайно: за политической активностью туркман зачастую действительно стоит Анкара, пытающаяся использовать туркман для усиления своего влияния в Курдистане. В туркманской среде интенсивно работают турецкие спецслужбы, главным образом, конечно же, собирая информацию о турецких курдских организациях – Рабочей партии Курдистана, Революционной партии Курдистана, Партии демократического решения Южного Курдистана и марксистских движениях «Кава», «Розчари», «Кок», «Тейкошин» и др. С этой целью турки создали в КАР Общество культуры и солидарности иракских туркман (сокращенно «Дарнак»).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Процесс политической вовлеченности Турции в туркманский вопрос заметно интенсифицировался в 1999–2002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после ряда жалоб ИТФ в националистической турецкой прессе на отсутствие внятной политики Анкары по отношению к проблемам туркманской общины в КАР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работка туркманами турок усилилась после заключения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Дж.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Талабани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Барзани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Вашингтонского соглашения в сентябре 1998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., которое вызвало серьезное недовольство туркман, оказавшихся «за бортом» этих договоренностей (аналогичные чувства к Вашингтонскому соглашению питают и в самой Турции).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настоящее время опека Анкары над туркманской общиной КАР имеет разные формы – от создания фактически турецких школ для туркман ифинансирования туркманских СМИ до поставки вооружений и помощи в подготовке собственных боевых отрядов. В феврале 2002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., когда в администрации США активно муссировалась тема военной операции против Ирака, лидер Национальной партии иракских туркман (НПИТ) Джемаль Шан, выступая на 3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съезде партии, призвал Турцию «защитить жизни и имущество туркман в случае взрыва ситуации в Ираке».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Произошедшее не без помощи турок обострение туркманского вопроса в иракском Курдистане в свою очередь вызвало широкую дискуссию об их судьбе в общественных кругах Турции, среди интеллигенции.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Политолог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Х.Т.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Огузлу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опубликовал исследование «Туркманы Ирака как фактор турецкой внешней политики». Появились предложения о создании Института исследований иракских туркман. Посол в отставке Юксек Сойлемез выступил на страницах газет с призывом к официальной Анкаре изучить экономические аспекты туркманского вопроса, которые, мол, до сих пор обходились Турцией стороной. По его мнению, иракские туркманы должны сыграть важную роль в восстановлении прежних масштабов турецко-иракской торговли, не меньшую по значимости, чем та, которую играют иракские курды в приграничной коммерции.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Именно с подачи Анкары тема туркманского анклава в иракском Курдистане зазвучала и за пределами региона. Делегация проповедующего эту идею Туркманского фронта была принята в декабре 2001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в Госдепартаменте США. Заместитель директора Центра предупредительных действий при Совете по международным отношениям (США)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Д.Л.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Филипс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своей статье в «Интернэшнл Геральд Трибюн» (от 16 мая 2002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.) предложил следующее: «Создание федеративной демократической республики [в Ираке] является структурным решением, позволяющим одновременно обеспечить и озабоченности Турции, и устремления курдов. Соответственно, Ирак мог бы быть разделен на три анклава, одним из которых был бы Курдско-туркмано-ассирийский район на севере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этом, по мнению, высказанному экс-премьер-министром Турции и главой «Партии Истинного пути»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Чиллер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поскольку «создание отдельного курдского государства противоречит турецким интересам, приемлемымпредставляется Туркмано-курдская федерация (так в тексте оригинала), которая оставалась бы в рамках единого Ирака, но чья территориальная целостность гарантировалась бы Турцией». «Любые решения по Северному Ираку должны включать туркман и курдов», утверждает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Чиллер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это усиливает напряженность между туркманами и курдами, которая порой приводит к вспышкам насилия. В марте 1998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туркманские организации в Эрбиле подверглись нападениям и грабежам. Потребовалось вмешательство МИД Турции, чтобы остановить беспорядки. Более того, под давлением турок ДПК выплатила пострадавшим компенсации. В августе 1998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Эрбиль посетила делегация турецкой разведки во главе с генералом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Э.М.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Эрбаканом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которая, в частности, обсудила с туркманскими партиями план действий на случай новых нападений. Члены этих партий получили право отсылать семьи в Турцию в любое время.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Разногласия между курдами и туркманами возникли даже по поводу проведения похорон усопших. Стороны препятствуют захоронению на своих «национальных» кладбищах представителей другой этнической группы без специального разрешения своих политических структур (для Эрбиля это – ДПК и ИТФ). Проблема кроется в том, на каком языке будет выполнена надпись на могиле. Туркманы стараются использовать турецкий алфавит, курды пытаются запретить это, чтобы туркманские могилы не выделялись из общей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массы.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ем, кто не согласен, приходится создавать отдельные кладбища, что весьма непросто.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1996–1998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отношения между туркманскими организациями и ДПК были крайне напряженными. По указанию лидера ДПК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Барзани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два года были высланы в Турцию председатели Национальной туркманской партии Ирака и Партии «Туркмен-эли» (вернулись в КАР осенью 1999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.). Дополнительным источником раздражения служило то, что представители США, всякий раз посещая Курдистан, обещали деньги только курдам. Разрядить обстановку удалось лишь к осени 1998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качестве жеста доброй воли ДПК дал разрешение на открытие в Эрбиле туркманского культурного центра.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июле–августе 2000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вновь обострились отношения между партией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Барзани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ИТФ, который обвинил ДПК в насильственных действиях против своих членов в Эрбиле с применением стрелкового оружия и гранатометов. Фронт обратился к «странам-гарантам безопасности КАР» (имеется в виду от режима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Хусейна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с призывом срочно вмешаться для прекращения нападений курдов на туркман.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свою очередь барзанисты выступили с критикой военного сотрудничества между ИТФ и Анкарой и дали понять, что напряженность вокруг фронта является следствием трений между различными течениями внутри этой организации, а не политики ДПК. Тем не менее Турция достаточно жестко отреагировала на эти события, устроив «разнос»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-зани в ходе его визита в Анкару в начале октября 2000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дальнейшем тема «уважения прав» туркман в зоне ответственности ДПК стала практически традиционной в контактах турок с представителями этой партии.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октября 2001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служба безопасности эрбильской администрации (ДПК) закрыла офисы созданной незадолго до этого Туркманской организации студентов (TOC). Поводом стало отсутствие у TOC официальной регистрации. Несмотря на то, что эта организация имела достаточно радикальный характер, в протестах против «беззакония властей» приняли участие почти все туркманские партии и движения. Активнее всех выступили входящие в ИТФ Независимое туркманское движение, Национальная партия иракских туркман, «Туркмен-эли».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Вместе с тем на публике курдские лидеры традиционно выступают за гармоничное сосуществование курдов со всеми этническими меньшинствами КАР. Так, в речи на церемонии инаугурации трех новых ассирийских епископов личный представитель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Барзани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Фадель Мирани высоко отозвался об уровне «сотрудничества между различными </w:t>
      </w:r>
      <w:r w:rsidRPr="001141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религиозными 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(курсив автора) общинами, проживающими в Иракском Курдистане», и пообещал «и далее развивать существующую в КАР интеллектуальную и религиозную множественность».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Ассирийцам предоставлены места в администрации ДПК – 3 министерских портфеля в правительстве (министры финансов и промышленности и один государственный министр) и ряд чиновничьих должностей более скромного уровня. Существуют начальные школы с преподаванием на ассирийском языке. Стали выходить газеты и журналы, ассирийцам было предоставлено право отмечать свои религиозные праздники и объявлять выходные дни. Курдский спутниковый телеканал KTV регулярно посвящает им программы и передачи.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региональной администрации в Эрбиле действует Туркманский департамент образования (отдельно от аналогичной структуры ИТФ), занимающийся вопросами преподавания в туркманских школах на родном языке. В середине 1990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годов представитель туркманской общины занимал пост министра транспорта.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Ассирийский и туркманский вопросы в иракском Курдистане, имеющие пока патентный характер из-за наличия других сложных нерешенных проблем, таких как, например, будущее взаимоотношений между Багдадом и КАР, тем не менее, несет в себе большой взрывоопасный потенциал. Усиливает эту вероятность сохраняющаяся неурегулированность проблем между ДПК и ПСК, которой, в частности, уже попытались воспользоваться для «перекройки» внутриполитической карты Курдистана исламисты.</w:t>
      </w:r>
    </w:p>
    <w:p w:rsidR="00AD782B" w:rsidRPr="00114149" w:rsidRDefault="00AD782B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этом в Багдаде не склонны рассматривать туркман и ассирийцев в качестве этнического «рычага сдерживания» курдских устремлений к абсолютному самоуправлению, с другой – они все больше воспринимаются курдами и отчасти иракским режимом в качестве «пятой колонны» Турции и стран Запада. Принимая во внимание, что в последнее время ассирийские партии усиливают давление на курдские администрации с целью максимального обеспечения национальных прав, а туркманские группировки и вовсе укрепляют свои вооруженные отряды и повышают боеспособность, нельзя исключать, что в недалеком будущем вокруг их требований автономии может возникнуть новый очаг напряженности и нестабильности на севере Ирака, в который, помимо Багдада и иракских курдских фракций, может оказаться втянутой и Турция.</w:t>
      </w:r>
    </w:p>
    <w:p w:rsidR="004B6029" w:rsidRPr="00512CE1" w:rsidRDefault="004B6029" w:rsidP="004B6029">
      <w:pPr>
        <w:spacing w:line="360" w:lineRule="auto"/>
        <w:jc w:val="both"/>
        <w:rPr>
          <w:rFonts w:ascii="Times New Roman" w:hAnsi="Times New Roman" w:cs="Times New Roman"/>
          <w:color w:val="FFFFFF"/>
        </w:rPr>
      </w:pPr>
      <w:r w:rsidRPr="00512CE1">
        <w:rPr>
          <w:rFonts w:ascii="Times New Roman" w:hAnsi="Times New Roman" w:cs="Times New Roman"/>
          <w:color w:val="FFFFFF"/>
          <w:sz w:val="28"/>
          <w:szCs w:val="28"/>
        </w:rPr>
        <w:t xml:space="preserve">курдский автономный администрация </w:t>
      </w:r>
      <w:r w:rsidR="00B42FDE" w:rsidRPr="00512CE1">
        <w:rPr>
          <w:rFonts w:ascii="Times New Roman" w:hAnsi="Times New Roman" w:cs="Times New Roman"/>
          <w:color w:val="FFFFFF"/>
          <w:sz w:val="28"/>
          <w:szCs w:val="28"/>
        </w:rPr>
        <w:t>меньшинство</w:t>
      </w:r>
    </w:p>
    <w:p w:rsidR="004B6029" w:rsidRDefault="004B6029" w:rsidP="001141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D782B" w:rsidRPr="00155FF3" w:rsidRDefault="008C30DD" w:rsidP="00155FF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11414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8C30DD" w:rsidRPr="00114149" w:rsidRDefault="008C30DD" w:rsidP="0011414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782B" w:rsidRPr="00114149" w:rsidRDefault="00AD782B" w:rsidP="00155FF3">
      <w:pPr>
        <w:pStyle w:val="af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Аш-Шарк аль-Аусат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28.12.1999.</w:t>
      </w:r>
    </w:p>
    <w:p w:rsidR="00AD782B" w:rsidRPr="00114149" w:rsidRDefault="00AD782B" w:rsidP="00155FF3">
      <w:pPr>
        <w:pStyle w:val="af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Аль-Хаят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12.12.1999; 06.02.2000.</w:t>
      </w:r>
    </w:p>
    <w:p w:rsidR="00AD782B" w:rsidRPr="00114149" w:rsidRDefault="00AD782B" w:rsidP="00155FF3">
      <w:pPr>
        <w:pStyle w:val="af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Аль-Хаят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23.03.2001.</w:t>
      </w:r>
    </w:p>
    <w:p w:rsidR="00AD782B" w:rsidRPr="00114149" w:rsidRDefault="00AD782B" w:rsidP="00155FF3">
      <w:pPr>
        <w:pStyle w:val="af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Браяти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10.02.2002.</w:t>
      </w:r>
    </w:p>
    <w:p w:rsidR="00AD782B" w:rsidRPr="00114149" w:rsidRDefault="00AD782B" w:rsidP="00155FF3">
      <w:pPr>
        <w:pStyle w:val="af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Аш-Шарк аль-Ауса</w:t>
      </w:r>
      <w:r w:rsidR="00114149" w:rsidRPr="001141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41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2.04.2000.</w:t>
      </w:r>
    </w:p>
    <w:p w:rsidR="00AD782B" w:rsidRPr="00114149" w:rsidRDefault="00AD782B" w:rsidP="00155FF3">
      <w:pPr>
        <w:pStyle w:val="af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www.rferl.org/iraq-report/2002/01/l-l 10102.html.</w:t>
      </w:r>
    </w:p>
    <w:p w:rsidR="00AD782B" w:rsidRPr="00114149" w:rsidRDefault="00AD782B" w:rsidP="00155FF3">
      <w:pPr>
        <w:pStyle w:val="af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www.rferl.org/iraq-report/2002/02/6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50202.html.</w:t>
      </w:r>
    </w:p>
    <w:p w:rsidR="00AD782B" w:rsidRPr="00114149" w:rsidRDefault="00AD782B" w:rsidP="00155FF3">
      <w:pPr>
        <w:pStyle w:val="af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Iraqi Kurdistan Dispatch, 01.02.2002.</w:t>
      </w:r>
    </w:p>
    <w:p w:rsidR="00AD782B" w:rsidRPr="00114149" w:rsidRDefault="00AD782B" w:rsidP="00155FF3">
      <w:pPr>
        <w:pStyle w:val="af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www.rferl.org/iraq-report/2001/10/32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0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51001.html.</w:t>
      </w:r>
    </w:p>
    <w:p w:rsidR="00AD782B" w:rsidRPr="00114149" w:rsidRDefault="00AD782B" w:rsidP="00155FF3">
      <w:pPr>
        <w:pStyle w:val="af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114149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www.rferl.org/iraq-report/2002/01/3</w:t>
      </w:r>
      <w:r w:rsidR="00114149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="00114149" w:rsidRPr="00114149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50102.html.</w:t>
      </w:r>
    </w:p>
    <w:p w:rsidR="00AD782B" w:rsidRPr="00114149" w:rsidRDefault="00AD782B" w:rsidP="00155FF3">
      <w:pPr>
        <w:pStyle w:val="af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414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Хабат</w:t>
      </w:r>
      <w:r w:rsidRPr="001141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08.02.2002.</w:t>
      </w:r>
    </w:p>
    <w:p w:rsidR="00114149" w:rsidRPr="00114149" w:rsidRDefault="00114149" w:rsidP="001141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114149" w:rsidRPr="00114149" w:rsidSect="00114149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CE1" w:rsidRDefault="00512CE1" w:rsidP="008C30DD">
      <w:pPr>
        <w:spacing w:after="0" w:line="240" w:lineRule="auto"/>
      </w:pPr>
      <w:r>
        <w:separator/>
      </w:r>
    </w:p>
  </w:endnote>
  <w:endnote w:type="continuationSeparator" w:id="0">
    <w:p w:rsidR="00512CE1" w:rsidRDefault="00512CE1" w:rsidP="008C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0DD" w:rsidRDefault="00915C9B">
    <w:pPr>
      <w:pStyle w:val="a6"/>
      <w:jc w:val="center"/>
    </w:pPr>
    <w:r>
      <w:rPr>
        <w:noProof/>
      </w:rPr>
      <w:t>2</w:t>
    </w:r>
  </w:p>
  <w:p w:rsidR="008C30DD" w:rsidRDefault="008C30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CE1" w:rsidRDefault="00512CE1" w:rsidP="008C30DD">
      <w:pPr>
        <w:spacing w:after="0" w:line="240" w:lineRule="auto"/>
      </w:pPr>
      <w:r>
        <w:separator/>
      </w:r>
    </w:p>
  </w:footnote>
  <w:footnote w:type="continuationSeparator" w:id="0">
    <w:p w:rsidR="00512CE1" w:rsidRDefault="00512CE1" w:rsidP="008C3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49" w:rsidRPr="00114149" w:rsidRDefault="00114149" w:rsidP="00114149">
    <w:pPr>
      <w:pStyle w:val="a9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49" w:rsidRPr="00114149" w:rsidRDefault="00114149" w:rsidP="00114149">
    <w:pPr>
      <w:pStyle w:val="a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85CEF"/>
    <w:multiLevelType w:val="hybridMultilevel"/>
    <w:tmpl w:val="F4FAB2A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A6F"/>
    <w:rsid w:val="00114149"/>
    <w:rsid w:val="00155FF3"/>
    <w:rsid w:val="002B36CA"/>
    <w:rsid w:val="002B58CB"/>
    <w:rsid w:val="002E7E33"/>
    <w:rsid w:val="003B3A6F"/>
    <w:rsid w:val="00454EBB"/>
    <w:rsid w:val="004B6029"/>
    <w:rsid w:val="00512CE1"/>
    <w:rsid w:val="00597CF4"/>
    <w:rsid w:val="008C30DD"/>
    <w:rsid w:val="00915C9B"/>
    <w:rsid w:val="009953EC"/>
    <w:rsid w:val="00A1185F"/>
    <w:rsid w:val="00AD782B"/>
    <w:rsid w:val="00B42FDE"/>
    <w:rsid w:val="00C169AF"/>
    <w:rsid w:val="00C2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3FD4A2-82FD-48EF-8D63-0238E146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9AF"/>
    <w:pPr>
      <w:spacing w:after="200" w:line="276" w:lineRule="auto"/>
    </w:pPr>
    <w:rPr>
      <w:rFonts w:cs="Arial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782B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425"/>
      <w:jc w:val="right"/>
      <w:outlineLvl w:val="0"/>
    </w:pPr>
    <w:rPr>
      <w:rFonts w:ascii="Arial" w:hAnsi="Arial"/>
      <w:b/>
      <w:color w:val="000000"/>
      <w:spacing w:val="6"/>
      <w:sz w:val="1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D782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1"/>
    </w:pPr>
    <w:rPr>
      <w:rFonts w:ascii="Arial" w:hAnsi="Arial"/>
      <w:b/>
      <w:iCs/>
      <w:color w:val="000000"/>
      <w:spacing w:val="6"/>
      <w:sz w:val="1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D782B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782B"/>
    <w:rPr>
      <w:rFonts w:ascii="Arial" w:hAnsi="Arial"/>
      <w:b/>
      <w:color w:val="000000"/>
      <w:spacing w:val="6"/>
      <w:sz w:val="28"/>
      <w:shd w:val="clear" w:color="auto" w:fill="FFFFFF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AD782B"/>
    <w:rPr>
      <w:rFonts w:ascii="Arial" w:hAnsi="Arial"/>
      <w:b/>
      <w:color w:val="000000"/>
      <w:spacing w:val="6"/>
      <w:sz w:val="28"/>
      <w:shd w:val="clear" w:color="auto" w:fill="FFFFFF"/>
      <w:lang w:val="x-none" w:eastAsia="ru-RU"/>
    </w:rPr>
  </w:style>
  <w:style w:type="character" w:customStyle="1" w:styleId="80">
    <w:name w:val="Заголовок 8 Знак"/>
    <w:link w:val="8"/>
    <w:uiPriority w:val="99"/>
    <w:locked/>
    <w:rsid w:val="00AD782B"/>
    <w:rPr>
      <w:rFonts w:ascii="Times New Roman" w:hAnsi="Times New Roman"/>
      <w:i/>
      <w:sz w:val="24"/>
      <w:lang w:val="x-none" w:eastAsia="ru-RU"/>
    </w:rPr>
  </w:style>
  <w:style w:type="character" w:styleId="a3">
    <w:name w:val="footnote reference"/>
    <w:uiPriority w:val="99"/>
    <w:semiHidden/>
    <w:rsid w:val="00AD782B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AD782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иноски Знак"/>
    <w:link w:val="a4"/>
    <w:uiPriority w:val="99"/>
    <w:semiHidden/>
    <w:locked/>
    <w:rsid w:val="00AD782B"/>
    <w:rPr>
      <w:rFonts w:ascii="Times New Roman" w:hAnsi="Times New Roman"/>
      <w:sz w:val="20"/>
      <w:lang w:val="x-none" w:eastAsia="ru-RU"/>
    </w:rPr>
  </w:style>
  <w:style w:type="paragraph" w:styleId="a6">
    <w:name w:val="footer"/>
    <w:basedOn w:val="a"/>
    <w:link w:val="a7"/>
    <w:uiPriority w:val="99"/>
    <w:rsid w:val="00AD782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Нижній колонтитул Знак"/>
    <w:link w:val="a6"/>
    <w:uiPriority w:val="99"/>
    <w:locked/>
    <w:rsid w:val="00AD782B"/>
    <w:rPr>
      <w:rFonts w:ascii="Times New Roman" w:hAnsi="Times New Roman"/>
      <w:sz w:val="24"/>
      <w:lang w:val="x-none" w:eastAsia="ru-RU"/>
    </w:rPr>
  </w:style>
  <w:style w:type="character" w:styleId="a8">
    <w:name w:val="page number"/>
    <w:uiPriority w:val="99"/>
    <w:rsid w:val="00AD782B"/>
    <w:rPr>
      <w:rFonts w:cs="Times New Roman"/>
    </w:rPr>
  </w:style>
  <w:style w:type="paragraph" w:styleId="a9">
    <w:name w:val="header"/>
    <w:basedOn w:val="a"/>
    <w:link w:val="aa"/>
    <w:uiPriority w:val="99"/>
    <w:rsid w:val="00AD782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Верхній колонтитул Знак"/>
    <w:link w:val="a9"/>
    <w:uiPriority w:val="99"/>
    <w:locked/>
    <w:rsid w:val="00AD782B"/>
    <w:rPr>
      <w:rFonts w:ascii="Times New Roman" w:hAnsi="Times New Roman"/>
      <w:sz w:val="24"/>
      <w:lang w:val="x-none" w:eastAsia="ru-RU"/>
    </w:rPr>
  </w:style>
  <w:style w:type="character" w:styleId="ab">
    <w:name w:val="Hyperlink"/>
    <w:uiPriority w:val="99"/>
    <w:rsid w:val="00AD782B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rsid w:val="00AD782B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hAnsi="Arial"/>
      <w:color w:val="000000"/>
      <w:spacing w:val="6"/>
      <w:sz w:val="28"/>
      <w:szCs w:val="28"/>
      <w:lang w:eastAsia="ru-RU"/>
    </w:rPr>
  </w:style>
  <w:style w:type="character" w:customStyle="1" w:styleId="ad">
    <w:name w:val="Основний текст з відступом Знак"/>
    <w:link w:val="ac"/>
    <w:uiPriority w:val="99"/>
    <w:locked/>
    <w:rsid w:val="00AD782B"/>
    <w:rPr>
      <w:rFonts w:ascii="Arial" w:hAnsi="Arial"/>
      <w:color w:val="000000"/>
      <w:spacing w:val="6"/>
      <w:sz w:val="28"/>
      <w:shd w:val="clear" w:color="auto" w:fill="FFFFFF"/>
      <w:lang w:val="x-none" w:eastAsia="ru-RU"/>
    </w:rPr>
  </w:style>
  <w:style w:type="character" w:styleId="ae">
    <w:name w:val="FollowedHyperlink"/>
    <w:uiPriority w:val="99"/>
    <w:rsid w:val="00AD782B"/>
    <w:rPr>
      <w:rFonts w:cs="Times New Roman"/>
      <w:color w:val="800080"/>
      <w:u w:val="single"/>
    </w:rPr>
  </w:style>
  <w:style w:type="paragraph" w:styleId="af">
    <w:name w:val="Body Text"/>
    <w:basedOn w:val="a"/>
    <w:link w:val="af0"/>
    <w:uiPriority w:val="99"/>
    <w:rsid w:val="00AD782B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hAnsi="Arial"/>
      <w:bCs/>
      <w:color w:val="000000"/>
      <w:spacing w:val="6"/>
      <w:sz w:val="18"/>
      <w:szCs w:val="28"/>
      <w:lang w:eastAsia="ru-RU"/>
    </w:rPr>
  </w:style>
  <w:style w:type="character" w:customStyle="1" w:styleId="af0">
    <w:name w:val="Основний текст Знак"/>
    <w:link w:val="af"/>
    <w:uiPriority w:val="99"/>
    <w:locked/>
    <w:rsid w:val="00AD782B"/>
    <w:rPr>
      <w:rFonts w:ascii="Arial" w:hAnsi="Arial"/>
      <w:color w:val="000000"/>
      <w:spacing w:val="6"/>
      <w:sz w:val="28"/>
      <w:shd w:val="clear" w:color="auto" w:fill="FFFFFF"/>
      <w:lang w:val="x-none" w:eastAsia="ru-RU"/>
    </w:rPr>
  </w:style>
  <w:style w:type="paragraph" w:styleId="21">
    <w:name w:val="Body Text Indent 2"/>
    <w:basedOn w:val="a"/>
    <w:link w:val="22"/>
    <w:uiPriority w:val="99"/>
    <w:rsid w:val="00AD782B"/>
    <w:pPr>
      <w:shd w:val="clear" w:color="auto" w:fill="FFFFFF"/>
      <w:autoSpaceDE w:val="0"/>
      <w:autoSpaceDN w:val="0"/>
      <w:adjustRightInd w:val="0"/>
      <w:spacing w:after="0" w:line="240" w:lineRule="auto"/>
      <w:ind w:firstLine="425"/>
      <w:jc w:val="both"/>
    </w:pPr>
    <w:rPr>
      <w:rFonts w:ascii="Arial" w:hAnsi="Arial"/>
      <w:color w:val="000000"/>
      <w:spacing w:val="2"/>
      <w:sz w:val="18"/>
      <w:szCs w:val="28"/>
      <w:lang w:eastAsia="ru-RU"/>
    </w:rPr>
  </w:style>
  <w:style w:type="character" w:customStyle="1" w:styleId="22">
    <w:name w:val="Основний текст з відступом 2 Знак"/>
    <w:link w:val="21"/>
    <w:uiPriority w:val="99"/>
    <w:locked/>
    <w:rsid w:val="00AD782B"/>
    <w:rPr>
      <w:rFonts w:ascii="Arial" w:hAnsi="Arial"/>
      <w:color w:val="000000"/>
      <w:spacing w:val="2"/>
      <w:sz w:val="28"/>
      <w:shd w:val="clear" w:color="auto" w:fill="FFFFFF"/>
      <w:lang w:val="x-none" w:eastAsia="ru-RU"/>
    </w:rPr>
  </w:style>
  <w:style w:type="paragraph" w:styleId="3">
    <w:name w:val="Body Text Indent 3"/>
    <w:basedOn w:val="a"/>
    <w:link w:val="30"/>
    <w:uiPriority w:val="99"/>
    <w:rsid w:val="00AD782B"/>
    <w:pPr>
      <w:shd w:val="clear" w:color="auto" w:fill="FFFFFF"/>
      <w:autoSpaceDE w:val="0"/>
      <w:autoSpaceDN w:val="0"/>
      <w:adjustRightInd w:val="0"/>
      <w:spacing w:after="0" w:line="240" w:lineRule="auto"/>
      <w:ind w:left="2694"/>
      <w:jc w:val="both"/>
    </w:pPr>
    <w:rPr>
      <w:rFonts w:ascii="Arial" w:hAnsi="Arial"/>
      <w:color w:val="000000"/>
      <w:spacing w:val="6"/>
      <w:sz w:val="18"/>
      <w:szCs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locked/>
    <w:rsid w:val="00AD782B"/>
    <w:rPr>
      <w:rFonts w:ascii="Arial" w:hAnsi="Arial"/>
      <w:color w:val="000000"/>
      <w:spacing w:val="6"/>
      <w:sz w:val="28"/>
      <w:shd w:val="clear" w:color="auto" w:fill="FFFFFF"/>
      <w:lang w:val="x-none" w:eastAsia="ru-RU"/>
    </w:rPr>
  </w:style>
  <w:style w:type="paragraph" w:styleId="23">
    <w:name w:val="Body Text 2"/>
    <w:basedOn w:val="a"/>
    <w:link w:val="24"/>
    <w:uiPriority w:val="99"/>
    <w:rsid w:val="00AD782B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Arial" w:hAnsi="Arial"/>
      <w:b/>
      <w:bCs/>
      <w:color w:val="000000"/>
      <w:spacing w:val="6"/>
      <w:sz w:val="18"/>
      <w:szCs w:val="28"/>
      <w:lang w:eastAsia="ru-RU"/>
    </w:rPr>
  </w:style>
  <w:style w:type="character" w:customStyle="1" w:styleId="24">
    <w:name w:val="Основний текст 2 Знак"/>
    <w:link w:val="23"/>
    <w:uiPriority w:val="99"/>
    <w:locked/>
    <w:rsid w:val="00AD782B"/>
    <w:rPr>
      <w:rFonts w:ascii="Arial" w:hAnsi="Arial"/>
      <w:b/>
      <w:color w:val="000000"/>
      <w:spacing w:val="6"/>
      <w:sz w:val="28"/>
      <w:shd w:val="clear" w:color="auto" w:fill="FFFFFF"/>
      <w:lang w:val="x-none" w:eastAsia="ru-RU"/>
    </w:rPr>
  </w:style>
  <w:style w:type="paragraph" w:styleId="af1">
    <w:name w:val="List Paragraph"/>
    <w:basedOn w:val="a"/>
    <w:uiPriority w:val="99"/>
    <w:qFormat/>
    <w:rsid w:val="008C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6481</Words>
  <Characters>36945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Проблемы национальных меньшинств проживающие в КАР</vt:lpstr>
    </vt:vector>
  </TitlesOfParts>
  <Company>Reanimator Extreme Edition</Company>
  <LinksUpToDate>false</LinksUpToDate>
  <CharactersWithSpaces>43340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Проблемы национальных меньшинств проживающие в КАР</dc:title>
  <dc:subject/>
  <dc:creator>SbO</dc:creator>
  <cp:keywords/>
  <dc:description/>
  <cp:lastModifiedBy>Irina</cp:lastModifiedBy>
  <cp:revision>2</cp:revision>
  <dcterms:created xsi:type="dcterms:W3CDTF">2014-09-12T12:15:00Z</dcterms:created>
  <dcterms:modified xsi:type="dcterms:W3CDTF">2014-09-12T12:15:00Z</dcterms:modified>
</cp:coreProperties>
</file>