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94" w:rsidRPr="004753FB" w:rsidRDefault="00970A94" w:rsidP="00970A94">
      <w:pPr>
        <w:spacing w:before="120"/>
        <w:jc w:val="center"/>
        <w:rPr>
          <w:b/>
          <w:bCs/>
          <w:sz w:val="32"/>
          <w:szCs w:val="32"/>
        </w:rPr>
      </w:pPr>
      <w:r w:rsidRPr="004753FB">
        <w:rPr>
          <w:b/>
          <w:bCs/>
          <w:sz w:val="32"/>
          <w:szCs w:val="32"/>
        </w:rPr>
        <w:t xml:space="preserve">Процесс непрерывного улучшения </w:t>
      </w:r>
    </w:p>
    <w:p w:rsidR="00970A94" w:rsidRPr="004753FB" w:rsidRDefault="00970A94" w:rsidP="00970A94">
      <w:pPr>
        <w:spacing w:before="120"/>
        <w:ind w:firstLine="567"/>
        <w:jc w:val="both"/>
        <w:rPr>
          <w:sz w:val="28"/>
          <w:szCs w:val="28"/>
        </w:rPr>
      </w:pPr>
      <w:r w:rsidRPr="00D04407">
        <w:rPr>
          <w:sz w:val="28"/>
          <w:szCs w:val="28"/>
        </w:rPr>
        <w:t>Рязанцев Андрей Алексеевич</w:t>
      </w:r>
      <w:r w:rsidRPr="004753FB">
        <w:rPr>
          <w:sz w:val="28"/>
          <w:szCs w:val="28"/>
        </w:rPr>
        <w:t xml:space="preserve">, менеджер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Коротко сущность такого управления можно определить так: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В фонде резервируются средства на восстановление качества.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При наличии брака качество восстанавливается за счет средств фонда.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Остаток средств фонда выплачивается в виде премии за качество.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Прежде чем приступать к работе по совершенствованию системы управления качеством, необходимо обобщить статистические данные по потерям, связанным с низким качеством (транспортные потери, затраты труда, материалов и т.п.). Все потери переводятся в денежный эквивалент. Репутационный вред в денежный эквивалент не переводится, т.к. считается, что репутационный вред недопустим, поэтому фирма должна предпринять все возможные способы, чтобы предотвратить ущерб ее репутации. Если статистических данных о потерях нет, то до начала работы по совершенствованию качества надо обязательно такие данные получить либо за счет статистических наблюдений и анализа финансовой и другой отчетности, либо, что менее предпочтительно, опираясь на мнение нескольких экспертов.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Для финансового управления качеством создается специализированный Фонд качества (ФК).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Средства из ФК расходуются на цели: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Оплаты ущерба, нанесенного Заказчикам и сторонним лицам и судебных издержек из-за низкого качества.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Ликвидации поломок, аварий, последствий некачественного выполнения работ.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Коллективного поощрения (всех работников фирмы). Годовая премия.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Группового поощрения (по отделам, рабочим группам, созданным для освоения объекта). Полугодовая премия.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Индивидуального поощрения за качественное выполнение работы. Квартальная премия.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Примечание: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Способность выполнять работы в срок, также характеризующая качество менеджмента на фирме (качество планирования и управления ресурсами), в данной статье подробно не рассматривается. Вознаграждение за качественную организацию работ для руководителя соответствующего уровня может быть предусмотрено в фонде индивидуального поощрения.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Выплата вознаграждений из ФК носит отложенный характер – после практического подтверждения качества через определенное время, обычно полгода или год.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Если за отчетный период не было случаев брака, то все средства из фонда возмещения и восстановления переводятся в фонд поощрения и выплачиваются в виде премии за качество.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Величина ФК связана с гарантийным сроком (см. Приложение №1), однако следует учитывать, что некачественная работа, выявленная Заказчиком и доставляющая Заказчику значительные неудобства, даже после истечения гарантийного срока, может существенно влиять на репутацию фирмы.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Виновные в низком качестве и доля удерживаемой премии должны определяться, как правило, комиссионно, в составе специально созданной комиссии по качеству. В работе комиссии должна соблюдаться гласность.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Размер премии (процент от заработной платы или повышающий коэффициент от минимальной премии по качеству), как индивидуальной, так и групповой, зависит от влияния на качество и на возможный ущерб.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Допуск к работе специалистов оформляется официально, только после того, как будет подтверждена необходимая квалификация (обычно практический экзамен после обучения).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Обучение проводится либо преподавателем, либо менеджером, прорабом с навыками обучения и практическим опытом за отдельное вознаграждение. Контроль качества обучения проводится другими уполномоченными лицами, не принимавшими участия в обучении.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Обучение должно быть категорировано по уровню сложности и по специализации. На каждого специалиста заводится формуляр, в котором отражаются его теоретические и практические знания и навыки, а также недостатки в работе, систематически допускаемые ошибки.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Рабочим присваиваются разряды, которые являются официальным подтверждением способности выполнять работу определенной сложности с заданным уровнем качества. Разряды присваиваются и снижаются в зависимости от показателей качества выполненной работы. На фирме может быть своя собственная шкала разрядов, применяемая для внутренних целей.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При увольнении сотрудника по причинам, не связанным с низким качеством работы, ему выплачивается 1/4 размера премии, учитываемой в том периоде, в котором происходит увольнение. Например: квартальная премия, если в квартале проработал 1, 5 месяца (1/2 квартала) будет рассчитана как 1/4 х 1/2 = 1/8=0,125=12,5%.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Для реализации целей управления качеством ФК делится на 2 основных части, различающиеся по функциональному назначению: для поощрения и для возмещения, которые, в свою очередь имеют свое деление на подфонды. </w:t>
      </w:r>
    </w:p>
    <w:p w:rsidR="00970A94" w:rsidRPr="004A0443" w:rsidRDefault="005F0202" w:rsidP="00970A9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01.25pt">
            <v:imagedata r:id="rId4" o:title=""/>
          </v:shape>
        </w:pic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В таблице фонды размещены в порядке убывания важности, т.е наиболее важные фонды имеют меньший номер.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Выплаты из ФК производятся в порядке их важности. Если исчерпаны средства из более важного фонда, то производится перевод средств из менее важных. Может производиться условный заем средств из последующих периодов (т.е. может быть принято решение о невыплате, например, премий в следующем квартале). Однозначно удерживается выплата отделам (группам) и отдельным лицам, виновным в низком качестве. Перевод средств начинается с фонда личного поощрения, т.е. удерживается выплата сотрудникам, лично виновным. Если невозможно определить непосредственно виновных в отделе (рабочей группе), или если удержанных средств для индивидуального поощрения не хватает, то рассматривается вопрос об удержании премии отделу (рабочей группе).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Так как стоимость устранения недостатков обычно гораздо больше величины индивидуальной премии, более важные фонды должны иметь более высокий объем средств.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Комиссия по качеству должна в обязательном порядке учитывать мнение службы гарантии и сервиса, а также мнение Заказчика.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Если причина брака находится вне фирмы или невозможно точно определить виновных, то в случае, когда не хватает средств в фонде возмещения и восстановления, то все фонды поощрения пропорционально уменьшаются.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Для того, чтобы выявить виновных лиц через полгода-год, должна оформляться исполнительная документация (технологическая карта), где должны быть указаны фамилии и личные подписи лиц, производивших операции.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При такой структуре средств ФК и такой организации системы управления качеством ремонтно-восстановительные работы в малой фирме можно будет выполнять несколькими способами: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Устранение брака сотрудниками, его допустившими, с учетом их заинтересованности в получении как можно большей части премии за качество или же под угрозой лишения премий за несколько кварталов.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Привлечение других специалистов фирмы с оплатой восстановительных работ дополнительно. </w:t>
      </w:r>
    </w:p>
    <w:p w:rsidR="00970A94" w:rsidRPr="004A0443" w:rsidRDefault="00970A94" w:rsidP="00970A94">
      <w:pPr>
        <w:spacing w:before="120"/>
        <w:ind w:firstLine="567"/>
        <w:jc w:val="both"/>
      </w:pPr>
      <w:r w:rsidRPr="004A0443">
        <w:t xml:space="preserve">Привлечение сторонней фирмы для устранения брака. Для определения минимальной стоимости ремонта в этом случае необходимо наличие нескольких конкурирующих между собой фирм, привлекаемых на тендерной основе. Фирма должна быть открыта к сотрудничеству со специалистами как по профильным специальностям, так и по непрофильным, но необходимым в процессе производства (например: со специалистами по подъемно-транспортному оборудованию, такелажным работам и т.п.). Должна быть база данных по специалистам.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A94"/>
    <w:rsid w:val="00002B5A"/>
    <w:rsid w:val="0010437E"/>
    <w:rsid w:val="004464B0"/>
    <w:rsid w:val="004753FB"/>
    <w:rsid w:val="004A0443"/>
    <w:rsid w:val="00596CB2"/>
    <w:rsid w:val="005F0202"/>
    <w:rsid w:val="00616072"/>
    <w:rsid w:val="006A5004"/>
    <w:rsid w:val="00710178"/>
    <w:rsid w:val="008B35EE"/>
    <w:rsid w:val="00905CC1"/>
    <w:rsid w:val="00970A94"/>
    <w:rsid w:val="00B42C45"/>
    <w:rsid w:val="00B47B6A"/>
    <w:rsid w:val="00CA4182"/>
    <w:rsid w:val="00D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A30BAC-B652-454C-9939-65ECA7C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70A94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 непрерывного улучшения </vt:lpstr>
    </vt:vector>
  </TitlesOfParts>
  <Company>Home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непрерывного улучшения </dc:title>
  <dc:subject/>
  <dc:creator>User</dc:creator>
  <cp:keywords/>
  <dc:description/>
  <cp:lastModifiedBy>admin</cp:lastModifiedBy>
  <cp:revision>2</cp:revision>
  <dcterms:created xsi:type="dcterms:W3CDTF">2014-02-15T04:36:00Z</dcterms:created>
  <dcterms:modified xsi:type="dcterms:W3CDTF">2014-02-15T04:36:00Z</dcterms:modified>
</cp:coreProperties>
</file>