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8E" w:rsidRPr="009A3FE0" w:rsidRDefault="009A3FE0" w:rsidP="009A3FE0">
      <w:pPr>
        <w:pStyle w:val="2"/>
      </w:pPr>
      <w:r w:rsidRPr="009A3FE0">
        <w:t>профилактические мероприятия в строительстве</w:t>
      </w:r>
    </w:p>
    <w:p w:rsidR="009A3FE0" w:rsidRDefault="009A3FE0" w:rsidP="009A3FE0">
      <w:pPr>
        <w:widowControl w:val="0"/>
        <w:autoSpaceDE w:val="0"/>
        <w:autoSpaceDN w:val="0"/>
        <w:adjustRightInd w:val="0"/>
        <w:ind w:firstLine="709"/>
      </w:pP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При ведении плотницких и столярных работ помещение необходимо содержать в чистоте и ежедневно убирать отходы с места производства работ в специально отведенные места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 xml:space="preserve">При строительстве высотных сооружений (дымовые трубы, силосные сооружения, градирни и </w:t>
      </w:r>
      <w:r w:rsidR="009A3FE0" w:rsidRPr="009A3FE0">
        <w:t xml:space="preserve">т.д.) </w:t>
      </w:r>
      <w:r w:rsidRPr="009A3FE0">
        <w:t>все деревянные и брезентовые элементы, устройства, приспособления, опалубка до начала работ обрабатываются огнезащитным составом</w:t>
      </w:r>
      <w:r w:rsidR="009A3FE0" w:rsidRPr="009A3FE0">
        <w:t xml:space="preserve">. </w:t>
      </w:r>
      <w:r w:rsidRPr="009A3FE0">
        <w:t>При этом не допускается одновременное проведение строительно-монтажных работ и работ, связанных с применением сгораемых материалов и открытого огня</w:t>
      </w:r>
      <w:r w:rsidR="009A3FE0" w:rsidRPr="009A3FE0">
        <w:t xml:space="preserve">. </w:t>
      </w:r>
      <w:r w:rsidRPr="009A3FE0">
        <w:t>При возведении высоких зданий и сооружений необходимо, начиная с высоты 20 м, предусматривать временные молниезащитные устройства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Повышенная опасность малярных работ связана с применением огнеопасных и взрывоопасных материалов</w:t>
      </w:r>
      <w:r w:rsidR="009A3FE0" w:rsidRPr="009A3FE0">
        <w:t xml:space="preserve">. </w:t>
      </w:r>
      <w:r w:rsidRPr="009A3FE0">
        <w:t>Сам процесс малярных работ, с точки зрения пожарной безопасности, можно разбить на три стадии</w:t>
      </w:r>
      <w:r w:rsidR="009A3FE0" w:rsidRPr="009A3FE0">
        <w:t xml:space="preserve">. </w:t>
      </w:r>
      <w:r w:rsidRPr="009A3FE0">
        <w:t>Во-первых, это приготовление и хранение окрасочных, клеящих составов и шпатлевок</w:t>
      </w:r>
      <w:r w:rsidR="009A3FE0" w:rsidRPr="009A3FE0">
        <w:t xml:space="preserve">. </w:t>
      </w:r>
      <w:r w:rsidRPr="009A3FE0">
        <w:t>Во-вторых, подготовка поверхностей под окраску</w:t>
      </w:r>
      <w:r w:rsidR="009A3FE0" w:rsidRPr="009A3FE0">
        <w:t xml:space="preserve">; </w:t>
      </w:r>
      <w:r w:rsidRPr="009A3FE0">
        <w:t>в-третьих, нанесение материалов на поверхность</w:t>
      </w:r>
      <w:r w:rsidR="009A3FE0" w:rsidRPr="009A3FE0">
        <w:t xml:space="preserve">. </w:t>
      </w:r>
      <w:r w:rsidRPr="009A3FE0">
        <w:t>Все три стадии процесса взрывоопасны, так как происходит смешение паров и взрывоопасной пыли с воздухом</w:t>
      </w:r>
      <w:r w:rsidR="009A3FE0" w:rsidRPr="009A3FE0">
        <w:t xml:space="preserve">. </w:t>
      </w:r>
      <w:r w:rsidRPr="009A3FE0">
        <w:t>Поэтому интенсивное проветривание, соблюдение технологии работ, запрещение применения огня и совмещения работ являются необходимыми профилактическими мерами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Запас лаков и красок для хранения на строительной площадке не должен превышать 2</w:t>
      </w:r>
      <w:r w:rsidR="009A3FE0" w:rsidRPr="009A3FE0">
        <w:t>-</w:t>
      </w:r>
      <w:r w:rsidRPr="009A3FE0">
        <w:t>3-дневной потребности</w:t>
      </w:r>
      <w:r w:rsidR="009A3FE0" w:rsidRPr="009A3FE0">
        <w:t xml:space="preserve">. </w:t>
      </w:r>
      <w:r w:rsidRPr="009A3FE0">
        <w:t>Колерное производство запрещается размещать в подвальных и полуподвальных помещениях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Разлитые на пол краски и лаки нужно с помощью песка и ветоши немедленно убирать в специальные ящики</w:t>
      </w:r>
      <w:r w:rsidR="009A3FE0" w:rsidRPr="009A3FE0">
        <w:t xml:space="preserve">. </w:t>
      </w:r>
      <w:r w:rsidRPr="009A3FE0">
        <w:t>При подготовке поверхностей под окраску необходимо следить за возникновением взрывоопасной пыли</w:t>
      </w:r>
      <w:r w:rsidR="009A3FE0" w:rsidRPr="009A3FE0">
        <w:t xml:space="preserve">. </w:t>
      </w:r>
      <w:r w:rsidRPr="009A3FE0">
        <w:t>Наиболее опасна окраска поверхностей с применением пневматических пистолетов-распылителей, так как происходит интенсивное смешение паров растворителей с воздухом и образование взрывоопасных смесей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Для предупреждения взрывов лаки, клей, краски, мастик растворители к месту работ доставляются в закрытой таре в количестве, необходимом для работы одной смены</w:t>
      </w:r>
      <w:r w:rsidR="009A3FE0" w:rsidRPr="009A3FE0">
        <w:t xml:space="preserve">. </w:t>
      </w:r>
      <w:r w:rsidRPr="009A3FE0">
        <w:t>На таре должны быть надписи</w:t>
      </w:r>
      <w:r w:rsidR="009A3FE0" w:rsidRPr="009A3FE0">
        <w:t xml:space="preserve">: </w:t>
      </w:r>
      <w:r w:rsidRPr="009A3FE0">
        <w:t xml:space="preserve">«Огнеопасно», «Беречь от огня» и </w:t>
      </w:r>
      <w:r w:rsidR="009A3FE0" w:rsidRPr="009A3FE0">
        <w:t xml:space="preserve">т.д.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Производить покрытие полов мастикой следует в дневное время по захваткам на площади не более 100 м</w:t>
      </w:r>
      <w:r w:rsidR="009A3FE0" w:rsidRPr="009A3FE0">
        <w:t xml:space="preserve">. </w:t>
      </w:r>
      <w:r w:rsidRPr="009A3FE0">
        <w:t>Начинать работы необходимо с наиболее удаленных мест от выходов, помещений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Особенно опасны кровельные работы на зданиях повышенной этажности при устройстве мягких рулонных кровель по горючему утеплителю</w:t>
      </w:r>
      <w:r w:rsidR="009A3FE0" w:rsidRPr="009A3FE0">
        <w:t xml:space="preserve">. </w:t>
      </w:r>
      <w:r w:rsidRPr="009A3FE0">
        <w:t>На производство работ выдается наряд-допуск за подписью главного инженера генподрядной организации с указанием технологической последовательности работ, способов производства и противопожарных мероприятий</w:t>
      </w:r>
      <w:r w:rsidR="009A3FE0" w:rsidRPr="009A3FE0">
        <w:t xml:space="preserve">. </w:t>
      </w:r>
      <w:r w:rsidRPr="009A3FE0">
        <w:t>Субподрядная организация выделяет ответственных лиц, контролирующих соблюдение противопожарного режима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При производстве работ на площади 1000 м и более необходимо предусмотреть устройство временного водопровода таким расположением пожарных кранов, чтобы в любую точку кровли можно было подать воду не менее чем от двух струй производительностью 5 л/с каждая</w:t>
      </w:r>
      <w:r w:rsidR="009A3FE0" w:rsidRPr="009A3FE0">
        <w:t xml:space="preserve">. </w:t>
      </w:r>
      <w:r w:rsidRPr="009A3FE0">
        <w:t>До начала производства работ устанавливают пожарные лестницы и телефон для связи с пожарной охраной (один аппарат на 5000 м площади кровли</w:t>
      </w:r>
      <w:r w:rsidR="009A3FE0" w:rsidRPr="009A3FE0">
        <w:t xml:space="preserve">).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Водоизоляционный ковер и утеплитель можно укладывать участками не более 500 м2</w:t>
      </w:r>
      <w:r w:rsidR="009A3FE0" w:rsidRPr="009A3FE0">
        <w:t xml:space="preserve">. </w:t>
      </w:r>
      <w:r w:rsidRPr="009A3FE0">
        <w:t>По окончании рабочей смены оставлять неиспользованный утеплитель на кровле здания запрещается</w:t>
      </w:r>
      <w:r w:rsidR="009A3FE0" w:rsidRPr="009A3FE0">
        <w:t xml:space="preserve">. </w:t>
      </w:r>
      <w:r w:rsidRPr="009A3FE0">
        <w:t>Курить разрешается только в специально отведенных местах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Антикоррозионные и гидротеплоизоляционные работы обладают повышенной пожарной опасностью</w:t>
      </w:r>
      <w:r w:rsidR="009A3FE0" w:rsidRPr="009A3FE0">
        <w:t xml:space="preserve">. </w:t>
      </w:r>
      <w:r w:rsidRPr="009A3FE0">
        <w:t>Поэтому после устройства теплоизоляции необходимо убрать ее остатки и сразу нанести на нее покровные слои штукатурки или бетонные стяжки</w:t>
      </w:r>
      <w:r w:rsidR="009A3FE0" w:rsidRPr="009A3FE0">
        <w:t xml:space="preserve">. </w:t>
      </w:r>
      <w:r w:rsidRPr="009A3FE0">
        <w:t>Наибольшая площадь незащищенной теплоизоляции в процессе производства работ должна быть менее 500 м2 при сгораемой теплоизоляции и менее 1000 м2</w:t>
      </w:r>
      <w:r w:rsidR="009A3FE0" w:rsidRPr="009A3FE0">
        <w:t xml:space="preserve"> - </w:t>
      </w:r>
      <w:r w:rsidRPr="009A3FE0">
        <w:t>при трудносгораемой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К огнеопасным видам работ относятся различные виды сварки, разогрев и варка битума, мастик, работы с легковоспламеняющимися жидкостями</w:t>
      </w:r>
      <w:r w:rsidR="009A3FE0" w:rsidRPr="009A3FE0">
        <w:t xml:space="preserve">. </w:t>
      </w:r>
      <w:r w:rsidRPr="009A3FE0">
        <w:t>Порядок проведения огневых работ определяется инструкциями, разработанными Госнадзором охраны труда</w:t>
      </w:r>
      <w:r w:rsidR="009A3FE0" w:rsidRPr="009A3FE0">
        <w:t xml:space="preserve">. </w:t>
      </w:r>
      <w:r w:rsidRPr="009A3FE0">
        <w:t>Разрешение на проведение огневых работ выдается только главным инженером СМУ, СУ, ПМК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До начала работ ответственные лица инженерно-технического персонала осматривают рабочее место, оценивают обстановку и разрабатывают меры по предупреждению пожара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В этом отношении особенно опасны сварочные работы, так как процесс горения от искр протекает медленно и скрыто и обычно обнаруживается через несколько часов после производства работ</w:t>
      </w:r>
      <w:r w:rsidR="009A3FE0" w:rsidRPr="009A3FE0">
        <w:t xml:space="preserve">. </w:t>
      </w:r>
      <w:r w:rsidRPr="009A3FE0">
        <w:t>Искры при электросварке разлетаются на 8</w:t>
      </w:r>
      <w:r w:rsidR="009A3FE0" w:rsidRPr="009A3FE0">
        <w:t>-</w:t>
      </w:r>
      <w:r w:rsidRPr="009A3FE0">
        <w:t>10 м по горизонтали и на 4 м</w:t>
      </w:r>
      <w:r w:rsidR="009A3FE0" w:rsidRPr="009A3FE0">
        <w:t xml:space="preserve"> - </w:t>
      </w:r>
      <w:r w:rsidRPr="009A3FE0">
        <w:t>по вертикали</w:t>
      </w:r>
      <w:r w:rsidR="009A3FE0" w:rsidRPr="009A3FE0">
        <w:t xml:space="preserve">. </w:t>
      </w:r>
      <w:r w:rsidRPr="009A3FE0">
        <w:t>На период этих работ устанавливаются ограждения из негорючих материалов (защитные экраны</w:t>
      </w:r>
      <w:r w:rsidR="009A3FE0" w:rsidRPr="009A3FE0">
        <w:t>),</w:t>
      </w:r>
      <w:r w:rsidRPr="009A3FE0">
        <w:t xml:space="preserve"> деревянные конструкции смачиваются водой</w:t>
      </w:r>
      <w:r w:rsidR="009A3FE0" w:rsidRPr="009A3FE0">
        <w:t xml:space="preserve">. </w:t>
      </w:r>
      <w:r w:rsidRPr="009A3FE0">
        <w:t>При работе на высоте внизу должен находиться наблюдающий за разлетом сварочных искр, сварщик же должен иметь металлическую коробку для сбора электродных огарков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Место огневых работ необходимо обеспечить средствами пожаротушения (огнетушители или ящики с песком, лопаты, ведра с водой</w:t>
      </w:r>
      <w:r w:rsidR="009A3FE0" w:rsidRPr="009A3FE0">
        <w:t xml:space="preserve">).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Для снижения пожарной опасности при электропрогреве бетона участок ограждают щитами, окрашенными в красный цвет, высотой 1 м</w:t>
      </w:r>
      <w:r w:rsidR="009A3FE0" w:rsidRPr="009A3FE0">
        <w:t xml:space="preserve">; </w:t>
      </w:r>
      <w:r w:rsidRPr="009A3FE0">
        <w:t>арматуру прогреваемого участка заземляют</w:t>
      </w:r>
      <w:r w:rsidR="009A3FE0" w:rsidRPr="009A3FE0">
        <w:t xml:space="preserve">; </w:t>
      </w:r>
      <w:r w:rsidRPr="009A3FE0">
        <w:t>при наличии деревянной опалубки бетон прогревают только до 80 °С</w:t>
      </w:r>
      <w:r w:rsidR="009A3FE0" w:rsidRPr="009A3FE0">
        <w:t xml:space="preserve">; </w:t>
      </w:r>
      <w:r w:rsidRPr="009A3FE0">
        <w:t>применяют негорючие теплоизоляционные материалы или опилки, обработанные известковым молоком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При пожарах расход воды может быть очень велик, поэтому рассчитывать водопроводные сооружения необходимо с учетом данного фактора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 xml:space="preserve">Общий расход воды на тушение пожара </w:t>
      </w:r>
      <w:r w:rsidRPr="009A3FE0">
        <w:rPr>
          <w:lang w:val="en-US"/>
        </w:rPr>
        <w:t>Q</w:t>
      </w:r>
      <w:r w:rsidRPr="009A3FE0">
        <w:t xml:space="preserve"> пож складывается из расходов воды на наружное </w:t>
      </w:r>
      <w:r w:rsidRPr="009A3FE0">
        <w:rPr>
          <w:lang w:val="en-US"/>
        </w:rPr>
        <w:t>Q</w:t>
      </w:r>
      <w:r w:rsidR="009A3FE0">
        <w:t xml:space="preserve"> н</w:t>
      </w:r>
      <w:r w:rsidRPr="009A3FE0">
        <w:t>ар</w:t>
      </w:r>
      <w:r w:rsidR="009A3FE0" w:rsidRPr="009A3FE0">
        <w:t xml:space="preserve"> - </w:t>
      </w:r>
      <w:r w:rsidRPr="009A3FE0">
        <w:t xml:space="preserve">от гидрантов, внутреннее </w:t>
      </w:r>
      <w:r w:rsidRPr="009A3FE0">
        <w:rPr>
          <w:lang w:val="en-US"/>
        </w:rPr>
        <w:t>Q</w:t>
      </w:r>
      <w:r w:rsidRPr="009A3FE0">
        <w:t>вн</w:t>
      </w:r>
      <w:r w:rsidR="009A3FE0" w:rsidRPr="009A3FE0">
        <w:t>-</w:t>
      </w:r>
      <w:r w:rsidRPr="009A3FE0">
        <w:t xml:space="preserve">от внутренних пожарных кранов и расхода воды на спринклерные, дренчерные и другие установки </w:t>
      </w:r>
      <w:r w:rsidRPr="009A3FE0">
        <w:rPr>
          <w:lang w:val="en-US"/>
        </w:rPr>
        <w:t>Q</w:t>
      </w:r>
      <w:r w:rsidRPr="009A3FE0">
        <w:t xml:space="preserve"> спр</w:t>
      </w:r>
      <w:r w:rsidR="009A3FE0" w:rsidRPr="009A3FE0">
        <w:t xml:space="preserve"> </w:t>
      </w:r>
      <w:r w:rsidRPr="009A3FE0">
        <w:t>(</w:t>
      </w:r>
      <w:r w:rsidR="009A3FE0">
        <w:t>рис.4</w:t>
      </w:r>
      <w:r w:rsidR="009A3FE0" w:rsidRPr="009A3FE0">
        <w:t>.</w:t>
      </w:r>
      <w:r w:rsidR="009A3FE0">
        <w:t>4.1</w:t>
      </w:r>
      <w:r w:rsidR="009A3FE0" w:rsidRPr="009A3FE0">
        <w:t xml:space="preserve">).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Наружное пожаротушение</w:t>
      </w:r>
      <w:r w:rsidR="009A3FE0" w:rsidRPr="009A3FE0">
        <w:t xml:space="preserve">. </w:t>
      </w:r>
      <w:r w:rsidRPr="009A3FE0">
        <w:t>На территории предприятия находятся различные здания</w:t>
      </w:r>
      <w:r w:rsidR="009A3FE0" w:rsidRPr="009A3FE0">
        <w:t xml:space="preserve">. </w:t>
      </w:r>
      <w:r w:rsidRPr="009A3FE0">
        <w:t>Если площадь стройки (предприятия</w:t>
      </w:r>
      <w:r w:rsidR="009A3FE0" w:rsidRPr="009A3FE0">
        <w:t xml:space="preserve">) </w:t>
      </w:r>
      <w:r w:rsidRPr="009A3FE0">
        <w:t>менее 1,5 км2, то считают, что на территории данного объекта может возникнуть один пожар</w:t>
      </w:r>
      <w:r w:rsidR="009A3FE0" w:rsidRPr="009A3FE0">
        <w:t xml:space="preserve">; </w:t>
      </w:r>
      <w:r w:rsidRPr="009A3FE0">
        <w:t>при площади более 1,5 км2</w:t>
      </w:r>
      <w:r w:rsidR="009A3FE0" w:rsidRPr="009A3FE0">
        <w:t xml:space="preserve"> - </w:t>
      </w:r>
      <w:r w:rsidRPr="009A3FE0">
        <w:t>два пожара</w:t>
      </w:r>
      <w:r w:rsidR="009A3FE0" w:rsidRPr="009A3FE0">
        <w:t xml:space="preserve">. </w:t>
      </w:r>
      <w:r w:rsidRPr="009A3FE0">
        <w:t>Исходя из количества пожаров, расход воды рассчитывают соответственно по одному или двум зданиям, где для тушения требуется наибольшее количество воды</w:t>
      </w:r>
      <w:r w:rsidR="009A3FE0" w:rsidRPr="009A3FE0">
        <w:t xml:space="preserve">. </w:t>
      </w:r>
      <w:r w:rsidRPr="009A3FE0">
        <w:t>Расчетный расход воды на наружное пожаротушение здания определяется в зависимости от степени огнестойкости здания, категории производства и объема помещения (</w:t>
      </w:r>
      <w:r w:rsidR="009A3FE0">
        <w:t>рис.4.1</w:t>
      </w:r>
      <w:r w:rsidR="009A3FE0" w:rsidRPr="009A3FE0">
        <w:t xml:space="preserve">). </w:t>
      </w:r>
      <w:r w:rsidRPr="009A3FE0">
        <w:t xml:space="preserve">Например, для здания </w:t>
      </w:r>
      <w:r w:rsidRPr="009A3FE0">
        <w:rPr>
          <w:lang w:val="en-US"/>
        </w:rPr>
        <w:t>I</w:t>
      </w:r>
      <w:r w:rsidRPr="009A3FE0">
        <w:t xml:space="preserve"> и </w:t>
      </w:r>
      <w:r w:rsidRPr="009A3FE0">
        <w:rPr>
          <w:lang w:val="en-US"/>
        </w:rPr>
        <w:t>II</w:t>
      </w:r>
      <w:r w:rsidRPr="009A3FE0">
        <w:t xml:space="preserve"> степени огнестойкости, производств категории А, Б, В объемом до 3 тыс</w:t>
      </w:r>
      <w:r w:rsidR="009A3FE0" w:rsidRPr="009A3FE0">
        <w:t xml:space="preserve">. </w:t>
      </w:r>
      <w:r w:rsidRPr="009A3FE0">
        <w:t>м3 необходим расход воды 10 л/с, а для помещений объемом более 40 тыс</w:t>
      </w:r>
      <w:r w:rsidR="009A3FE0" w:rsidRPr="009A3FE0">
        <w:t xml:space="preserve">. </w:t>
      </w:r>
      <w:r w:rsidRPr="009A3FE0">
        <w:t>м3</w:t>
      </w:r>
      <w:r w:rsidR="009A3FE0" w:rsidRPr="009A3FE0">
        <w:t xml:space="preserve"> - </w:t>
      </w:r>
      <w:r w:rsidRPr="009A3FE0">
        <w:t>40 л/с</w:t>
      </w:r>
      <w:r w:rsidR="009A3FE0" w:rsidRPr="009A3FE0">
        <w:t xml:space="preserve">; </w:t>
      </w:r>
      <w:r w:rsidRPr="009A3FE0">
        <w:t xml:space="preserve">для зданий </w:t>
      </w:r>
      <w:r w:rsidRPr="009A3FE0">
        <w:rPr>
          <w:lang w:val="en-US"/>
        </w:rPr>
        <w:t>IV</w:t>
      </w:r>
      <w:r w:rsidRPr="009A3FE0">
        <w:t xml:space="preserve">, </w:t>
      </w:r>
      <w:r w:rsidRPr="009A3FE0">
        <w:rPr>
          <w:lang w:val="en-US"/>
        </w:rPr>
        <w:t>V</w:t>
      </w:r>
      <w:r w:rsidRPr="009A3FE0">
        <w:t xml:space="preserve"> степени огнестойкости, производств Г и Д объемом до 3 тыс</w:t>
      </w:r>
      <w:r w:rsidR="009A3FE0" w:rsidRPr="009A3FE0">
        <w:t xml:space="preserve">. </w:t>
      </w:r>
      <w:r w:rsidRPr="009A3FE0">
        <w:t>м3 необходим расход воды 10 л/с, а для помещений объемом более 20 тыс</w:t>
      </w:r>
      <w:r w:rsidR="009A3FE0" w:rsidRPr="009A3FE0">
        <w:t xml:space="preserve">. </w:t>
      </w:r>
      <w:r w:rsidRPr="009A3FE0">
        <w:t>м</w:t>
      </w:r>
      <w:r w:rsidR="009A3FE0" w:rsidRPr="009A3FE0">
        <w:t xml:space="preserve"> - </w:t>
      </w:r>
      <w:r w:rsidRPr="009A3FE0">
        <w:t>30 л/с (табл</w:t>
      </w:r>
      <w:r w:rsidR="009A3FE0">
        <w:t>.4</w:t>
      </w:r>
      <w:r w:rsidR="009A3FE0" w:rsidRPr="009A3FE0">
        <w:t>.</w:t>
      </w:r>
      <w:r w:rsidR="009A3FE0">
        <w:t>4.2</w:t>
      </w:r>
      <w:r w:rsidR="009A3FE0" w:rsidRPr="009A3FE0">
        <w:t xml:space="preserve">).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Наружные водопроводные сети для тушения пожаров должны быть кольцевыми с двумя вводами</w:t>
      </w:r>
      <w:r w:rsidR="009A3FE0" w:rsidRPr="009A3FE0">
        <w:t xml:space="preserve">. </w:t>
      </w:r>
      <w:r w:rsidRPr="009A3FE0">
        <w:t>К отдельно стоящим зданиям допускается прокладывать тупиковые линии протяженностью не более 200 м</w:t>
      </w:r>
      <w:r w:rsidR="009A3FE0" w:rsidRPr="009A3FE0">
        <w:t xml:space="preserve">. </w:t>
      </w:r>
      <w:r w:rsidRPr="009A3FE0">
        <w:t>При большей длине линии предусматривают водоем, объем которого позволит тушить пожар в течение 3 ч</w:t>
      </w:r>
      <w:r w:rsidR="009A3FE0" w:rsidRPr="009A3FE0">
        <w:t xml:space="preserve">. </w:t>
      </w:r>
      <w:r w:rsidRPr="009A3FE0">
        <w:t>Минимальный диаметр наружной водопроводной сети принимается не менее 100 мм</w:t>
      </w:r>
      <w:r w:rsidR="009A3FE0" w:rsidRPr="009A3FE0">
        <w:t xml:space="preserve">. </w:t>
      </w:r>
      <w:r w:rsidRPr="009A3FE0">
        <w:t>Водопроводные сети прокладывают под проезжей частью дороги шириной не менее 3,5 м с твердым покрытием или не далее 2,5 м от нее</w:t>
      </w:r>
      <w:r w:rsidR="009A3FE0" w:rsidRPr="009A3FE0">
        <w:t xml:space="preserve">. </w:t>
      </w:r>
      <w:r w:rsidRPr="009A3FE0">
        <w:t>Если сеть расположена дальше от дороги, то подъезды к гидрантам оборудуются твердым покрытием и площадкой для установки машин</w:t>
      </w:r>
      <w:r w:rsidR="009A3FE0" w:rsidRPr="009A3FE0">
        <w:t xml:space="preserve">. </w:t>
      </w:r>
    </w:p>
    <w:p w:rsidR="00C77E8E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 xml:space="preserve">Расчетная потребность воды на внешнее пожаротушение на предприятиях регламентируется пожарными нормами и определяется в зависимости от степени огнестойкости строения, категории производства по взрывоопасности и объему строения и представлена в таблице </w:t>
      </w:r>
      <w:r w:rsidR="009A3FE0" w:rsidRPr="009A3FE0">
        <w:t xml:space="preserve">4.4.2. </w:t>
      </w:r>
    </w:p>
    <w:p w:rsidR="009A3FE0" w:rsidRPr="009A3FE0" w:rsidRDefault="009A3FE0" w:rsidP="009A3FE0">
      <w:pPr>
        <w:widowControl w:val="0"/>
        <w:autoSpaceDE w:val="0"/>
        <w:autoSpaceDN w:val="0"/>
        <w:adjustRightInd w:val="0"/>
        <w:ind w:firstLine="709"/>
      </w:pPr>
    </w:p>
    <w:p w:rsidR="009A3FE0" w:rsidRPr="009A3FE0" w:rsidRDefault="00231D87" w:rsidP="009A3FE0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527.25pt">
            <v:imagedata r:id="rId7" o:title=""/>
          </v:shape>
        </w:pict>
      </w:r>
    </w:p>
    <w:p w:rsidR="00C77E8E" w:rsidRPr="009A3FE0" w:rsidRDefault="009A3FE0" w:rsidP="009A3FE0">
      <w:pPr>
        <w:widowControl w:val="0"/>
        <w:autoSpaceDE w:val="0"/>
        <w:autoSpaceDN w:val="0"/>
        <w:adjustRightInd w:val="0"/>
        <w:ind w:firstLine="709"/>
      </w:pPr>
      <w:r>
        <w:t>Рис.4</w:t>
      </w:r>
      <w:r w:rsidRPr="009A3FE0">
        <w:t xml:space="preserve">.4.1. </w:t>
      </w:r>
      <w:r w:rsidR="00C77E8E" w:rsidRPr="009A3FE0">
        <w:t>Противопожарное водоснабжение промышленных предприятий</w:t>
      </w:r>
      <w:r>
        <w:t>.</w:t>
      </w:r>
    </w:p>
    <w:p w:rsidR="009A3FE0" w:rsidRPr="009A3FE0" w:rsidRDefault="009A3FE0" w:rsidP="009A3FE0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C77E8E" w:rsidRPr="009A3FE0">
        <w:t xml:space="preserve">Таблица </w:t>
      </w:r>
      <w:r w:rsidRPr="009A3FE0">
        <w:t>4.</w:t>
      </w:r>
      <w:r>
        <w:t>4.2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Расчётная потребность воды на внешнее пожаротушение</w:t>
      </w:r>
      <w:r w:rsidR="009A3FE0" w:rsidRPr="009A3FE0">
        <w:t xml:space="preserve">. </w:t>
      </w:r>
    </w:p>
    <w:tbl>
      <w:tblPr>
        <w:tblW w:w="9100" w:type="dxa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4"/>
        <w:gridCol w:w="1306"/>
        <w:gridCol w:w="806"/>
        <w:gridCol w:w="1046"/>
        <w:gridCol w:w="1046"/>
        <w:gridCol w:w="1046"/>
        <w:gridCol w:w="1056"/>
        <w:gridCol w:w="1008"/>
        <w:gridCol w:w="832"/>
      </w:tblGrid>
      <w:tr w:rsidR="00C77E8E" w:rsidRPr="009A3FE0">
        <w:trPr>
          <w:cantSplit/>
          <w:trHeight w:val="751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C77E8E" w:rsidRPr="009A3FE0" w:rsidRDefault="00C77E8E" w:rsidP="009A3FE0">
            <w:pPr>
              <w:pStyle w:val="af5"/>
            </w:pPr>
            <w:r w:rsidRPr="009A3FE0">
              <w:t>Степень огнестойкости зданий и сооружений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C77E8E" w:rsidRPr="009A3FE0" w:rsidRDefault="00C77E8E" w:rsidP="009A3FE0">
            <w:pPr>
              <w:pStyle w:val="af5"/>
            </w:pPr>
            <w:r w:rsidRPr="009A3FE0">
              <w:t>Категория производства по взрывопожаро-безопасности</w:t>
            </w:r>
          </w:p>
        </w:tc>
        <w:tc>
          <w:tcPr>
            <w:tcW w:w="68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Необходимый</w:t>
            </w:r>
            <w:r w:rsidR="009A3FE0" w:rsidRPr="009A3FE0">
              <w:t xml:space="preserve"> </w:t>
            </w:r>
            <w:r w:rsidRPr="009A3FE0">
              <w:t>расход</w:t>
            </w:r>
            <w:r w:rsidR="009A3FE0" w:rsidRPr="009A3FE0">
              <w:t xml:space="preserve"> </w:t>
            </w:r>
            <w:r w:rsidRPr="009A3FE0">
              <w:t>воды</w:t>
            </w:r>
            <w:r w:rsidR="009A3FE0" w:rsidRPr="009A3FE0">
              <w:t xml:space="preserve">, </w:t>
            </w:r>
            <w:r w:rsidRPr="009A3FE0">
              <w:t>л</w:t>
            </w:r>
            <w:r w:rsidR="009A3FE0" w:rsidRPr="009A3FE0">
              <w:t xml:space="preserve"> </w:t>
            </w:r>
            <w:r w:rsidRPr="009A3FE0">
              <w:t>/</w:t>
            </w:r>
            <w:r w:rsidR="009A3FE0" w:rsidRPr="009A3FE0">
              <w:t xml:space="preserve"> </w:t>
            </w:r>
            <w:r w:rsidRPr="009A3FE0">
              <w:t>с</w:t>
            </w:r>
          </w:p>
          <w:p w:rsidR="00C77E8E" w:rsidRPr="009A3FE0" w:rsidRDefault="00C77E8E" w:rsidP="009A3FE0">
            <w:pPr>
              <w:pStyle w:val="af5"/>
            </w:pPr>
            <w:r w:rsidRPr="009A3FE0">
              <w:t>при</w:t>
            </w:r>
            <w:r w:rsidR="009A3FE0" w:rsidRPr="009A3FE0">
              <w:t xml:space="preserve"> </w:t>
            </w:r>
            <w:r w:rsidRPr="009A3FE0">
              <w:t>объёме</w:t>
            </w:r>
            <w:r w:rsidR="009A3FE0" w:rsidRPr="009A3FE0">
              <w:t xml:space="preserve"> </w:t>
            </w:r>
            <w:r w:rsidRPr="009A3FE0">
              <w:t>помещений,</w:t>
            </w:r>
            <w:r w:rsidR="009A3FE0" w:rsidRPr="009A3FE0">
              <w:t xml:space="preserve"> </w:t>
            </w:r>
            <w:r w:rsidRPr="009A3FE0">
              <w:t>тыс</w:t>
            </w:r>
            <w:r w:rsidR="009A3FE0" w:rsidRPr="009A3FE0">
              <w:t xml:space="preserve">. </w:t>
            </w:r>
            <w:r w:rsidRPr="009A3FE0">
              <w:t>/</w:t>
            </w:r>
            <w:r w:rsidR="009A3FE0" w:rsidRPr="009A3FE0">
              <w:t xml:space="preserve"> </w:t>
            </w:r>
            <w:r w:rsidRPr="009A3FE0">
              <w:t>м3</w:t>
            </w:r>
          </w:p>
          <w:p w:rsidR="00C77E8E" w:rsidRPr="009A3FE0" w:rsidRDefault="00C77E8E" w:rsidP="009A3FE0">
            <w:pPr>
              <w:pStyle w:val="af5"/>
            </w:pPr>
          </w:p>
        </w:tc>
      </w:tr>
      <w:tr w:rsidR="00C77E8E" w:rsidRPr="009A3FE0">
        <w:trPr>
          <w:cantSplit/>
          <w:trHeight w:hRule="exact" w:val="1267"/>
        </w:trPr>
        <w:tc>
          <w:tcPr>
            <w:tcW w:w="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</w:p>
          <w:p w:rsidR="00C77E8E" w:rsidRPr="009A3FE0" w:rsidRDefault="00C77E8E" w:rsidP="009A3FE0">
            <w:pPr>
              <w:pStyle w:val="af5"/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</w:p>
          <w:p w:rsidR="00C77E8E" w:rsidRPr="009A3FE0" w:rsidRDefault="00C77E8E" w:rsidP="009A3FE0">
            <w:pPr>
              <w:pStyle w:val="af5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до</w:t>
            </w:r>
          </w:p>
          <w:p w:rsidR="00C77E8E" w:rsidRPr="009A3FE0" w:rsidRDefault="00C77E8E" w:rsidP="009A3FE0">
            <w:pPr>
              <w:pStyle w:val="af5"/>
            </w:pPr>
            <w:r w:rsidRPr="009A3FE0"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 xml:space="preserve">более 3 </w:t>
            </w:r>
          </w:p>
          <w:p w:rsidR="00C77E8E" w:rsidRPr="009A3FE0" w:rsidRDefault="00C77E8E" w:rsidP="009A3FE0">
            <w:pPr>
              <w:pStyle w:val="af5"/>
            </w:pPr>
            <w:r w:rsidRPr="009A3FE0">
              <w:t>до 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E0" w:rsidRPr="009A3FE0" w:rsidRDefault="00C77E8E" w:rsidP="009A3FE0">
            <w:pPr>
              <w:pStyle w:val="af5"/>
            </w:pPr>
            <w:r w:rsidRPr="009A3FE0">
              <w:t>более</w:t>
            </w:r>
          </w:p>
          <w:p w:rsidR="00C77E8E" w:rsidRPr="009A3FE0" w:rsidRDefault="00C77E8E" w:rsidP="009A3FE0">
            <w:pPr>
              <w:pStyle w:val="af5"/>
            </w:pPr>
            <w:r w:rsidRPr="009A3FE0">
              <w:t>5</w:t>
            </w:r>
          </w:p>
          <w:p w:rsidR="00C77E8E" w:rsidRPr="009A3FE0" w:rsidRDefault="00C77E8E" w:rsidP="009A3FE0">
            <w:pPr>
              <w:pStyle w:val="af5"/>
            </w:pPr>
            <w:r w:rsidRPr="009A3FE0">
              <w:t>до 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 xml:space="preserve">более 20 </w:t>
            </w:r>
          </w:p>
          <w:p w:rsidR="00C77E8E" w:rsidRPr="009A3FE0" w:rsidRDefault="00C77E8E" w:rsidP="009A3FE0">
            <w:pPr>
              <w:pStyle w:val="af5"/>
            </w:pPr>
            <w:r w:rsidRPr="009A3FE0">
              <w:t>до 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 xml:space="preserve">более 50 </w:t>
            </w:r>
          </w:p>
          <w:p w:rsidR="00C77E8E" w:rsidRPr="009A3FE0" w:rsidRDefault="00C77E8E" w:rsidP="009A3FE0">
            <w:pPr>
              <w:pStyle w:val="af5"/>
            </w:pPr>
            <w:r w:rsidRPr="009A3FE0">
              <w:t>до 200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 xml:space="preserve">более 200 </w:t>
            </w:r>
          </w:p>
          <w:p w:rsidR="00C77E8E" w:rsidRPr="009A3FE0" w:rsidRDefault="00C77E8E" w:rsidP="009A3FE0">
            <w:pPr>
              <w:pStyle w:val="af5"/>
            </w:pPr>
            <w:r w:rsidRPr="009A3FE0">
              <w:t>до 400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более 400</w:t>
            </w:r>
          </w:p>
        </w:tc>
      </w:tr>
      <w:tr w:rsidR="00C77E8E" w:rsidRPr="009A3FE0">
        <w:trPr>
          <w:trHeight w:hRule="exact" w:val="32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  <w:rPr>
                <w:lang w:val="en-US"/>
              </w:rPr>
            </w:pPr>
            <w:r w:rsidRPr="009A3FE0">
              <w:rPr>
                <w:lang w:val="en-US"/>
              </w:rPr>
              <w:t>I</w:t>
            </w:r>
            <w:r w:rsidRPr="009A3FE0">
              <w:t>и</w:t>
            </w:r>
            <w:r w:rsidRPr="009A3FE0">
              <w:rPr>
                <w:lang w:val="en-US"/>
              </w:rPr>
              <w:t>II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г,</w:t>
            </w:r>
            <w:r w:rsidRPr="009A3FE0">
              <w:rPr>
                <w:lang w:val="en-US"/>
              </w:rPr>
              <w:t xml:space="preserve"> </w:t>
            </w:r>
            <w:r w:rsidRPr="009A3FE0">
              <w:t>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20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25</w:t>
            </w:r>
          </w:p>
        </w:tc>
      </w:tr>
      <w:tr w:rsidR="00C77E8E" w:rsidRPr="009A3FE0">
        <w:trPr>
          <w:trHeight w:hRule="exact" w:val="33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rPr>
                <w:lang w:val="en-US"/>
              </w:rPr>
              <w:t>I</w:t>
            </w:r>
            <w:r w:rsidRPr="009A3FE0">
              <w:t>и</w:t>
            </w:r>
            <w:r w:rsidRPr="009A3FE0">
              <w:rPr>
                <w:lang w:val="en-US"/>
              </w:rPr>
              <w:t>II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А, Б, 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35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40</w:t>
            </w:r>
          </w:p>
        </w:tc>
      </w:tr>
      <w:tr w:rsidR="00C77E8E" w:rsidRPr="009A3FE0">
        <w:trPr>
          <w:trHeight w:hRule="exact" w:val="33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rPr>
                <w:lang w:val="en-US"/>
              </w:rPr>
              <w:t>III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г, 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</w:p>
        </w:tc>
      </w:tr>
      <w:tr w:rsidR="00C77E8E" w:rsidRPr="009A3FE0">
        <w:trPr>
          <w:trHeight w:hRule="exact" w:val="32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rPr>
                <w:lang w:val="en-US"/>
              </w:rPr>
              <w:t>III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</w:p>
        </w:tc>
      </w:tr>
      <w:tr w:rsidR="00C77E8E" w:rsidRPr="009A3FE0">
        <w:trPr>
          <w:trHeight w:hRule="exact" w:val="32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rPr>
                <w:lang w:val="en-US"/>
              </w:rPr>
              <w:t xml:space="preserve">IV </w:t>
            </w:r>
            <w:r w:rsidRPr="009A3FE0">
              <w:t xml:space="preserve">и </w:t>
            </w:r>
            <w:r w:rsidRPr="009A3FE0">
              <w:rPr>
                <w:lang w:val="en-US"/>
              </w:rPr>
              <w:t>V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г, 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</w:p>
        </w:tc>
      </w:tr>
      <w:tr w:rsidR="00C77E8E" w:rsidRPr="009A3FE0">
        <w:trPr>
          <w:trHeight w:hRule="exact" w:val="346"/>
        </w:trPr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rPr>
                <w:lang w:val="en-US"/>
              </w:rPr>
              <w:t xml:space="preserve">IV </w:t>
            </w:r>
            <w:r w:rsidRPr="009A3FE0">
              <w:t xml:space="preserve">и </w:t>
            </w:r>
            <w:r w:rsidRPr="009A3FE0">
              <w:rPr>
                <w:lang w:val="en-US"/>
              </w:rPr>
              <w:t>V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В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  <w:r w:rsidRPr="009A3FE0">
              <w:t>25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8E" w:rsidRPr="009A3FE0" w:rsidRDefault="00C77E8E" w:rsidP="009A3FE0">
            <w:pPr>
              <w:pStyle w:val="af5"/>
            </w:pPr>
          </w:p>
        </w:tc>
      </w:tr>
    </w:tbl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</w:p>
    <w:p w:rsidR="009A3FE0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Водопроводную сеть разделяют задвижками с таким расчетом, чтобы одновременно при аварии или ремонте выключалось не более пяти гидрантов</w:t>
      </w:r>
      <w:r w:rsidR="009A3FE0" w:rsidRPr="009A3FE0">
        <w:t xml:space="preserve">. </w:t>
      </w:r>
      <w:r w:rsidRPr="009A3FE0">
        <w:t>Гидранты устанавливают не ближе 5м от зданий и не далее, чем указано по формуле</w:t>
      </w:r>
      <w:r w:rsidR="009A3FE0" w:rsidRPr="009A3FE0">
        <w:t xml:space="preserve">: </w:t>
      </w:r>
    </w:p>
    <w:p w:rsidR="00C77E8E" w:rsidRPr="009A3FE0" w:rsidRDefault="00231D87" w:rsidP="009A3FE0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84pt;height:46.5pt">
            <v:imagedata r:id="rId8" o:title=""/>
          </v:shape>
        </w:pict>
      </w:r>
      <w:r w:rsidR="00C77E8E" w:rsidRPr="009A3FE0">
        <w:t>,</w:t>
      </w:r>
      <w:r w:rsidR="009A3FE0" w:rsidRPr="009A3FE0">
        <w:t xml:space="preserve"> </w:t>
      </w:r>
      <w:r w:rsidR="00C77E8E" w:rsidRPr="009A3FE0">
        <w:t>(</w:t>
      </w:r>
      <w:r w:rsidR="009A3FE0" w:rsidRPr="009A3FE0">
        <w:t>4.</w:t>
      </w:r>
      <w:r w:rsidR="009A3FE0">
        <w:t>4.1</w:t>
      </w:r>
      <w:r w:rsidR="009A3FE0" w:rsidRPr="009A3FE0">
        <w:t xml:space="preserve">) </w:t>
      </w:r>
    </w:p>
    <w:p w:rsidR="009A3FE0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 xml:space="preserve">где 1в =120, </w:t>
      </w:r>
      <w:r w:rsidRPr="009A3FE0">
        <w:rPr>
          <w:lang w:val="en-US"/>
        </w:rPr>
        <w:t>l</w:t>
      </w:r>
      <w:r w:rsidRPr="009A3FE0">
        <w:t>н =150</w:t>
      </w:r>
      <w:r w:rsidR="009A3FE0" w:rsidRPr="009A3FE0">
        <w:t xml:space="preserve"> - </w:t>
      </w:r>
      <w:r w:rsidRPr="009A3FE0">
        <w:t>расчетные длины рукавов линий для водопроводов высокого и низкого давления, м</w:t>
      </w:r>
      <w:r w:rsidR="009A3FE0" w:rsidRPr="009A3FE0">
        <w:t xml:space="preserve">; </w:t>
      </w:r>
      <w:r w:rsidRPr="009A3FE0">
        <w:rPr>
          <w:lang w:val="en-US"/>
        </w:rPr>
        <w:t>z</w:t>
      </w:r>
      <w:r w:rsidRPr="009A3FE0">
        <w:t>зд</w:t>
      </w:r>
      <w:r w:rsidR="009A3FE0" w:rsidRPr="009A3FE0">
        <w:t xml:space="preserve"> - </w:t>
      </w:r>
      <w:r w:rsidRPr="009A3FE0">
        <w:t>высота до конька крыши наиболее высокого здания на объекте, м</w:t>
      </w:r>
      <w:r w:rsidR="009A3FE0" w:rsidRPr="009A3FE0">
        <w:t xml:space="preserve">; </w:t>
      </w:r>
      <w:r w:rsidRPr="009A3FE0">
        <w:t>1,2</w:t>
      </w:r>
      <w:r w:rsidR="009A3FE0" w:rsidRPr="009A3FE0">
        <w:t>-</w:t>
      </w:r>
      <w:r w:rsidRPr="009A3FE0">
        <w:t>коэффициент изгиба рукавов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Расстояние между гидрантами определяют расчетом с учетом суммарного расхода воды на тушение пожара</w:t>
      </w:r>
      <w:r w:rsidR="009A3FE0" w:rsidRPr="009A3FE0">
        <w:t xml:space="preserve">. </w:t>
      </w:r>
      <w:r w:rsidRPr="009A3FE0">
        <w:t>При этом максимальное расстояние должно быть не более 150 м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В сети противопожарного водопровода низкого давления свободный напор (на уровне поверхности земли</w:t>
      </w:r>
      <w:r w:rsidR="009A3FE0" w:rsidRPr="009A3FE0">
        <w:t xml:space="preserve">) </w:t>
      </w:r>
      <w:r w:rsidRPr="009A3FE0">
        <w:t>при тушении пожара должен быть не менее 10 м</w:t>
      </w:r>
      <w:r w:rsidR="009A3FE0" w:rsidRPr="009A3FE0">
        <w:t xml:space="preserve">. </w:t>
      </w:r>
      <w:r w:rsidRPr="009A3FE0">
        <w:t>Напор у наиболее невыгодно расположенного гидранта должен быть не менее 17,5 м</w:t>
      </w:r>
      <w:r w:rsidR="009A3FE0" w:rsidRPr="009A3FE0">
        <w:t xml:space="preserve">. </w:t>
      </w:r>
    </w:p>
    <w:p w:rsidR="009A3FE0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Свободный напор для водопровода высокого давления на уровне поверхности земли у расчётного гидранта</w:t>
      </w:r>
      <w:r w:rsidR="009A3FE0" w:rsidRPr="009A3FE0">
        <w:t xml:space="preserve">: </w:t>
      </w:r>
    </w:p>
    <w:p w:rsidR="009A3FE0" w:rsidRPr="009A3FE0" w:rsidRDefault="00231D87" w:rsidP="009A3FE0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117.75pt;height:27pt">
            <v:imagedata r:id="rId9" o:title=""/>
          </v:shape>
        </w:pict>
      </w:r>
      <w:r w:rsidR="009A3FE0" w:rsidRPr="009A3FE0">
        <w:t xml:space="preserve">, </w:t>
      </w:r>
      <w:r w:rsidR="00C77E8E" w:rsidRPr="009A3FE0">
        <w:t>(</w:t>
      </w:r>
      <w:r w:rsidR="009A3FE0" w:rsidRPr="009A3FE0">
        <w:t>4.</w:t>
      </w:r>
      <w:r w:rsidR="009A3FE0">
        <w:t>4.2</w:t>
      </w:r>
      <w:r w:rsidR="009A3FE0" w:rsidRPr="009A3FE0">
        <w:t xml:space="preserve">)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Напор в водопроводной сети у расчетного гидранта при водопроводе высокого давления</w:t>
      </w:r>
      <w:r w:rsidR="009A3FE0" w:rsidRPr="009A3FE0">
        <w:t xml:space="preserve">: </w:t>
      </w:r>
    </w:p>
    <w:p w:rsidR="00C77E8E" w:rsidRPr="009A3FE0" w:rsidRDefault="00231D87" w:rsidP="009A3FE0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98.25pt;height:27pt">
            <v:imagedata r:id="rId10" o:title=""/>
          </v:shape>
        </w:pict>
      </w:r>
      <w:r w:rsidR="009A3FE0" w:rsidRPr="009A3FE0">
        <w:t>.</w:t>
      </w:r>
      <w:r w:rsidR="009A3FE0">
        <w:t xml:space="preserve"> </w:t>
      </w:r>
      <w:r w:rsidR="00C77E8E" w:rsidRPr="009A3FE0">
        <w:t>(</w:t>
      </w:r>
      <w:r w:rsidR="009A3FE0" w:rsidRPr="009A3FE0">
        <w:t>4.</w:t>
      </w:r>
      <w:r w:rsidR="009A3FE0">
        <w:t>4.3</w:t>
      </w:r>
      <w:r w:rsidR="009A3FE0" w:rsidRPr="009A3FE0">
        <w:t xml:space="preserve">)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Пропускная способность гидранта диаметром 125 мм</w:t>
      </w:r>
      <w:r w:rsidR="009A3FE0" w:rsidRPr="009A3FE0">
        <w:t xml:space="preserve"> - </w:t>
      </w:r>
      <w:r w:rsidRPr="009A3FE0">
        <w:t>30</w:t>
      </w:r>
      <w:r w:rsidR="009A3FE0">
        <w:t>...4</w:t>
      </w:r>
      <w:r w:rsidRPr="009A3FE0">
        <w:t>0 л/с</w:t>
      </w:r>
      <w:r w:rsidR="009A3FE0" w:rsidRPr="009A3FE0">
        <w:t xml:space="preserve">. </w:t>
      </w:r>
    </w:p>
    <w:p w:rsidR="009A3FE0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Определив расход воды, исходя из степени огнестойкости и объема зданий, категории производства, определяем диаметр трубопровода</w:t>
      </w:r>
      <w:r w:rsidR="009A3FE0" w:rsidRPr="009A3FE0">
        <w:t xml:space="preserve">: </w:t>
      </w:r>
    </w:p>
    <w:p w:rsidR="00C77E8E" w:rsidRPr="009A3FE0" w:rsidRDefault="00231D87" w:rsidP="009A3FE0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122.25pt;height:45.75pt">
            <v:imagedata r:id="rId11" o:title=""/>
          </v:shape>
        </w:pict>
      </w:r>
      <w:r w:rsidR="009A3FE0" w:rsidRPr="009A3FE0">
        <w:t xml:space="preserve"> </w:t>
      </w:r>
      <w:r w:rsidR="00C77E8E" w:rsidRPr="009A3FE0">
        <w:t>(</w:t>
      </w:r>
      <w:r w:rsidR="009A3FE0" w:rsidRPr="009A3FE0">
        <w:t>4.</w:t>
      </w:r>
      <w:r w:rsidR="009A3FE0">
        <w:t>4.4</w:t>
      </w:r>
      <w:r w:rsidR="009A3FE0" w:rsidRPr="009A3FE0">
        <w:t xml:space="preserve">)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Зная диаметр уже проложенного трубопровода, можно оценить расход воды и сопоставить с существующими нормами</w:t>
      </w:r>
      <w:r w:rsidR="009A3FE0" w:rsidRPr="009A3FE0">
        <w:t xml:space="preserve">. </w:t>
      </w:r>
      <w:r w:rsidRPr="009A3FE0">
        <w:t>Для вычислений необходимо знать скорость движения воды</w:t>
      </w:r>
      <w:r w:rsidR="009A3FE0" w:rsidRPr="009A3FE0">
        <w:t xml:space="preserve">. </w:t>
      </w:r>
      <w:r w:rsidRPr="009A3FE0">
        <w:t>На основании практических и теоретических исследований гидравлических ударов установлено, что скорость движения воды в трубах должна быть не менее 0,5 м/с и не более 3 м/с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Для труб диаметром 100</w:t>
      </w:r>
      <w:r w:rsidR="009A3FE0">
        <w:t>...3</w:t>
      </w:r>
      <w:r w:rsidRPr="009A3FE0">
        <w:t>50 мм скорость движения воды должна быть 0,7</w:t>
      </w:r>
      <w:r w:rsidR="009A3FE0">
        <w:t>...1</w:t>
      </w:r>
      <w:r w:rsidRPr="009A3FE0">
        <w:t>,0 м/с</w:t>
      </w:r>
      <w:r w:rsidR="009A3FE0" w:rsidRPr="009A3FE0">
        <w:t xml:space="preserve">; </w:t>
      </w:r>
      <w:r w:rsidRPr="009A3FE0">
        <w:t>для туб диаметром 400</w:t>
      </w:r>
      <w:r w:rsidR="009A3FE0">
        <w:t>...1</w:t>
      </w:r>
      <w:r w:rsidRPr="009A3FE0">
        <w:t>000 мм</w:t>
      </w:r>
      <w:r w:rsidR="009A3FE0" w:rsidRPr="009A3FE0">
        <w:t xml:space="preserve"> - </w:t>
      </w:r>
      <w:r w:rsidRPr="009A3FE0">
        <w:t>1</w:t>
      </w:r>
      <w:r w:rsidR="009A3FE0">
        <w:t>...1</w:t>
      </w:r>
      <w:r w:rsidRPr="009A3FE0">
        <w:t>,5 м/с</w:t>
      </w:r>
      <w:r w:rsidR="009A3FE0" w:rsidRPr="009A3FE0">
        <w:t xml:space="preserve">. </w:t>
      </w:r>
      <w:r w:rsidRPr="009A3FE0">
        <w:t>В</w:t>
      </w:r>
      <w:r w:rsidR="009A3FE0" w:rsidRPr="009A3FE0">
        <w:t xml:space="preserve">; </w:t>
      </w:r>
    </w:p>
    <w:p w:rsidR="009A3FE0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 xml:space="preserve">Зная расход воды на каждом участке, наиболее экономичные скорости движения воды, диаметр трубопровода, можно подсчитать потери напора </w:t>
      </w:r>
      <w:r w:rsidRPr="009A3FE0">
        <w:rPr>
          <w:lang w:val="en-US"/>
        </w:rPr>
        <w:t>hH</w:t>
      </w:r>
      <w:r w:rsidRPr="009A3FE0">
        <w:t xml:space="preserve">, которые складываются из потерь напора по длине </w:t>
      </w:r>
      <w:r w:rsidRPr="009A3FE0">
        <w:rPr>
          <w:lang w:val="en-US"/>
        </w:rPr>
        <w:t>ht</w:t>
      </w:r>
      <w:r w:rsidRPr="009A3FE0">
        <w:t xml:space="preserve"> и потерь напора на местные сопротивления</w:t>
      </w:r>
      <w:r w:rsidR="009A3FE0" w:rsidRPr="009A3FE0">
        <w:t xml:space="preserve"> </w:t>
      </w:r>
      <w:r w:rsidRPr="009A3FE0">
        <w:rPr>
          <w:lang w:val="en-US"/>
        </w:rPr>
        <w:t>lm</w:t>
      </w:r>
      <w:r w:rsidR="009A3FE0" w:rsidRPr="009A3FE0">
        <w:t xml:space="preserve">. </w:t>
      </w:r>
    </w:p>
    <w:p w:rsidR="009A3FE0" w:rsidRPr="009A3FE0" w:rsidRDefault="00231D87" w:rsidP="009A3FE0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89.25pt;height:28.5pt">
            <v:imagedata r:id="rId12" o:title=""/>
          </v:shape>
        </w:pict>
      </w:r>
      <w:r w:rsidR="00C77E8E" w:rsidRPr="009A3FE0">
        <w:t>,</w:t>
      </w:r>
      <w:r w:rsidR="009A3FE0">
        <w:t xml:space="preserve"> </w:t>
      </w:r>
      <w:r w:rsidR="00C77E8E" w:rsidRPr="009A3FE0">
        <w:t>(</w:t>
      </w:r>
      <w:r w:rsidR="009A3FE0" w:rsidRPr="009A3FE0">
        <w:t>4.</w:t>
      </w:r>
      <w:r w:rsidR="009A3FE0">
        <w:t>4.5</w:t>
      </w:r>
      <w:r w:rsidR="009A3FE0" w:rsidRPr="009A3FE0">
        <w:t xml:space="preserve">) </w:t>
      </w:r>
    </w:p>
    <w:p w:rsidR="009A3FE0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где А</w:t>
      </w:r>
      <w:r w:rsidR="009A3FE0" w:rsidRPr="009A3FE0">
        <w:t xml:space="preserve"> - </w:t>
      </w:r>
      <w:r w:rsidRPr="009A3FE0">
        <w:t>удельное сопротивление труб, с/л</w:t>
      </w:r>
      <w:r w:rsidR="009A3FE0" w:rsidRPr="009A3FE0">
        <w:t xml:space="preserve">; </w:t>
      </w:r>
      <w:r w:rsidRPr="009A3FE0">
        <w:t>1</w:t>
      </w:r>
      <w:r w:rsidR="009A3FE0" w:rsidRPr="009A3FE0">
        <w:t xml:space="preserve"> - </w:t>
      </w:r>
      <w:r w:rsidRPr="009A3FE0">
        <w:t>длина трубопровода, м</w:t>
      </w:r>
      <w:r w:rsidR="009A3FE0" w:rsidRPr="009A3FE0">
        <w:t xml:space="preserve">; </w:t>
      </w:r>
      <w:r w:rsidRPr="009A3FE0">
        <w:rPr>
          <w:lang w:val="en-US"/>
        </w:rPr>
        <w:t>Q</w:t>
      </w:r>
      <w:r w:rsidR="009A3FE0" w:rsidRPr="009A3FE0">
        <w:t xml:space="preserve"> - </w:t>
      </w:r>
      <w:r w:rsidRPr="009A3FE0">
        <w:t>расход воды, л/с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Потери напора на местные сопротивления принимаются 10</w:t>
      </w:r>
      <w:r w:rsidR="009A3FE0" w:rsidRPr="009A3FE0">
        <w:t>-</w:t>
      </w:r>
      <w:r w:rsidRPr="009A3FE0">
        <w:t>15% от потерь напора по длине трубопровода (</w:t>
      </w:r>
      <w:r w:rsidR="009A3FE0">
        <w:t>рис.4</w:t>
      </w:r>
      <w:r w:rsidR="009A3FE0" w:rsidRPr="009A3FE0">
        <w:t>.</w:t>
      </w:r>
      <w:r w:rsidR="009A3FE0">
        <w:t>4.1</w:t>
      </w:r>
      <w:r w:rsidR="009A3FE0" w:rsidRPr="009A3FE0">
        <w:t xml:space="preserve">)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Внутреннее пожаротушение</w:t>
      </w:r>
      <w:r w:rsidR="009A3FE0" w:rsidRPr="009A3FE0">
        <w:t xml:space="preserve">. </w:t>
      </w:r>
      <w:r w:rsidRPr="009A3FE0">
        <w:t>Количество струй определяется назначением, объемом и высотой зданий и может быть от 1 до 8</w:t>
      </w:r>
      <w:r w:rsidR="009A3FE0" w:rsidRPr="009A3FE0">
        <w:t xml:space="preserve">. </w:t>
      </w:r>
      <w:r w:rsidRPr="009A3FE0">
        <w:t>В зданиях высотой более 50 м предусматриваются специальные водопроводы с количеством струй от 3 до 8 и расходом воды 5 л/с каждая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Расход воды с каждой струи на внутреннее пожаротушение должен быть не менее 2,5 л/с</w:t>
      </w:r>
      <w:r w:rsidR="009A3FE0" w:rsidRPr="009A3FE0">
        <w:t xml:space="preserve">. </w:t>
      </w:r>
      <w:r w:rsidRPr="009A3FE0">
        <w:t>Скорость движения воды в трубопроводах должна быть не менее 0,5 м/с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Вводы внутренних противопожарных водопроводов изготавливаются из труб диаметром не менее 50 мм</w:t>
      </w:r>
      <w:r w:rsidR="009A3FE0" w:rsidRPr="009A3FE0">
        <w:t xml:space="preserve">. </w:t>
      </w:r>
      <w:r w:rsidRPr="009A3FE0">
        <w:t>Для спуска воды из внутренней сети магистральные и разводящие трубопроводы прокладываются с уклоном 0,002 – 0,005 в сторону от ввода</w:t>
      </w:r>
      <w:r w:rsidR="009A3FE0" w:rsidRPr="009A3FE0">
        <w:t xml:space="preserve">. </w:t>
      </w:r>
      <w:r w:rsidRPr="009A3FE0">
        <w:t>Внутренние пожарные краны устанавливают на всех этажах отапливаемых зданий, кроме чердачных помещений, на высоте 1,35 м от уровня пола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 xml:space="preserve">Расстояние между пожарными кранами </w:t>
      </w:r>
      <w:r w:rsidRPr="009A3FE0">
        <w:rPr>
          <w:lang w:val="en-US"/>
        </w:rPr>
        <w:t>lk</w:t>
      </w:r>
      <w:r w:rsidRPr="009A3FE0">
        <w:t xml:space="preserve"> определяется длиной пожарного рукава и длиной компактной части струи </w:t>
      </w:r>
      <w:r w:rsidRPr="009A3FE0">
        <w:rPr>
          <w:lang w:val="en-US"/>
        </w:rPr>
        <w:t>l</w:t>
      </w:r>
      <w:r w:rsidRPr="009A3FE0">
        <w:t>пом</w:t>
      </w:r>
      <w:r w:rsidR="009A3FE0" w:rsidRPr="009A3FE0">
        <w:t xml:space="preserve">. </w:t>
      </w:r>
      <w:r w:rsidRPr="009A3FE0">
        <w:t>К пожарным кранам присоединяют пожарные рукава диаметром не менее 50 мм и длиной 10 и 20м со стволами, имеющими насадки диаметром 13…22 мм</w:t>
      </w:r>
      <w:r w:rsidR="009A3FE0" w:rsidRPr="009A3FE0">
        <w:t xml:space="preserve">. </w:t>
      </w:r>
      <w:r w:rsidRPr="009A3FE0">
        <w:t>Применение шлангов длиной 20 м экономически более выгодно</w:t>
      </w:r>
      <w:r w:rsidR="009A3FE0" w:rsidRPr="009A3FE0">
        <w:t xml:space="preserve">. </w:t>
      </w:r>
      <w:r w:rsidRPr="009A3FE0">
        <w:t>Длина компактной части струи должна быть равна высоте помещения от пола до наивысшей точки покрытия или перекрытия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Для наиболее пожароопасных объектов каждая точка помещения должна орошаться двумя струями от двух кранов с таким расчетом, чтобы в случае выхода из строя одного можно было подать шлангом от другого крана</w:t>
      </w:r>
      <w:r w:rsidR="009A3FE0" w:rsidRPr="009A3FE0">
        <w:t xml:space="preserve">. </w:t>
      </w:r>
      <w:r w:rsidRPr="009A3FE0">
        <w:t>Следовательно, при длине шланга 20 м и высоте помещения 3 м максимальное расстояние между кранами 23 м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Внутренние пожарные краны устанавливают преимущественно у выходов, внутри помещения или на площадках отапливаемых лестничных клеток, а также в вестибюлях, коридорах, переходах, проходах на видном месте</w:t>
      </w:r>
      <w:r w:rsidR="009A3FE0" w:rsidRPr="009A3FE0">
        <w:t xml:space="preserve">. </w:t>
      </w:r>
      <w:r w:rsidRPr="009A3FE0">
        <w:t>Пожарные краны вместе с рукавами и стволами размещают в нишах или шкафчиках с остеклёнными дверками, которые должны быть закрыты и опломбированы</w:t>
      </w:r>
      <w:r w:rsidR="009A3FE0" w:rsidRPr="009A3FE0">
        <w:t xml:space="preserve">. </w:t>
      </w:r>
      <w:r w:rsidRPr="009A3FE0">
        <w:t>На дверке делается обозначение ПК и указывается номер</w:t>
      </w:r>
      <w:r w:rsidR="009A3FE0" w:rsidRPr="009A3FE0">
        <w:t xml:space="preserve">. </w:t>
      </w:r>
      <w:r w:rsidRPr="009A3FE0">
        <w:t>Для обеспечения надёжной работы сети, где установлено не менее 12 пожарных кранов, производится её кольцевание и присоединение к наружной сети не менее чем двумя вводами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Безводопроводное противопожарное водоснабжение</w:t>
      </w:r>
      <w:r w:rsidR="009A3FE0" w:rsidRPr="009A3FE0">
        <w:t xml:space="preserve">. </w:t>
      </w:r>
      <w:r w:rsidRPr="009A3FE0">
        <w:t>Допускается проектирование безводопроводного противопожарного водоснабжения из естественных и искусственных водоёмов</w:t>
      </w:r>
      <w:r w:rsidR="009A3FE0" w:rsidRPr="009A3FE0">
        <w:t xml:space="preserve">. </w:t>
      </w:r>
      <w:r w:rsidRPr="009A3FE0">
        <w:t>Водоёмы следует использовать, если они находятся от зданий не далее 200 м при наличии автонасосов и 100…150 м – при наличии мотопомп</w:t>
      </w:r>
      <w:r w:rsidR="009A3FE0" w:rsidRPr="009A3FE0">
        <w:t xml:space="preserve">. </w:t>
      </w:r>
      <w:r w:rsidRPr="009A3FE0">
        <w:t xml:space="preserve">Для зданий </w:t>
      </w:r>
      <w:r w:rsidRPr="009A3FE0">
        <w:rPr>
          <w:lang w:val="en-US"/>
        </w:rPr>
        <w:t>I</w:t>
      </w:r>
      <w:r w:rsidRPr="009A3FE0">
        <w:t xml:space="preserve"> и </w:t>
      </w:r>
      <w:r w:rsidRPr="009A3FE0">
        <w:rPr>
          <w:lang w:val="en-US"/>
        </w:rPr>
        <w:t>II</w:t>
      </w:r>
      <w:r w:rsidRPr="009A3FE0">
        <w:t xml:space="preserve"> степени огнестойкости расстояния до водоёмов должны быть не менее 10 м, а для зданий </w:t>
      </w:r>
      <w:r w:rsidRPr="009A3FE0">
        <w:rPr>
          <w:lang w:val="en-US"/>
        </w:rPr>
        <w:t>III</w:t>
      </w:r>
      <w:r w:rsidRPr="009A3FE0">
        <w:t xml:space="preserve">, </w:t>
      </w:r>
      <w:r w:rsidRPr="009A3FE0">
        <w:rPr>
          <w:lang w:val="en-US"/>
        </w:rPr>
        <w:t>IV</w:t>
      </w:r>
      <w:r w:rsidRPr="009A3FE0">
        <w:t xml:space="preserve">, </w:t>
      </w:r>
      <w:r w:rsidRPr="009A3FE0">
        <w:rPr>
          <w:lang w:val="en-US"/>
        </w:rPr>
        <w:t>V</w:t>
      </w:r>
      <w:r w:rsidRPr="009A3FE0">
        <w:t xml:space="preserve"> степени огнестойкости и открытых складов сгораемых материалов – не менее 30 м</w:t>
      </w:r>
      <w:r w:rsidR="009A3FE0" w:rsidRPr="009A3FE0">
        <w:t xml:space="preserve">. </w:t>
      </w:r>
      <w:r w:rsidRPr="009A3FE0">
        <w:t>К естественным и искусственным водоёмам делают подъезды с площадками, пирсами</w:t>
      </w:r>
      <w:r w:rsidR="009A3FE0" w:rsidRPr="009A3FE0">
        <w:t xml:space="preserve">. </w:t>
      </w:r>
      <w:r w:rsidRPr="009A3FE0">
        <w:t>Размер площадки должен быть не менее 12×12 м для маневрирования и разворота автомобилей</w:t>
      </w:r>
      <w:r w:rsidR="009A3FE0" w:rsidRPr="009A3FE0">
        <w:t xml:space="preserve">. </w:t>
      </w:r>
      <w:r w:rsidRPr="009A3FE0">
        <w:t>Уровень воды должен обеспечить возможность всасывания её насосами</w:t>
      </w:r>
      <w:r w:rsidR="009A3FE0" w:rsidRPr="009A3FE0">
        <w:t xml:space="preserve">. </w:t>
      </w:r>
      <w:r w:rsidRPr="009A3FE0">
        <w:t>В зимнее время необходимо устраивать незамерзающие трубы</w:t>
      </w:r>
      <w:r w:rsidR="009A3FE0" w:rsidRPr="009A3FE0">
        <w:t xml:space="preserve">. </w:t>
      </w:r>
      <w:r w:rsidRPr="009A3FE0">
        <w:t>Водоисточники должны иметь указатели, освещаемые в ночное время</w:t>
      </w:r>
      <w:r w:rsidR="009A3FE0" w:rsidRPr="009A3FE0">
        <w:t xml:space="preserve">. </w:t>
      </w:r>
      <w:r w:rsidRPr="009A3FE0">
        <w:t>Минимальная вместимость водоема 100 м2</w:t>
      </w:r>
      <w:r w:rsidR="009A3FE0" w:rsidRPr="009A3FE0">
        <w:t xml:space="preserve">. </w:t>
      </w:r>
    </w:p>
    <w:p w:rsidR="009A3FE0" w:rsidRDefault="00C77E8E" w:rsidP="009A3FE0">
      <w:pPr>
        <w:widowControl w:val="0"/>
        <w:autoSpaceDE w:val="0"/>
        <w:autoSpaceDN w:val="0"/>
        <w:adjustRightInd w:val="0"/>
        <w:ind w:firstLine="709"/>
      </w:pPr>
      <w:r w:rsidRPr="009A3FE0">
        <w:t>Согласно Правилам пожарной безопасности при производстве стромтельно0монтажных работ прокладку постоянной наружной сети и установку пожарных гидрантов производят с таким расчетом, чтобы к началу основных строительных работ ими можно было пользоваться для тушения пожаров</w:t>
      </w:r>
      <w:r w:rsidR="009A3FE0" w:rsidRPr="009A3FE0">
        <w:t xml:space="preserve">. </w:t>
      </w:r>
      <w:r w:rsidRPr="009A3FE0">
        <w:t>При отсутствии постоянного трубопровода оборудуется временный</w:t>
      </w:r>
      <w:r w:rsidR="009A3FE0" w:rsidRPr="009A3FE0">
        <w:t xml:space="preserve">. </w:t>
      </w:r>
    </w:p>
    <w:p w:rsidR="00C77E8E" w:rsidRPr="009A3FE0" w:rsidRDefault="00C77E8E" w:rsidP="009A3FE0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C77E8E" w:rsidRPr="009A3FE0" w:rsidSect="009A3FE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87" w:rsidRDefault="002A5D8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2A5D87" w:rsidRDefault="002A5D8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E0" w:rsidRDefault="009A3FE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E0" w:rsidRDefault="009A3F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87" w:rsidRDefault="002A5D8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2A5D87" w:rsidRDefault="002A5D8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E0" w:rsidRDefault="00835CD5" w:rsidP="009A3FE0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9A3FE0" w:rsidRDefault="009A3FE0" w:rsidP="009A3FE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E0" w:rsidRDefault="009A3F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E8E"/>
    <w:rsid w:val="00001922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B1DFB"/>
    <w:rsid w:val="000C3DC7"/>
    <w:rsid w:val="000E2F54"/>
    <w:rsid w:val="000F4D50"/>
    <w:rsid w:val="001017AE"/>
    <w:rsid w:val="00105BA2"/>
    <w:rsid w:val="0011176D"/>
    <w:rsid w:val="00114456"/>
    <w:rsid w:val="00140B82"/>
    <w:rsid w:val="00143803"/>
    <w:rsid w:val="0014713C"/>
    <w:rsid w:val="00150A75"/>
    <w:rsid w:val="00151E32"/>
    <w:rsid w:val="0017581F"/>
    <w:rsid w:val="0018658F"/>
    <w:rsid w:val="00197FD3"/>
    <w:rsid w:val="001B60E5"/>
    <w:rsid w:val="001C6C8B"/>
    <w:rsid w:val="001E228E"/>
    <w:rsid w:val="001E2715"/>
    <w:rsid w:val="00203A53"/>
    <w:rsid w:val="00230977"/>
    <w:rsid w:val="00231D87"/>
    <w:rsid w:val="0023291B"/>
    <w:rsid w:val="00251A5A"/>
    <w:rsid w:val="00261B30"/>
    <w:rsid w:val="00265B4D"/>
    <w:rsid w:val="0027492B"/>
    <w:rsid w:val="00284F5B"/>
    <w:rsid w:val="002A501F"/>
    <w:rsid w:val="002A5D87"/>
    <w:rsid w:val="002D6091"/>
    <w:rsid w:val="0032401A"/>
    <w:rsid w:val="003411F6"/>
    <w:rsid w:val="0034183B"/>
    <w:rsid w:val="00365F7E"/>
    <w:rsid w:val="00380612"/>
    <w:rsid w:val="0039581B"/>
    <w:rsid w:val="00397A75"/>
    <w:rsid w:val="003C394A"/>
    <w:rsid w:val="003C3FAE"/>
    <w:rsid w:val="003C6087"/>
    <w:rsid w:val="003F7A72"/>
    <w:rsid w:val="00422AE9"/>
    <w:rsid w:val="00440F1B"/>
    <w:rsid w:val="00446EB9"/>
    <w:rsid w:val="004572CE"/>
    <w:rsid w:val="00485EEA"/>
    <w:rsid w:val="004A5472"/>
    <w:rsid w:val="004B5197"/>
    <w:rsid w:val="004B7E74"/>
    <w:rsid w:val="004C6B49"/>
    <w:rsid w:val="004D6E19"/>
    <w:rsid w:val="004F19C5"/>
    <w:rsid w:val="00506C82"/>
    <w:rsid w:val="0051326A"/>
    <w:rsid w:val="005249CE"/>
    <w:rsid w:val="0052694E"/>
    <w:rsid w:val="00526CC7"/>
    <w:rsid w:val="00566DB1"/>
    <w:rsid w:val="005701F9"/>
    <w:rsid w:val="0059454B"/>
    <w:rsid w:val="00595E3E"/>
    <w:rsid w:val="005D40EA"/>
    <w:rsid w:val="0063468C"/>
    <w:rsid w:val="00636530"/>
    <w:rsid w:val="00656983"/>
    <w:rsid w:val="00684195"/>
    <w:rsid w:val="006929F6"/>
    <w:rsid w:val="00693DAB"/>
    <w:rsid w:val="006A5B32"/>
    <w:rsid w:val="006D7BC3"/>
    <w:rsid w:val="006F5AE7"/>
    <w:rsid w:val="0073760E"/>
    <w:rsid w:val="0074613A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35A4C"/>
    <w:rsid w:val="00835CD5"/>
    <w:rsid w:val="00852705"/>
    <w:rsid w:val="0085496A"/>
    <w:rsid w:val="008559DA"/>
    <w:rsid w:val="00855D64"/>
    <w:rsid w:val="00871910"/>
    <w:rsid w:val="00877491"/>
    <w:rsid w:val="00877A5F"/>
    <w:rsid w:val="008839EF"/>
    <w:rsid w:val="00884F2A"/>
    <w:rsid w:val="00885AF0"/>
    <w:rsid w:val="008B32AB"/>
    <w:rsid w:val="008B567A"/>
    <w:rsid w:val="008C6A36"/>
    <w:rsid w:val="008D2865"/>
    <w:rsid w:val="008E1B98"/>
    <w:rsid w:val="008E1C60"/>
    <w:rsid w:val="008E7B7F"/>
    <w:rsid w:val="008F3CE2"/>
    <w:rsid w:val="00907430"/>
    <w:rsid w:val="0092692B"/>
    <w:rsid w:val="00933CED"/>
    <w:rsid w:val="0095054E"/>
    <w:rsid w:val="0095724D"/>
    <w:rsid w:val="0096227B"/>
    <w:rsid w:val="009A3FE0"/>
    <w:rsid w:val="009B3BD7"/>
    <w:rsid w:val="009C611F"/>
    <w:rsid w:val="009E32A4"/>
    <w:rsid w:val="009F5464"/>
    <w:rsid w:val="009F78B9"/>
    <w:rsid w:val="00A01918"/>
    <w:rsid w:val="00A0343D"/>
    <w:rsid w:val="00A03FE6"/>
    <w:rsid w:val="00A1013A"/>
    <w:rsid w:val="00A13C16"/>
    <w:rsid w:val="00A22998"/>
    <w:rsid w:val="00A2324A"/>
    <w:rsid w:val="00A24B88"/>
    <w:rsid w:val="00A25F40"/>
    <w:rsid w:val="00A27966"/>
    <w:rsid w:val="00A36A28"/>
    <w:rsid w:val="00A41917"/>
    <w:rsid w:val="00A512D1"/>
    <w:rsid w:val="00A555AF"/>
    <w:rsid w:val="00A715FE"/>
    <w:rsid w:val="00A716FB"/>
    <w:rsid w:val="00A72BAE"/>
    <w:rsid w:val="00A83E4D"/>
    <w:rsid w:val="00AE2BC6"/>
    <w:rsid w:val="00AF5AA4"/>
    <w:rsid w:val="00B11EDE"/>
    <w:rsid w:val="00B15AA7"/>
    <w:rsid w:val="00B24C47"/>
    <w:rsid w:val="00B40469"/>
    <w:rsid w:val="00B545FB"/>
    <w:rsid w:val="00B56F01"/>
    <w:rsid w:val="00B62553"/>
    <w:rsid w:val="00B62F64"/>
    <w:rsid w:val="00B911A4"/>
    <w:rsid w:val="00BB5AFA"/>
    <w:rsid w:val="00BD0BD1"/>
    <w:rsid w:val="00BD3337"/>
    <w:rsid w:val="00BE1E2C"/>
    <w:rsid w:val="00BE52CC"/>
    <w:rsid w:val="00BE5322"/>
    <w:rsid w:val="00BE5454"/>
    <w:rsid w:val="00C0097C"/>
    <w:rsid w:val="00C02A1A"/>
    <w:rsid w:val="00C16F69"/>
    <w:rsid w:val="00C214D6"/>
    <w:rsid w:val="00C3591A"/>
    <w:rsid w:val="00C40934"/>
    <w:rsid w:val="00C560B5"/>
    <w:rsid w:val="00C62981"/>
    <w:rsid w:val="00C7028F"/>
    <w:rsid w:val="00C77E8E"/>
    <w:rsid w:val="00C8726B"/>
    <w:rsid w:val="00C90A6E"/>
    <w:rsid w:val="00CA0588"/>
    <w:rsid w:val="00CD34CC"/>
    <w:rsid w:val="00CF2504"/>
    <w:rsid w:val="00CF7B55"/>
    <w:rsid w:val="00D05FA3"/>
    <w:rsid w:val="00D06CD1"/>
    <w:rsid w:val="00D26E21"/>
    <w:rsid w:val="00D33D6A"/>
    <w:rsid w:val="00D56122"/>
    <w:rsid w:val="00D61F7F"/>
    <w:rsid w:val="00D62CE8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E103FF"/>
    <w:rsid w:val="00E13931"/>
    <w:rsid w:val="00E1401B"/>
    <w:rsid w:val="00E14481"/>
    <w:rsid w:val="00E1713F"/>
    <w:rsid w:val="00E36DCE"/>
    <w:rsid w:val="00E37230"/>
    <w:rsid w:val="00E459F1"/>
    <w:rsid w:val="00E678F7"/>
    <w:rsid w:val="00E72CDC"/>
    <w:rsid w:val="00E74E4A"/>
    <w:rsid w:val="00E92A8A"/>
    <w:rsid w:val="00EA3718"/>
    <w:rsid w:val="00EA691A"/>
    <w:rsid w:val="00EE5C83"/>
    <w:rsid w:val="00EF34F1"/>
    <w:rsid w:val="00EF5273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8E8"/>
    <w:rsid w:val="00FC4F27"/>
    <w:rsid w:val="00FD2F24"/>
    <w:rsid w:val="00FE2C14"/>
    <w:rsid w:val="00FE5A9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186367E-B6D8-4808-9CD1-EA5049AF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9A3FE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A3FE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A3FE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A3FE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A3FE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A3FE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A3FE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A3FE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A3FE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9A3F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9A3FE0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9A3FE0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9A3FE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9A3FE0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9A3FE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9A3FE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9A3FE0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9A3FE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A3FE0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9A3FE0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9A3FE0"/>
  </w:style>
  <w:style w:type="character" w:customStyle="1" w:styleId="af2">
    <w:name w:val="номер страницы"/>
    <w:uiPriority w:val="99"/>
    <w:rsid w:val="009A3FE0"/>
    <w:rPr>
      <w:sz w:val="28"/>
      <w:szCs w:val="28"/>
    </w:rPr>
  </w:style>
  <w:style w:type="paragraph" w:styleId="af3">
    <w:name w:val="Normal (Web)"/>
    <w:basedOn w:val="a2"/>
    <w:uiPriority w:val="99"/>
    <w:rsid w:val="009A3FE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A3FE0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9A3FE0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A3FE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A3FE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A3FE0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9A3FE0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A3FE0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A3FE0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A3FE0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A3FE0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A3FE0"/>
    <w:rPr>
      <w:i/>
      <w:iCs/>
    </w:rPr>
  </w:style>
  <w:style w:type="paragraph" w:customStyle="1" w:styleId="af4">
    <w:name w:val="схема"/>
    <w:basedOn w:val="a2"/>
    <w:uiPriority w:val="99"/>
    <w:rsid w:val="009A3FE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9A3FE0"/>
    <w:pPr>
      <w:spacing w:line="360" w:lineRule="auto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9A3FE0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9A3FE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2014-03-02T10:14:00Z</dcterms:created>
  <dcterms:modified xsi:type="dcterms:W3CDTF">2014-03-02T10:14:00Z</dcterms:modified>
</cp:coreProperties>
</file>