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C4" w:rsidRPr="007318C0" w:rsidRDefault="005D02C4" w:rsidP="005D02C4">
      <w:pPr>
        <w:spacing w:before="120"/>
        <w:jc w:val="center"/>
        <w:rPr>
          <w:b/>
          <w:bCs/>
          <w:color w:val="000000"/>
          <w:sz w:val="32"/>
          <w:szCs w:val="32"/>
        </w:rPr>
      </w:pPr>
      <w:r w:rsidRPr="007318C0">
        <w:rPr>
          <w:b/>
          <w:bCs/>
          <w:sz w:val="32"/>
          <w:szCs w:val="32"/>
        </w:rPr>
        <w:t xml:space="preserve">Прогноз: игры аналитиков, технологов и политиков </w:t>
      </w:r>
      <w:r w:rsidRPr="007318C0">
        <w:rPr>
          <w:b/>
          <w:bCs/>
          <w:color w:val="000000"/>
          <w:sz w:val="32"/>
          <w:szCs w:val="32"/>
        </w:rPr>
        <w:t xml:space="preserve"> </w:t>
      </w:r>
    </w:p>
    <w:p w:rsidR="005D02C4" w:rsidRPr="005D02C4" w:rsidRDefault="005D02C4" w:rsidP="005D02C4">
      <w:pPr>
        <w:spacing w:before="120"/>
        <w:ind w:firstLine="567"/>
        <w:jc w:val="both"/>
        <w:rPr>
          <w:sz w:val="28"/>
          <w:szCs w:val="28"/>
        </w:rPr>
      </w:pPr>
      <w:r w:rsidRPr="005D02C4">
        <w:rPr>
          <w:sz w:val="28"/>
          <w:szCs w:val="28"/>
        </w:rPr>
        <w:t>Потупа Александр</w:t>
      </w:r>
    </w:p>
    <w:p w:rsidR="005D02C4" w:rsidRPr="007318C0" w:rsidRDefault="005D02C4" w:rsidP="005D02C4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7318C0">
        <w:rPr>
          <w:b/>
          <w:bCs/>
          <w:color w:val="000000"/>
          <w:sz w:val="28"/>
          <w:szCs w:val="28"/>
        </w:rPr>
        <w:t>Прогноз – это серьезно?</w:t>
      </w:r>
    </w:p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О возможностях прогноза существуют самые разные мнения, вплоть до крайних – это невозможно, поскольку речь идет о несуществующих – пусть пока, но все-таки ненаблюдаемых! – явлениях. И ничего достоверного по поводу ненаблюдаемых явлений сказать нельзя, а потому и говорить не стоит. Всякие разговоры на эту тему либо дань схоластике (сколько, скажем, чертей можно расположить на острие иглы), либо сфера скорей религиозная, чем собственно научная. С обязательными боговдохновенными пророками и актами веры, выходящей за рамки позитивного знания – то есть действиями, вводящими отдельных людей или целые народы в особое, мягко говоря, не вполне нормальное состояние… А уж если ссылаться на предсказания рационально мыслящих людей – в том числе и крупных ученых, – тут можно продемонстрировать сколько угодно примеров явно несбывшихся прогнозов – от глобальных сценариев развития земной цивилизации до конкретных научно-технических идей, которые иногда уже через несколько лет выглядели околонаучными анекдотами, либо через тот же год-другой преспокойно воплощались в жизнь, несмотря на категорический запрет некоторых экспертов высокого класса.</w:t>
      </w:r>
    </w:p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Не будем вдаваться в относительно тонкие философские оценки, которые любят предлагать историки некоторых школ, непременно стремящиеся подчеркнуть глубокую научность изысканий в прошлом на фоне совершенно фантастических упражнений по другую сторону от настоящего. Кстати, это именно те школы, где лозунг «история не знает сослагательного наклонения» считается священной аксиомой.</w:t>
      </w:r>
    </w:p>
    <w:p w:rsidR="005D02C4" w:rsidRPr="0086041E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Хочу подчеркнуть, что антифутурологические аргументы особенно забавно звучат в устах некоторых вроде бы серьезных политиков, в том числе белорусских. Подчас разделавшись за пару минут с «футурологическим шарлатанством», они способны без остановки перейти на серьезный тон и предложить смену правящего режима, отчего всему белорусскому народу жить станет «лучше и веселей», то есть впадают в самый ярко выраженный «футурологический грех». И в грехе этом пребывают в период всех выборных кампаний, а кое-кто – непрерывно. Это заведомо некорректное обращение с избирателем и коллегами по партии (на основе только обруганной методологии) или плод несколько, мягко говоря, атавистического мышления? Того же самого, которое толкало большевиков объявлять буржуазными лженауками кибернетику и генетику, когда эти науки уже достигли вполне зримых и серьезных результатов. Кстати, из того же набора модное среди номенклатуры БСТ (Большого Славянского Треугольника – Беларуси, Россия, Украина) выражение «непредсказуемые последствия», произносимый обычно с придыханием и страшным выражением лица. Относится оно, как правило, к какому-то плохому или даже катастрофическому сценарию, то есть к результату конкретного предсказания. «Непредсказуемые» же – это когда поленились предсказывать или в конкретной ситуации сделать это крайне трудно.</w:t>
      </w:r>
    </w:p>
    <w:p w:rsidR="005D02C4" w:rsidRPr="007318C0" w:rsidRDefault="005D02C4" w:rsidP="005D02C4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7318C0">
        <w:rPr>
          <w:b/>
          <w:bCs/>
          <w:color w:val="000000"/>
          <w:sz w:val="28"/>
          <w:szCs w:val="28"/>
        </w:rPr>
        <w:t>Футурогенный мир</w:t>
      </w:r>
    </w:p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Познание футурогенно, иными словами, ориентировано на лучшую в том или ином смысле адаптацию человека и общества в будущем. На прогноз работают фактически все системы познания – не только научная. Загробная жизнь в райских кущах или в кипящем котле со смолой или вращение в кругах метемпсихоза – в конечном счете, тоже прогнозы. Как бы долго и ярко ни критиковал политик существующий режим, рано или поздно избиратель поинтересуется – а что он сам, такой прекрасный критик, собирается делать, придя к власти? И тут важно выдать привлекательный прогноз – не просто, что он намерен делать, а что именно, по его мнению, непременно реализуется, Если все это исполнено профессионально (точнее – высокосуггестивно), возникнет эффект футурогенного увлечения, и политик получит дополнительные голоса. Фактически избиратель голосует за сложившуюся у него в голове картинку светлого будущего, действие которой оказывает на его поведение (а, следовательно – на распределение голосов в ход выборов) вполне реальное влияние. Экспертов и коллег по политической партии больше интересуют не глянцевые картинки послепобедья для массового пользования, а более важные и конкретные вещи – как именно кандидат и его штаб собираются добиваться победы? С помощью каких технологий опережать конкурентов? Как всерьез выделиться на плотном рынке многообразных предвыборных обещаний? Здесь хорошая стратегия, умело спроецированная политтехнологами на конкретные технологии должна создать усилитель электоральной активности в конкретном направлении. И, собственно политтехнологи работают именно на сформировавшуюся у них картинку сконцентрированных к моменту выборов технологических линий. Возникает своеобразная футурогенная причинность, неизвестная в мире простых объектов, которые, грубо говоря, лишены приемника сигналов из будущего, то есть механизма продуцирования сценариев. В определенном смысле по мощности этого механизма можно судить о сложности системы.</w:t>
      </w:r>
    </w:p>
    <w:p w:rsidR="005D02C4" w:rsidRPr="0086041E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Еще один аспект: цивилизация – это в первую очередь предсказуемость. Мы устанавливаем весьма разветвленную систему законов, чтобы получить оптимальный коридор относительно безопасного развития для максимально широкого круга людей. В идеале демократическое правовое государство – максимально стабильный и долгосрочный механизм поощрения и наказаний членов общества в зависимости от их желания пребывать в указанном оптимальном коридоре при максимально возможном вкладе каждого из них в формирование стратегии развития общества.</w:t>
      </w:r>
    </w:p>
    <w:p w:rsidR="005D02C4" w:rsidRPr="007318C0" w:rsidRDefault="005D02C4" w:rsidP="005D02C4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7318C0">
        <w:rPr>
          <w:b/>
          <w:bCs/>
          <w:color w:val="000000"/>
          <w:sz w:val="28"/>
          <w:szCs w:val="28"/>
        </w:rPr>
        <w:t>Проблемы</w:t>
      </w:r>
    </w:p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И все-таки остаются проблемы, терзающие обыденный здравый смысл. События будущего – как бы несуществующий объект, что с этим делать? Приходится применять реконструктивный подход – что есть для науки дело вполне обычное. По некой группе следов мы можем восстановить ту или иную картину события, и даже описать те объекты, которые в этом событии участвовали. Что прекрасно известно, криминалисту, историку, археологу и многим другим исследователям. Только по следам относительно стабильных элементарных частиц восстанавливаются характеристики короткоживущих адронных резонансов. Вообще не выделяются из адронов кварки, удерживаемые внутри быстро растущими с расстоянием глюонными силами. В последнем случае, работая с кварковой моделью, мы имеем лишь информационный блок о распределениях в определенном наборе реакций, в которых адроны сталкиваются с другими частицами, параметры самих адронов. На сегодня мы не можем ткнуть пальцем в какой-то конкретный материальный след на фотопластинке и сказать: вот он – кварк, но существование кварков в таком реконструктивном смысле вполне доказано. </w:t>
      </w:r>
    </w:p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Следы будущего – именно и есть влияние сценариев, продуцируемых в той части мозга (хотя фактически он задействован целиком), которую можно было бы красиво обозначить как футурогенный генератор, на наше поведение. Очень наглядный пример – шахматист, основное действие которого в ходе партии как раз и сводится к выбору хода на основе более или менее глубокого просчета вариантов дальнейшего развития партии. Умение учитывать большое количество многоходовых вариантов, в сущности, и отличает квалифицированного игрока. Кстати, на сегодня компьютер уже делает это лучше самых сильных гроссмейстеров.</w:t>
      </w:r>
    </w:p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Другая проблема связана с тем, что жесткие критики форекастинга, упомянутые в предыдущем разделе, выступают, разумеется, не против прогноза как такового, а против прогноза в политике, вообще - в крупномасштабных общественных системах. Физикалистский прогноз – дело как бы всем понятное. Мы можем рассчитать весьма точно траекторию снаряда, планеты, эволюцию звезды с определенной массой, выход продукта в химическом реакторе. Общим для всех этих объектов является их простота – в рамках той модели, которую мы выбираем для расчетов. То есть для таких, скажем, обычных объектов их сложность (например, количество решений в единицу времени) много меньше сложности наблюдателя: Xо « Xн (или параметр относительной сложности </w:t>
      </w:r>
    </w:p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С = Xо/Xн « 1).</w:t>
      </w:r>
    </w:p>
    <w:p w:rsidR="005D02C4" w:rsidRPr="0086041E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Но уже в шахматной партии мы играем не против деревянных фигурок, а против примерно</w:t>
      </w:r>
      <w:r>
        <w:rPr>
          <w:color w:val="000000"/>
        </w:rPr>
        <w:t xml:space="preserve"> </w:t>
      </w: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7"/>
        <w:gridCol w:w="1109"/>
        <w:gridCol w:w="214"/>
        <w:gridCol w:w="740"/>
        <w:gridCol w:w="191"/>
        <w:gridCol w:w="1336"/>
        <w:gridCol w:w="95"/>
      </w:tblGrid>
      <w:tr w:rsidR="005D02C4" w:rsidRPr="0086041E" w:rsidTr="00377FD7">
        <w:trPr>
          <w:gridAfter w:val="1"/>
          <w:wAfter w:w="51" w:type="pct"/>
          <w:tblCellSpacing w:w="0" w:type="dxa"/>
        </w:trPr>
        <w:tc>
          <w:tcPr>
            <w:tcW w:w="3069" w:type="pct"/>
            <w:vAlign w:val="center"/>
          </w:tcPr>
          <w:p w:rsidR="005D02C4" w:rsidRPr="0086041E" w:rsidRDefault="005D02C4" w:rsidP="00377FD7">
            <w:pPr>
              <w:jc w:val="both"/>
              <w:rPr>
                <w:color w:val="000000"/>
              </w:rPr>
            </w:pPr>
            <w:r w:rsidRPr="0086041E">
              <w:rPr>
                <w:color w:val="000000"/>
              </w:rPr>
              <w:t xml:space="preserve">равного по сложности субъекта со своей стратегией – </w:t>
            </w:r>
          </w:p>
        </w:tc>
        <w:tc>
          <w:tcPr>
            <w:tcW w:w="693" w:type="pct"/>
            <w:gridSpan w:val="2"/>
            <w:vAlign w:val="center"/>
          </w:tcPr>
          <w:p w:rsidR="005D02C4" w:rsidRPr="0086041E" w:rsidRDefault="005D02C4" w:rsidP="00377F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E73D5">
              <w:rPr>
                <w:color w:val="000000"/>
              </w:rPr>
              <w:instrText xml:space="preserve"> INCLUDEPICTURE "C:\\www\\doc2html\\work\\КОНТЕНТ\\Папки\\социология\\ctr10-10.files\\potupa3.gif" \* MERGEFORMAT </w:instrText>
            </w:r>
            <w:r>
              <w:rPr>
                <w:color w:val="000000"/>
              </w:rPr>
              <w:fldChar w:fldCharType="separate"/>
            </w:r>
            <w:r w:rsidR="00B73A62">
              <w:rPr>
                <w:color w:val="000000"/>
              </w:rPr>
              <w:fldChar w:fldCharType="begin"/>
            </w:r>
            <w:r w:rsidR="00B73A62">
              <w:rPr>
                <w:color w:val="000000"/>
              </w:rPr>
              <w:instrText xml:space="preserve"> </w:instrText>
            </w:r>
            <w:r w:rsidR="00B73A62">
              <w:rPr>
                <w:color w:val="000000"/>
              </w:rPr>
              <w:instrText>INCLUDEPICTURE  "C:\\www\\doc2html\\work\\КОНТЕНТ\\Папки\\социология\\c</w:instrText>
            </w:r>
            <w:r w:rsidR="00B73A62">
              <w:rPr>
                <w:color w:val="000000"/>
              </w:rPr>
              <w:instrText>tr10-10.files\\potupa3.gif" \* MERGEFORMATINET</w:instrText>
            </w:r>
            <w:r w:rsidR="00B73A62">
              <w:rPr>
                <w:color w:val="000000"/>
              </w:rPr>
              <w:instrText xml:space="preserve"> </w:instrText>
            </w:r>
            <w:r w:rsidR="00B73A62">
              <w:rPr>
                <w:color w:val="000000"/>
              </w:rPr>
              <w:fldChar w:fldCharType="separate"/>
            </w:r>
            <w:r w:rsidR="00B73A62">
              <w:rPr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7.75pt;height:11.25pt">
                  <v:imagedata r:id="rId4" r:href="rId5"/>
                </v:shape>
              </w:pict>
            </w:r>
            <w:r w:rsidR="00B73A62"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88" w:type="pct"/>
            <w:gridSpan w:val="3"/>
            <w:vAlign w:val="center"/>
          </w:tcPr>
          <w:p w:rsidR="005D02C4" w:rsidRPr="0086041E" w:rsidRDefault="005D02C4" w:rsidP="00377FD7">
            <w:pPr>
              <w:jc w:val="both"/>
              <w:rPr>
                <w:color w:val="000000"/>
              </w:rPr>
            </w:pPr>
          </w:p>
        </w:tc>
      </w:tr>
      <w:tr w:rsidR="005D02C4" w:rsidRPr="0086041E" w:rsidTr="00377FD7">
        <w:trPr>
          <w:tblCellSpacing w:w="0" w:type="dxa"/>
        </w:trPr>
        <w:tc>
          <w:tcPr>
            <w:tcW w:w="3650" w:type="pct"/>
            <w:gridSpan w:val="2"/>
            <w:vAlign w:val="center"/>
          </w:tcPr>
          <w:p w:rsidR="005D02C4" w:rsidRPr="0086041E" w:rsidRDefault="005D02C4" w:rsidP="00377FD7">
            <w:pPr>
              <w:jc w:val="both"/>
              <w:rPr>
                <w:color w:val="000000"/>
              </w:rPr>
            </w:pPr>
            <w:r w:rsidRPr="0086041E">
              <w:rPr>
                <w:color w:val="000000"/>
              </w:rPr>
              <w:t>хотя было бы правильней вводить обозначения как для двух субъектов</w:t>
            </w:r>
          </w:p>
        </w:tc>
        <w:tc>
          <w:tcPr>
            <w:tcW w:w="500" w:type="pct"/>
            <w:gridSpan w:val="2"/>
            <w:vAlign w:val="center"/>
          </w:tcPr>
          <w:p w:rsidR="005D02C4" w:rsidRPr="0086041E" w:rsidRDefault="005D02C4" w:rsidP="00377F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E73D5">
              <w:rPr>
                <w:color w:val="000000"/>
              </w:rPr>
              <w:instrText xml:space="preserve"> INCLUDEPICTURE "C:\\www\\doc2html\\work\\КОНТЕНТ\\Папки\\социология\\ctr10-10.files\\potupa4.gif" \* MERGEFORMAT </w:instrText>
            </w:r>
            <w:r>
              <w:rPr>
                <w:color w:val="000000"/>
              </w:rPr>
              <w:fldChar w:fldCharType="separate"/>
            </w:r>
            <w:r w:rsidR="00B73A62">
              <w:rPr>
                <w:color w:val="000000"/>
              </w:rPr>
              <w:fldChar w:fldCharType="begin"/>
            </w:r>
            <w:r w:rsidR="00B73A62">
              <w:rPr>
                <w:color w:val="000000"/>
              </w:rPr>
              <w:instrText xml:space="preserve"> </w:instrText>
            </w:r>
            <w:r w:rsidR="00B73A62">
              <w:rPr>
                <w:color w:val="000000"/>
              </w:rPr>
              <w:instrText>INCLUDEPICTURE  "C:\\www\\doc2html\\work\\КОНТЕНТ\\Папки\\социология\\ctr10-10.files\\potupa4.gif" \* MERGEFORMATINET</w:instrText>
            </w:r>
            <w:r w:rsidR="00B73A62">
              <w:rPr>
                <w:color w:val="000000"/>
              </w:rPr>
              <w:instrText xml:space="preserve"> </w:instrText>
            </w:r>
            <w:r w:rsidR="00B73A62">
              <w:rPr>
                <w:color w:val="000000"/>
              </w:rPr>
              <w:fldChar w:fldCharType="separate"/>
            </w:r>
            <w:r w:rsidR="00B73A62">
              <w:rPr>
                <w:color w:val="000000"/>
              </w:rPr>
              <w:pict>
                <v:shape id="_x0000_i1026" type="#_x0000_t75" alt="" style="width:36pt;height:13.5pt">
                  <v:imagedata r:id="rId6" r:href="rId7"/>
                </v:shape>
              </w:pict>
            </w:r>
            <w:r w:rsidR="00B73A62"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0" w:type="pct"/>
            <w:vAlign w:val="center"/>
          </w:tcPr>
          <w:p w:rsidR="005D02C4" w:rsidRPr="0086041E" w:rsidRDefault="005D02C4" w:rsidP="00377F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50" w:type="pct"/>
            <w:gridSpan w:val="2"/>
            <w:vAlign w:val="center"/>
          </w:tcPr>
          <w:p w:rsidR="005D02C4" w:rsidRPr="0086041E" w:rsidRDefault="005D02C4" w:rsidP="00377FD7">
            <w:pPr>
              <w:jc w:val="both"/>
              <w:rPr>
                <w:color w:val="000000"/>
              </w:rPr>
            </w:pPr>
            <w:r w:rsidRPr="0086041E">
              <w:rPr>
                <w:color w:val="000000"/>
              </w:rPr>
              <w:t>, то есть</w:t>
            </w:r>
          </w:p>
        </w:tc>
      </w:tr>
    </w:tbl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переходим в фазу игры и в математическом смысле этого слова. Другой пример - небесное тело, в котором находится экипаж, способный принимать самостоятельные решения, из-за чего траектория космического корабля может весьма существенно отклониться от того, что мы представляем себе в случае, скажем, обычного метеорита. </w:t>
      </w:r>
    </w:p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Предсказания в данном случае носят вероятностный характер. Зная правила и технику игры, вы можете указать, что на месте партнера вы сделали бы наилучший, с вашей точки зрения, ход, но более квалифицированные игроки не ограничиваются такой простейшей подменой-отождествлением, а учитывают психологический диапазон партнера, отличный от своего, его ценностные установки. Скажем, особую склонность к выбору острых рискованных продолжений или стремление медленно давить, сохраняя относительное равновесие.</w:t>
      </w:r>
    </w:p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Трагедия современного этапа борьбы с терроризмом в связи с распространением шахидских приемов основана на том, что до сих пор системы защиты развивались в подавляющем большинстве вариантов с учетом сильнейшего инстинкта самосохранения, делавшего человека весьма несовершенным средством доставки смертоносных грузов к предполагаемому месту теракта. Резко изменив ценностную ориентацию шахидов, международный национальный терроризм фактически ввел в действие новый вид оружия с существенно сниженной предсказуемостью.</w:t>
      </w:r>
    </w:p>
    <w:p w:rsidR="005D02C4" w:rsidRPr="0086041E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По сути, борьба в основном сводится к обретению несколько большей сложности </w:t>
      </w:r>
    </w:p>
    <w:tbl>
      <w:tblPr>
        <w:tblW w:w="28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1020"/>
        <w:gridCol w:w="1009"/>
        <w:gridCol w:w="1657"/>
      </w:tblGrid>
      <w:tr w:rsidR="005D02C4" w:rsidRPr="0086041E" w:rsidTr="00377FD7">
        <w:trPr>
          <w:trHeight w:val="330"/>
          <w:tblCellSpacing w:w="0" w:type="dxa"/>
        </w:trPr>
        <w:tc>
          <w:tcPr>
            <w:tcW w:w="1600" w:type="pct"/>
            <w:vAlign w:val="center"/>
          </w:tcPr>
          <w:p w:rsidR="005D02C4" w:rsidRPr="0086041E" w:rsidRDefault="005D02C4" w:rsidP="00377FD7">
            <w:pPr>
              <w:jc w:val="both"/>
              <w:rPr>
                <w:color w:val="000000"/>
              </w:rPr>
            </w:pPr>
            <w:r w:rsidRPr="0086041E">
              <w:rPr>
                <w:color w:val="000000"/>
              </w:rPr>
              <w:t xml:space="preserve">(скажем, сначала </w:t>
            </w:r>
          </w:p>
        </w:tc>
        <w:tc>
          <w:tcPr>
            <w:tcW w:w="900" w:type="pct"/>
            <w:vAlign w:val="center"/>
          </w:tcPr>
          <w:p w:rsidR="005D02C4" w:rsidRPr="0086041E" w:rsidRDefault="005D02C4" w:rsidP="00377F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E73D5">
              <w:rPr>
                <w:color w:val="000000"/>
              </w:rPr>
              <w:instrText xml:space="preserve"> INCLUDEPICTURE "C:\\www\\doc2html\\work\\КОНТЕНТ\\Папки\\социология\\ctr10-10.files\\potupa1.gif" \* MERGEFORMAT </w:instrText>
            </w:r>
            <w:r>
              <w:rPr>
                <w:color w:val="000000"/>
              </w:rPr>
              <w:fldChar w:fldCharType="separate"/>
            </w:r>
            <w:r w:rsidR="00B73A62">
              <w:rPr>
                <w:color w:val="000000"/>
              </w:rPr>
              <w:fldChar w:fldCharType="begin"/>
            </w:r>
            <w:r w:rsidR="00B73A62">
              <w:rPr>
                <w:color w:val="000000"/>
              </w:rPr>
              <w:instrText xml:space="preserve"> </w:instrText>
            </w:r>
            <w:r w:rsidR="00B73A62">
              <w:rPr>
                <w:color w:val="000000"/>
              </w:rPr>
              <w:instrText>INCLUDEPICTURE  "C:\\www\\doc2html\\work\\КОНТЕНТ\\Папки\\социология\\ctr10-10.files\\potupa1.gif" \* MERGE</w:instrText>
            </w:r>
            <w:r w:rsidR="00B73A62">
              <w:rPr>
                <w:color w:val="000000"/>
              </w:rPr>
              <w:instrText>FORMATINET</w:instrText>
            </w:r>
            <w:r w:rsidR="00B73A62">
              <w:rPr>
                <w:color w:val="000000"/>
              </w:rPr>
              <w:instrText xml:space="preserve"> </w:instrText>
            </w:r>
            <w:r w:rsidR="00B73A62">
              <w:rPr>
                <w:color w:val="000000"/>
              </w:rPr>
              <w:fldChar w:fldCharType="separate"/>
            </w:r>
            <w:r w:rsidR="00B73A62">
              <w:rPr>
                <w:color w:val="000000"/>
              </w:rPr>
              <w:pict>
                <v:shape id="_x0000_i1027" type="#_x0000_t75" alt="" style="width:51pt;height:16.5pt">
                  <v:imagedata r:id="rId8" r:href="rId9"/>
                </v:shape>
              </w:pict>
            </w:r>
            <w:r w:rsidR="00B73A62"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50" w:type="pct"/>
            <w:vAlign w:val="center"/>
          </w:tcPr>
          <w:p w:rsidR="005D02C4" w:rsidRPr="0086041E" w:rsidRDefault="005D02C4" w:rsidP="00377FD7">
            <w:pPr>
              <w:jc w:val="both"/>
              <w:rPr>
                <w:color w:val="000000"/>
              </w:rPr>
            </w:pPr>
            <w:r w:rsidRPr="0086041E">
              <w:rPr>
                <w:color w:val="000000"/>
              </w:rPr>
              <w:t xml:space="preserve">а позже - </w:t>
            </w:r>
          </w:p>
        </w:tc>
        <w:tc>
          <w:tcPr>
            <w:tcW w:w="1550" w:type="pct"/>
            <w:vAlign w:val="center"/>
          </w:tcPr>
          <w:p w:rsidR="005D02C4" w:rsidRPr="0086041E" w:rsidRDefault="005D02C4" w:rsidP="00377F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E73D5">
              <w:rPr>
                <w:color w:val="000000"/>
              </w:rPr>
              <w:instrText xml:space="preserve"> INCLUDEPICTURE "C:\\www\\doc2html\\work\\КОНТЕНТ\\Папки\\социология\\ctr10-10.files\\potupa1.gif" \* MERGEFORMAT </w:instrText>
            </w:r>
            <w:r>
              <w:rPr>
                <w:color w:val="000000"/>
              </w:rPr>
              <w:fldChar w:fldCharType="separate"/>
            </w:r>
            <w:r w:rsidR="00B73A62">
              <w:rPr>
                <w:color w:val="000000"/>
              </w:rPr>
              <w:fldChar w:fldCharType="begin"/>
            </w:r>
            <w:r w:rsidR="00B73A62">
              <w:rPr>
                <w:color w:val="000000"/>
              </w:rPr>
              <w:instrText xml:space="preserve"> </w:instrText>
            </w:r>
            <w:r w:rsidR="00B73A62">
              <w:rPr>
                <w:color w:val="000000"/>
              </w:rPr>
              <w:instrText>INCLUDEPICTURE  "C:\\www\\doc2html\\work\\КОНТЕНТ\\Папки\\социология\\ctr10-10.files\\potupa1.gif" \* MERGEFORMATINET</w:instrText>
            </w:r>
            <w:r w:rsidR="00B73A62">
              <w:rPr>
                <w:color w:val="000000"/>
              </w:rPr>
              <w:instrText xml:space="preserve"> </w:instrText>
            </w:r>
            <w:r w:rsidR="00B73A62">
              <w:rPr>
                <w:color w:val="000000"/>
              </w:rPr>
              <w:fldChar w:fldCharType="separate"/>
            </w:r>
            <w:r w:rsidR="00B73A62">
              <w:rPr>
                <w:color w:val="000000"/>
              </w:rPr>
              <w:pict>
                <v:shape id="_x0000_i1028" type="#_x0000_t75" alt="" style="width:51pt;height:16.5pt">
                  <v:imagedata r:id="rId8" r:href="rId10"/>
                </v:shape>
              </w:pict>
            </w:r>
            <w:r w:rsidR="00B73A62"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end"/>
            </w:r>
          </w:p>
        </w:tc>
      </w:tr>
    </w:tbl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, то есть наблюдатель и объект (или два cубъекта)</w:t>
      </w:r>
    </w:p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как бы меняются местами), что предполагает возможность пересчитать партнера, в определенной степени подчинить его своим замыслам. Если С будет заметно отклоняться от единицы (в любую сторону) мы можем подойти к ситуации, где один из субъектов игры становится фактически объектом управления. В наших конкретных делах, например, – плохо прогнозирующий развитие ситуации субъект политики становится ее объектом. </w:t>
      </w:r>
    </w:p>
    <w:p w:rsidR="005D02C4" w:rsidRPr="0086041E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Тут мы сталкиваемся еще с одной очень важной функцией прогноза – его программирующей компонентой. Что касается первой ситуации С «1 , она достаточно понятна. Наблюдатель (он же субъект и, при случае, оператор) может программировать параметры движения и преобразования объекта, если последний доступен управлению хотя бы на какой фазе движения. То есть туманность Андромеды – это вряд ли, а вот в артиллерии этим и заняты – управляют, скажем, дальностью огня. Но снаряд или велосипед не реагируют на прогнозы (иногда весьма печальные) по поводу их будущего. </w:t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3"/>
        <w:gridCol w:w="1322"/>
      </w:tblGrid>
      <w:tr w:rsidR="005D02C4" w:rsidRPr="0086041E" w:rsidTr="00377FD7">
        <w:trPr>
          <w:tblCellSpacing w:w="0" w:type="dxa"/>
        </w:trPr>
        <w:tc>
          <w:tcPr>
            <w:tcW w:w="4300" w:type="pct"/>
            <w:vAlign w:val="center"/>
          </w:tcPr>
          <w:p w:rsidR="005D02C4" w:rsidRPr="0086041E" w:rsidRDefault="005D02C4" w:rsidP="00377FD7">
            <w:pPr>
              <w:jc w:val="both"/>
              <w:rPr>
                <w:color w:val="000000"/>
              </w:rPr>
            </w:pPr>
            <w:r w:rsidRPr="0086041E">
              <w:rPr>
                <w:color w:val="000000"/>
              </w:rPr>
              <w:t>Более интересной и полезной для наших целей задача становится тогда, когда С</w:t>
            </w:r>
          </w:p>
        </w:tc>
        <w:tc>
          <w:tcPr>
            <w:tcW w:w="700" w:type="pct"/>
            <w:vAlign w:val="center"/>
          </w:tcPr>
          <w:p w:rsidR="005D02C4" w:rsidRPr="0086041E" w:rsidRDefault="005D02C4" w:rsidP="00377FD7">
            <w:pPr>
              <w:jc w:val="both"/>
              <w:rPr>
                <w:color w:val="000000"/>
              </w:rPr>
            </w:pPr>
            <w:r w:rsidRPr="0086041E">
              <w:rPr>
                <w:color w:val="000000"/>
              </w:rPr>
              <w:t>1. Система</w:t>
            </w:r>
          </w:p>
        </w:tc>
      </w:tr>
    </w:tbl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поощрений и угроз, явно или неявно содержащихся в прогнозе (иногда не имеющем серьезной сценарной разработки и лишь тактически программирующем партнера), публикуемом одной из сторон, может привести партнера по игре к существенному изменению поведения в желательную для прогнозиста сторону. Развитие этой тенденции может превратить слабого партнера в управляемый объект – хотя бы на некоторое время и для ограниченного сектора целей. Его подготовка и психологическая конституция могут не позволить оказать сопротивление, отказаться от индуцированных сценариев и связанных с ними потерь. В некотором плане речь идет об уровне футурогенного иммунитета. Его дефицит практически неизбежно ведет к упомянутой трансформации. Если учесть, что в обществе всегда находится немалый процент иммунодефицитных членов, они и составляют прекрасную базу для политических, религиозных и коммерческих манипуляций. Не менее опасен и иммунопрофицит, отторгающий любые сколь угодно важные и хорошо проработанные прогнозы. Хочу подчеркнуть, что общество по этому параметру обычно довольно сильно размыто, и группы с дефицитом и профицитом критического восприятия прогноза (в более простом образе –легко внушаемые и отражающие) требуют разного подхода. Оперативное различение реального и ложного прогнозов требует определенной подготовки, в том числе психологической, а по сути – внедрения на том или ином уровне в систему массового образования. О роли программирующей функции прогноза в качестве т.н. «информационного оружия» и его использовании в эволюционных войнах следует говорить отдельно – эта тема тесно связана с различными сценариями процесса глобализации.</w:t>
      </w:r>
    </w:p>
    <w:p w:rsidR="005D02C4" w:rsidRPr="0086041E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Мы практически не касаемся здесь иного предельного случая – С»1. В принципе, чрезвычайно </w:t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5195"/>
      </w:tblGrid>
      <w:tr w:rsidR="005D02C4" w:rsidRPr="0086041E" w:rsidTr="00377FD7">
        <w:trPr>
          <w:tblCellSpacing w:w="0" w:type="dxa"/>
        </w:trPr>
        <w:tc>
          <w:tcPr>
            <w:tcW w:w="2250" w:type="pct"/>
            <w:vAlign w:val="center"/>
          </w:tcPr>
          <w:p w:rsidR="005D02C4" w:rsidRPr="0086041E" w:rsidRDefault="005D02C4" w:rsidP="00377FD7">
            <w:pPr>
              <w:jc w:val="both"/>
              <w:rPr>
                <w:color w:val="000000"/>
              </w:rPr>
            </w:pPr>
            <w:r w:rsidRPr="0086041E">
              <w:rPr>
                <w:color w:val="000000"/>
              </w:rPr>
              <w:t>интересного. Видимо, где-то на уровне С</w:t>
            </w:r>
          </w:p>
        </w:tc>
        <w:tc>
          <w:tcPr>
            <w:tcW w:w="2750" w:type="pct"/>
            <w:vAlign w:val="center"/>
          </w:tcPr>
          <w:p w:rsidR="005D02C4" w:rsidRPr="0086041E" w:rsidRDefault="005D02C4" w:rsidP="00377FD7">
            <w:pPr>
              <w:jc w:val="both"/>
              <w:rPr>
                <w:color w:val="000000"/>
              </w:rPr>
            </w:pPr>
            <w:r w:rsidRPr="0086041E">
              <w:rPr>
                <w:color w:val="000000"/>
              </w:rPr>
              <w:t>1 проходит своеобразная «красная черта»</w:t>
            </w:r>
            <w:r>
              <w:rPr>
                <w:color w:val="000000"/>
              </w:rPr>
              <w:t xml:space="preserve"> </w:t>
            </w:r>
          </w:p>
        </w:tc>
      </w:tr>
    </w:tbl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рационального прогноза. Далее следует все более недоступная прогнозу область, для описания которой как минимум просто не хватает семантической базы. Наблюдатель в любом случае стремится дойти до пределов своего воображения, но узость семантической базы не дает ему возможности сформировать что-либо, отличное от мифа. В современном исполнении это может выглядеть как научная фантастика на тему сверхразвитых пришельцев или цивилизаций галактического масштаба. Сути дела это практически не меняет, и даже остается в качестве общего элемента слегка гипертрофированная антропоморфная основа. Несомненная польза, вытекающая из обсуждения этого предела – серьезная стимуляция к самоусложнению, индивидуальному и цивилизационному. </w:t>
      </w:r>
    </w:p>
    <w:p w:rsidR="005D02C4" w:rsidRPr="0086041E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В любом случае наблюдаемое ускорение развития цивилизации и возрастающая ответственность в принятии масштабных решений усиливают нагрузку на форекастинг, делают его все более распространенным и жизненно важным на все уровнях общества. Лидирующие позиции Евро-Атлантического Сообщества во многом обусловлены как раз развитостью форекастинговых структур, причем суть не только в нескольких сотнях специальных центров, подразделений и кафедр, профессионально сконцентрированных на данных проблемах. Дело и в массовом внедрении футурологических идей в конкретную локальную работу. Руководитель маркетинга – либо хороший прогнозист, либо безработный. Практически те же моменты касаются игроков на финансовом, фондовом и всех прочих рынках. Касаются домохозяйку, планирующую семейный бюджет и серьезные покупки. Приобретение дома в рассрочку основано на прогнозе хозяина, что в ближайшие 20 лет он будет обеспечен достаточно стабильной и высокооплачиваемой работой, а это, в свою очередь, заставляет его жить по возможности в максимальном соответствии с собственным прогнозом. И уж, конечно же, очень приличные способности к прогнозу требуются политическому лидеру, по крайней мере, умение и желание пользовать услугами профессиональных форекастинг-экспертов.</w:t>
      </w:r>
    </w:p>
    <w:p w:rsidR="005D02C4" w:rsidRPr="007318C0" w:rsidRDefault="005D02C4" w:rsidP="005D02C4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7318C0">
        <w:rPr>
          <w:b/>
          <w:bCs/>
          <w:color w:val="000000"/>
          <w:sz w:val="28"/>
          <w:szCs w:val="28"/>
        </w:rPr>
        <w:t>Некоторые методы</w:t>
      </w:r>
    </w:p>
    <w:p w:rsidR="005D02C4" w:rsidRPr="007318C0" w:rsidRDefault="005D02C4" w:rsidP="005D02C4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7318C0">
        <w:rPr>
          <w:b/>
          <w:bCs/>
          <w:color w:val="000000"/>
          <w:sz w:val="28"/>
          <w:szCs w:val="28"/>
        </w:rPr>
        <w:t>Об аналогиях</w:t>
      </w:r>
    </w:p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Аналогия лежит в основе познавательного процесса. Любому наблюдаемому явлению мы сразу пытаемся сопоставить что-то схожим в нашем предыдущем опыте. Разумеется, в прогнозировании аналогия занимает также почетное место</w:t>
      </w:r>
    </w:p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Простейший из аналоговых подходов – экстраполяция предшествующей картины, относительно гладкое распространение прошлого на будущее. При возникновении особых ситуаций часто привлекают ситуационные аналогии из более широкого круга явлений. Но, строго говоря, и в таком случае аналогия требует адаптации – прямое пересаживание ее на новую почву может оказаться весьма непродуктивным, привести к прогнозу крайне маловероятной ситуации. Поэтому, в конечном счете, необходимо вести более общее моделирование, определять доминантные факторы воздействия, ведущие к наиболее вероятным сценариям. </w:t>
      </w:r>
    </w:p>
    <w:p w:rsidR="005D02C4" w:rsidRPr="0086041E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В нашей теме – характерные примеры переломных ситуаций, скажем качественной трансформации ряда стран Восточной Европы. В рядах отечественной политической оппозиции почти эпидемически развивались вспышки прогнозов – будет «бархатная Прага», белградский вариант, варшавская модель, «бухарестская революция», и т. п. На что последовательно и предлагалось ориентироваться, обычно каждый на что-нибудь новое. К сожалению, во всех случаях отсутствовала модельная проработка, и практически не учитывались определяющие факторы развития событий у бывших собратьев по соцлагерю. Например, мощнейший антиоккупационный синдром, характерный для ныне наиболее продвинувшихся в Европу Чехии, Венгрии и Польши (весьма характерный также и для республик Балтии). Или цепочка весьма кровавых войн, начавшихся с бомбардировки Любляны и потрясавших распадавшуюся бывшую Большую Югославию на протяжении многих лет.</w:t>
      </w:r>
    </w:p>
    <w:p w:rsidR="005D02C4" w:rsidRPr="007318C0" w:rsidRDefault="005D02C4" w:rsidP="005D02C4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7318C0">
        <w:rPr>
          <w:b/>
          <w:bCs/>
          <w:color w:val="000000"/>
          <w:sz w:val="28"/>
          <w:szCs w:val="28"/>
        </w:rPr>
        <w:t>И еще о проблемах</w:t>
      </w:r>
    </w:p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Возвращаясь к проблеме скептиков, надо подчеркнуть, что ими часто руководит особенно наглядное в экстраполятивном методе прогнозирования соображение – сценарии будущего как бы и не являются особыми конструктами, поскольку целиком смонтированы из полученного в прошлом позитивного, то есть проверенного опытом, знания. Что, в общем, вполне верно, но проблема в том, что каждый опыт непременно ставился относительно того или иного прогноза, то есть всегда был проверкой определенного сценария. Именно эта относительность и взаимосвязь и создает новое знание (в том числе распространяет известные закономерности на более широкий интервал параметров). И в этом плане прогноз естественным образом входит в любое полученное опытным (точнее – опытно-прогностическим!) путем позитивное знание. </w:t>
      </w:r>
    </w:p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Спор о первичности опыта или теоретической прогнозной модели того же порядка, что и известная борьба первичностей – материи или духа. Физикалистски настроенным людям свойственно – зачастую неявно, чтобы не обозначать свою онтологическую позицию - считать материю первичной, эксперимент – также, а, соответственно, прошлое – чем-то более фундаментальным, чем будущее (и даже признавать за историей черты научности в отличие от той же футурологии…). </w:t>
      </w:r>
    </w:p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В конечном счете, реальность того или иного явления оценивается по его влиянию на систему, которую можно определить в качестве прибора, уровню конвенциальности (в основном единообразному признанию в достаточно широком круге экспертов) и прогнозной эффективности. И с этой точки зрения, реальность конструктов, определяющих прогнозные сценарии, может быть не менее велика, чем при рассмотрении более привычных объектов в рамках прошлого. Сомневающимся можно предложить простое, хотя и неприятное воспоминание о событиях рывка с работы (или из другого места) в связи с невыключенностью домашнего утюга. Который на самом деле мог оказаться и мирно выключенным, что, увы, выяснялось только после реализации одного из сценариев.</w:t>
      </w:r>
    </w:p>
    <w:p w:rsidR="005D02C4" w:rsidRPr="0086041E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>Не вдаваясь в глубину возможных философских дискуссий на данные темы, замечу, что как раз осознание отмеченной взаимосвязи прогноза и опыта - своеобразного принципа относительности опыта в поле прогностических сценариев – представляется одним из крупнейших достижений конца пошлого века. Особо актуальным для эпохи, когда прогнозная компонента любого продукта существенно увеличивается просто в связи с резким возрастанием темпа развития цивилизации.</w:t>
      </w:r>
    </w:p>
    <w:p w:rsidR="005D02C4" w:rsidRPr="007318C0" w:rsidRDefault="005D02C4" w:rsidP="005D02C4">
      <w:pPr>
        <w:spacing w:before="120"/>
        <w:jc w:val="center"/>
        <w:rPr>
          <w:b/>
          <w:bCs/>
          <w:color w:val="000000"/>
          <w:sz w:val="28"/>
          <w:szCs w:val="28"/>
        </w:rPr>
      </w:pPr>
      <w:r w:rsidRPr="007318C0">
        <w:rPr>
          <w:b/>
          <w:bCs/>
          <w:color w:val="000000"/>
          <w:sz w:val="28"/>
          <w:szCs w:val="28"/>
        </w:rPr>
        <w:t>О распределении ролей</w:t>
      </w:r>
    </w:p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Если говорить о распределении ролей, то в связке аналитик-форекастер, политтехнолог-политик часто используются аналогии строительного (соответственно, архитектор, инженер-проектировщик-прораб) или театрального (соответственно, сценарист, режиссер, актер) характера, Весьма емкие, но, разумеется, условные, как и все, что связано с аналогиями. Существенно здесь то, что данные функции могут и совмещаться в одном лице – природа знает многообразно одаренных людей. Но в основном это нежелательно, поскольку, во-первых, трудно стать опытным профессионалом во все трех направлениях, во-вторых, у политика всегда есть опасность сильного искажения прогноза, когда в его поле находится он сам. По крайней мере, в публичных выступлениях он вынужден всегда держаться на неком чрезмерно оптимистическом уровне относительно себя и не менее чрезмерно подчеркивать недостатки оппонентов. </w:t>
      </w:r>
    </w:p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Аналитик-форекастер, который должен (и может) создать модель с доминантными факторами развития ситуации, - весьма редкое явление, большинство действующих аналитиков относятся к категории так называемых «обозревателей», которые могут пользоваться достаточно серьезными источниками информации, но в сфере самостоятельного прогноза обычно дальше простейшей экстраполяции не идут, хотя могут оказать существенную помощь в детализации собственно прогностической модели. Хорошо просчитанный общий сценарий позволяет плодотворно поработать технологам, определяя оптимальные пути достижения намеченных позиций, скажем, конкретные акции по взаимодействию с электоратом, масс-медиа, оппонентами. Если политики не имеют времени и (или) финансовых ресурсов на создание такой команды, а хуже всего – понимания в ее необходимости, их шансы на успех крайне малы. </w:t>
      </w:r>
    </w:p>
    <w:p w:rsidR="005D02C4" w:rsidRDefault="005D02C4" w:rsidP="005D02C4">
      <w:pPr>
        <w:spacing w:before="120"/>
        <w:ind w:firstLine="567"/>
        <w:jc w:val="both"/>
        <w:rPr>
          <w:color w:val="000000"/>
        </w:rPr>
      </w:pPr>
      <w:r w:rsidRPr="0086041E">
        <w:rPr>
          <w:color w:val="000000"/>
        </w:rPr>
        <w:t xml:space="preserve">Очень важен детальный анализ предыдущего – пусть и крайне неприятного – опыта. Те, кто пытается развернуть кампанию в пожарном порядке, обычно выступают под лозунгом – «нечего копаться в прошлых проблемах, надо смотреть в будущее!» Им следует обратить внимание на работу анлитиков-катастрофистов в службах спасения. Можно считать, конечно, что некий самолет упал фатально – такова данная часть истории, и точка, другой просто нет… К счастью, в упомянутых службах глубоко верят в альтернативную (или вариантную) историю и изучают причины катастроф, чтобы предложить необходимые улучшения в конструкцию самолета, работу диспетчеров, условия посадки, организацию спасательных работ и т.п. В этом плане уроки истории в высшей степени полезны. Кроме той истории, которая «не знает сослагательного наклонения». Не забудем, что именно мудрые пытаются учиться на чужих ошибках.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2C4"/>
    <w:rsid w:val="00377FD7"/>
    <w:rsid w:val="003F3287"/>
    <w:rsid w:val="004E73D5"/>
    <w:rsid w:val="004F58C2"/>
    <w:rsid w:val="005D02C4"/>
    <w:rsid w:val="007318C0"/>
    <w:rsid w:val="0086041E"/>
    <w:rsid w:val="00B73A62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05F82FE-CBD0-4BE8-9CBA-229F986D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C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02C4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../../&#1050;&#1054;&#1053;&#1058;&#1045;&#1053;&#1058;/&#1055;&#1072;&#1087;&#1082;&#1080;/&#1089;&#1086;&#1094;&#1080;&#1086;&#1083;&#1086;&#1075;&#1080;&#1103;/ctr10-10.files/potupa4.g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../../&#1050;&#1054;&#1053;&#1058;&#1045;&#1053;&#1058;/&#1055;&#1072;&#1087;&#1082;&#1080;/&#1089;&#1086;&#1094;&#1080;&#1086;&#1083;&#1086;&#1075;&#1080;&#1103;/ctr10-10.files/potupa3.gif" TargetMode="External"/><Relationship Id="rId10" Type="http://schemas.openxmlformats.org/officeDocument/2006/relationships/image" Target="../../&#1050;&#1054;&#1053;&#1058;&#1045;&#1053;&#1058;/&#1055;&#1072;&#1087;&#1082;&#1080;/&#1089;&#1086;&#1094;&#1080;&#1086;&#1083;&#1086;&#1075;&#1080;&#1103;/ctr10-10.files/potupa1.gif" TargetMode="External"/><Relationship Id="rId4" Type="http://schemas.openxmlformats.org/officeDocument/2006/relationships/image" Target="media/image1.png"/><Relationship Id="rId9" Type="http://schemas.openxmlformats.org/officeDocument/2006/relationships/image" Target="../../&#1050;&#1054;&#1053;&#1058;&#1045;&#1053;&#1058;/&#1055;&#1072;&#1087;&#1082;&#1080;/&#1089;&#1086;&#1094;&#1080;&#1086;&#1083;&#1086;&#1075;&#1080;&#1103;/ctr10-10.files/potupa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14117</Words>
  <Characters>8047</Characters>
  <Application>Microsoft Office Word</Application>
  <DocSecurity>0</DocSecurity>
  <Lines>67</Lines>
  <Paragraphs>44</Paragraphs>
  <ScaleCrop>false</ScaleCrop>
  <Company>Home</Company>
  <LinksUpToDate>false</LinksUpToDate>
  <CharactersWithSpaces>22120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Прогноз: игры аналитиков, технологов и политиков  </dc:title>
  <dc:subject/>
  <dc:creator>User</dc:creator>
  <cp:keywords/>
  <dc:description/>
  <cp:lastModifiedBy>admin</cp:lastModifiedBy>
  <cp:revision>2</cp:revision>
  <dcterms:created xsi:type="dcterms:W3CDTF">2014-01-25T20:00:00Z</dcterms:created>
  <dcterms:modified xsi:type="dcterms:W3CDTF">2014-01-25T20:00:00Z</dcterms:modified>
</cp:coreProperties>
</file>