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Производство бетонных работ</w:t>
      </w:r>
    </w:p>
    <w:p w:rsidR="003A1D1A" w:rsidRDefault="003A1D1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Курсовой проект</w:t>
      </w:r>
    </w:p>
    <w:p w:rsidR="003A1D1A" w:rsidRDefault="003A1D1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 студент группы 5011/1 Гиргидов А.А.</w:t>
      </w:r>
    </w:p>
    <w:p w:rsidR="003A1D1A" w:rsidRDefault="003A1D1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Санкт-Петербургский Государственный Технический Университет</w:t>
      </w:r>
    </w:p>
    <w:p w:rsidR="003A1D1A" w:rsidRDefault="003A1D1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Инженерно-строительный факультет</w:t>
      </w:r>
    </w:p>
    <w:p w:rsidR="003A1D1A" w:rsidRDefault="003A1D1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технологии, организации и экономики гидротехнического строительства</w:t>
      </w:r>
    </w:p>
    <w:p w:rsidR="003A1D1A" w:rsidRDefault="003A1D1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Санкт-Петербург</w:t>
      </w:r>
    </w:p>
    <w:p w:rsidR="003A1D1A" w:rsidRDefault="003A1D1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1999 г.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Исходные данные.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проекте рассматривается высоконапорный гидроузел.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Основное рассматриваемое сооружение – арочно-гравитационная плотина высотой </w:t>
      </w:r>
      <w:r w:rsidR="009711C4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fillcolor="window">
            <v:imagedata r:id="rId5" o:title=""/>
          </v:shape>
        </w:pict>
      </w:r>
      <w:r>
        <w:rPr>
          <w:color w:val="000000"/>
        </w:rPr>
        <w:t>м.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Дана основная порода карьера крупного заполнителя: базальт с плотностью </w:t>
      </w:r>
      <w:r w:rsidR="009711C4">
        <w:rPr>
          <w:color w:val="000000"/>
        </w:rPr>
        <w:pict>
          <v:shape id="_x0000_i1026" type="#_x0000_t75" style="width:57pt;height:18pt" fillcolor="window">
            <v:imagedata r:id="rId6" o:title=""/>
          </v:shape>
        </w:pict>
      </w:r>
      <w:r>
        <w:rPr>
          <w:color w:val="000000"/>
        </w:rPr>
        <w:t>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Этапы возведения сооружения и объемы работ (общие и по этапам).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Этапы возведения сооружения.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Возведение сооружения проходит по следующим временным этапам: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Возведение перемычки первой очереди и сужение русла;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Возведение глухой и водосливной части плотины до отметок временного порога;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Перекрытие русла и пропуск строительных расходов через временный порог;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Сооружение станционной и глухой части плотины;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Окончательное сооружение глухой, водосливной и станционной частей плотины и набор водохранилища.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Объемы работ.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Полный объем работ составляет: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80.25pt;height:18pt" fillcolor="window">
            <v:imagedata r:id="rId7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включает в себя: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Объем глухой части </w:t>
      </w:r>
      <w:r w:rsidR="009711C4">
        <w:rPr>
          <w:color w:val="000000"/>
        </w:rPr>
        <w:pict>
          <v:shape id="_x0000_i1028" type="#_x0000_t75" style="width:83.25pt;height:18pt" fillcolor="window">
            <v:imagedata r:id="rId8" o:title=""/>
          </v:shape>
        </w:pic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Объем водосливной части </w:t>
      </w:r>
      <w:r w:rsidR="009711C4">
        <w:rPr>
          <w:color w:val="000000"/>
        </w:rPr>
        <w:pict>
          <v:shape id="_x0000_i1029" type="#_x0000_t75" style="width:78.75pt;height:18pt" fillcolor="window">
            <v:imagedata r:id="rId9" o:title=""/>
          </v:shape>
        </w:pic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Объем станционной части </w:t>
      </w:r>
      <w:r w:rsidR="009711C4">
        <w:rPr>
          <w:color w:val="000000"/>
        </w:rPr>
        <w:pict>
          <v:shape id="_x0000_i1030" type="#_x0000_t75" style="width:78pt;height:18pt" fillcolor="window">
            <v:imagedata r:id="rId10" o:title=""/>
          </v:shape>
        </w:pict>
      </w:r>
      <w:r>
        <w:rPr>
          <w:color w:val="000000"/>
        </w:rPr>
        <w:t>м</w:t>
      </w:r>
      <w:r>
        <w:rPr>
          <w:color w:val="000000"/>
          <w:vertAlign w:val="superscript"/>
        </w:rPr>
        <w:t>3</w:t>
      </w:r>
      <w:r>
        <w:rPr>
          <w:color w:val="000000"/>
        </w:rPr>
        <w:t>;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Зональное распределение бетона.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Распределение бетона по зонам показано на рисунках 1.1., 1.2., 1.3. для глухой, станционной и водосливной части соответственно.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рисунках обозначены зоны: 1. - Зона морозостойкого бетона; 2. – Зона бетона с пониженным тепловыделением; 3. – Зона водонепроницаемого бетона; 4. – Зона кавитационностойкого бетона.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Подбор состава бетона для одной из марок.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Подберем состав бетона для напорной грани плотины. Из пункта 1.3. принимаем бетон марки М400. 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Подбор крупного заполнителя.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Крупный заполнитель – базальтовый щебень </w:t>
      </w:r>
      <w:r w:rsidR="009711C4">
        <w:rPr>
          <w:color w:val="000000"/>
        </w:rPr>
        <w:pict>
          <v:shape id="_x0000_i1031" type="#_x0000_t75" style="width:57pt;height:18pt" fillcolor="window">
            <v:imagedata r:id="rId6" o:title=""/>
          </v:shape>
        </w:pict>
      </w:r>
      <w:r>
        <w:rPr>
          <w:color w:val="000000"/>
        </w:rPr>
        <w:t>кг/м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(п. 1.1.).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плотности бетона.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Плотность бетона определяется из условия: </w:t>
      </w:r>
      <w:r w:rsidR="009711C4">
        <w:rPr>
          <w:color w:val="000000"/>
        </w:rPr>
        <w:pict>
          <v:shape id="_x0000_i1032" type="#_x0000_t75" style="width:1in;height:15.75pt" fillcolor="window">
            <v:imagedata r:id="rId11" o:title=""/>
          </v:shape>
        </w:pic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Принимаем конструкции как массивные армированные, с содержанием арматуры до 0.5%, а также максимальная крупность заполнителя равна 80мм.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условия выше и по [1, т.2.] выбираем бетоносмесители: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Смеситель цикличного действия, гравитационный с объемом готового замеса 165 л;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Смеситель непрерывного действия с принудительным перемешиванием.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Отсюда, по [1, т.1.] находим объемную плотность бетона </w:t>
      </w:r>
      <w:r w:rsidR="009711C4">
        <w:rPr>
          <w:color w:val="000000"/>
        </w:rPr>
        <w:pict>
          <v:shape id="_x0000_i1033" type="#_x0000_t75" style="width:48.75pt;height:14.25pt" fillcolor="window">
            <v:imagedata r:id="rId12" o:title=""/>
          </v:shape>
        </w:pict>
      </w:r>
      <w:r>
        <w:rPr>
          <w:color w:val="000000"/>
        </w:rPr>
        <w:t>т/м</w:t>
      </w:r>
      <w:r>
        <w:rPr>
          <w:color w:val="000000"/>
          <w:vertAlign w:val="superscript"/>
        </w:rPr>
        <w:t>3</w:t>
      </w:r>
      <w:r>
        <w:rPr>
          <w:color w:val="000000"/>
        </w:rPr>
        <w:t>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жесткости (осадки конуса).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реальных условий осадка конуса (ОК) определяется в лабораторных условиях. Основываясь на нормативных документах, в рамках курсового проекта назначаем ОК=4 см [1, т.3.]. 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водоцементного отношения (В/Ц).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прочности, </w:t>
      </w:r>
      <w:r w:rsidR="009711C4">
        <w:rPr>
          <w:color w:val="000000"/>
        </w:rPr>
        <w:pict>
          <v:shape id="_x0000_i1034" type="#_x0000_t75" style="width:24pt;height:26.25pt" fillcolor="window">
            <v:imagedata r:id="rId13" o:title=""/>
          </v:shape>
        </w:pict>
      </w:r>
      <w:r>
        <w:rPr>
          <w:color w:val="000000"/>
        </w:rPr>
        <w:t xml:space="preserve"> определяется по формуле [1, с.28]: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107.25pt;height:36pt" fillcolor="window">
            <v:imagedata r:id="rId14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36" type="#_x0000_t75" style="width:15pt;height:18.75pt" fillcolor="window">
            <v:imagedata r:id="rId15" o:title=""/>
          </v:shape>
        </w:pict>
      </w:r>
      <w:r>
        <w:rPr>
          <w:color w:val="000000"/>
        </w:rPr>
        <w:t>- прочность цемента (кгс/см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);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7" type="#_x0000_t75" style="width:15.75pt;height:18pt" fillcolor="window">
            <v:imagedata r:id="rId16" o:title=""/>
          </v:shape>
        </w:pict>
      </w:r>
      <w:r w:rsidR="003A1D1A">
        <w:rPr>
          <w:color w:val="000000"/>
        </w:rPr>
        <w:t xml:space="preserve"> - прочность бетона в возрасте 28 суток (кгс/см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[1, т.4] определяем, </w:t>
      </w:r>
      <w:r>
        <w:rPr>
          <w:color w:val="000000"/>
          <w:lang w:val="en-US"/>
        </w:rPr>
        <w:t>R</w:t>
      </w:r>
      <w:r>
        <w:rPr>
          <w:color w:val="000000"/>
          <w:vertAlign w:val="subscript"/>
        </w:rPr>
        <w:t>28</w:t>
      </w:r>
      <w:r>
        <w:rPr>
          <w:color w:val="000000"/>
        </w:rPr>
        <w:t>=600 кгс/см</w:t>
      </w:r>
      <w:r>
        <w:rPr>
          <w:color w:val="000000"/>
          <w:vertAlign w:val="superscript"/>
        </w:rPr>
        <w:t>2</w:t>
      </w:r>
      <w:r>
        <w:rPr>
          <w:color w:val="000000"/>
        </w:rPr>
        <w:t>, откуда получаем: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38" type="#_x0000_t75" style="width:150.75pt;height:30.75pt" fillcolor="window">
            <v:imagedata r:id="rId17" o:title=""/>
          </v:shape>
        </w:pic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водоцементного отношения по водонепроницаемости и морозостойкости.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таблице 6 [1] определяем предельное значение </w:t>
      </w:r>
      <w:r w:rsidR="009711C4">
        <w:rPr>
          <w:color w:val="000000"/>
        </w:rPr>
        <w:pict>
          <v:shape id="_x0000_i1039" type="#_x0000_t75" style="width:24pt;height:26.25pt" fillcolor="window">
            <v:imagedata r:id="rId13" o:title=""/>
          </v:shape>
        </w:pict>
      </w:r>
      <w:r>
        <w:rPr>
          <w:color w:val="000000"/>
        </w:rPr>
        <w:t xml:space="preserve"> для массивных гравитационных сооружений, в зоне переменного уровня сооружения в суровых климатических условиях: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pict>
          <v:shape id="_x0000_i1040" type="#_x0000_t75" style="width:68.25pt;height:30pt" fillcolor="window">
            <v:imagedata r:id="rId18" o:title=""/>
          </v:shape>
        </w:pic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Уточнение водоцементного отношения.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данным пунктов 1.4.4. и 1.4.5. выбираем наименьшее </w:t>
      </w:r>
      <w:r w:rsidR="009711C4">
        <w:rPr>
          <w:color w:val="000000"/>
        </w:rPr>
        <w:pict>
          <v:shape id="_x0000_i1041" type="#_x0000_t75" style="width:24pt;height:26.25pt" fillcolor="window">
            <v:imagedata r:id="rId13" o:title=""/>
          </v:shape>
        </w:pict>
      </w:r>
      <w:r>
        <w:rPr>
          <w:color w:val="000000"/>
        </w:rPr>
        <w:t xml:space="preserve"> и округляем: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42" type="#_x0000_t75" style="width:51pt;height:26.25pt" fillcolor="window">
            <v:imagedata r:id="rId19" o:title=""/>
          </v:shape>
        </w:pic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водопотребности бетона (В).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таблице 7 [1] по максимальной крупности заполнителя определяем водопотребность для базового состава бетона: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43" type="#_x0000_t75" style="width:44.25pt;height:14.25pt" fillcolor="window">
            <v:imagedata r:id="rId20" o:title=""/>
          </v:shape>
        </w:pict>
      </w:r>
      <w:r w:rsidR="003A1D1A">
        <w:rPr>
          <w:color w:val="000000"/>
        </w:rPr>
        <w:t>,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44" type="#_x0000_t75" style="width:41.25pt;height:14.25pt" fillcolor="window">
            <v:imagedata r:id="rId21" o:title=""/>
          </v:shape>
        </w:pict>
      </w:r>
      <w:r w:rsidR="003A1D1A">
        <w:rPr>
          <w:color w:val="000000"/>
        </w:rPr>
        <w:t xml:space="preserve"> л/м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уточнения водопотребности бетона по таблице 8 [1] необходимо: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Определить модуль крупности песка.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кривой гранулометрического состава определяем модуль крупности </w:t>
      </w:r>
      <w:r w:rsidR="009711C4">
        <w:rPr>
          <w:color w:val="000000"/>
        </w:rPr>
        <w:pict>
          <v:shape id="_x0000_i1045" type="#_x0000_t75" style="width:17.25pt;height:18pt" fillcolor="window">
            <v:imagedata r:id="rId22" o:title=""/>
          </v:shape>
        </w:pic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46" type="#_x0000_t75" style="width:45.75pt;height:18pt" fillcolor="window">
            <v:imagedata r:id="rId23" o:title=""/>
          </v:shape>
        </w:pic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Определить процентное содержание песка </w:t>
      </w:r>
      <w:r>
        <w:rPr>
          <w:color w:val="000000"/>
          <w:lang w:val="en-US"/>
        </w:rPr>
        <w:t>r</w:t>
      </w:r>
      <w:r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По отношению к </w:t>
      </w:r>
      <w:r w:rsidR="009711C4">
        <w:rPr>
          <w:color w:val="000000"/>
        </w:rPr>
        <w:pict>
          <v:shape id="_x0000_i1047" type="#_x0000_t75" style="width:57pt;height:26.25pt" fillcolor="window">
            <v:imagedata r:id="rId24" o:title=""/>
          </v:shape>
        </w:pict>
      </w:r>
      <w:r>
        <w:rPr>
          <w:color w:val="000000"/>
        </w:rPr>
        <w:t xml:space="preserve">, полученное </w:t>
      </w:r>
      <w:r w:rsidR="009711C4">
        <w:rPr>
          <w:color w:val="000000"/>
        </w:rPr>
        <w:pict>
          <v:shape id="_x0000_i1048" type="#_x0000_t75" style="width:51pt;height:26.25pt" fillcolor="window">
            <v:imagedata r:id="rId25" o:title=""/>
          </v:shape>
        </w:pict>
      </w:r>
      <w:r>
        <w:rPr>
          <w:color w:val="000000"/>
        </w:rPr>
        <w:t xml:space="preserve"> на 0.05 меньше, следовательно, уменьшаем стандартное </w:t>
      </w:r>
      <w:r w:rsidR="009711C4">
        <w:rPr>
          <w:color w:val="000000"/>
        </w:rPr>
        <w:pict>
          <v:shape id="_x0000_i1049" type="#_x0000_t75" style="width:44.25pt;height:14.25pt" fillcolor="window">
            <v:imagedata r:id="rId26" o:title=""/>
          </v:shape>
        </w:pict>
      </w:r>
      <w:r>
        <w:rPr>
          <w:color w:val="000000"/>
        </w:rPr>
        <w:t xml:space="preserve"> на 1%, из чего следует: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0" type="#_x0000_t75" style="width:44.25pt;height:14.25pt" fillcolor="window">
            <v:imagedata r:id="rId27" o:title=""/>
          </v:shape>
        </w:pic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Сравнить стандартную ОК с полученной.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Стандартная </w:t>
      </w:r>
      <w:r w:rsidR="009711C4">
        <w:rPr>
          <w:color w:val="000000"/>
        </w:rPr>
        <w:pict>
          <v:shape id="_x0000_i1051" type="#_x0000_t75" style="width:39.75pt;height:14.25pt" fillcolor="window">
            <v:imagedata r:id="rId28" o:title=""/>
          </v:shape>
        </w:pict>
      </w:r>
      <w:r>
        <w:rPr>
          <w:color w:val="000000"/>
        </w:rPr>
        <w:t xml:space="preserve">см, что на 2 см больше чем полученная ОК. Следовательно, необходимо уменьшить процентное содержание песка на 0.5% и уменшить содержание воды на 2.4%. 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Окончательные данные.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Итого получаем: 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2" type="#_x0000_t75" style="width:53.25pt;height:14.25pt" fillcolor="window">
            <v:imagedata r:id="rId29" o:title=""/>
          </v:shape>
        </w:pict>
      </w:r>
      <w:r w:rsidR="003A1D1A">
        <w:rPr>
          <w:color w:val="000000"/>
        </w:rPr>
        <w:t>,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3" type="#_x0000_t75" style="width:132pt;height:14.25pt" fillcolor="window">
            <v:imagedata r:id="rId30" o:title=""/>
          </v:shape>
        </w:pict>
      </w:r>
      <w:r w:rsidR="003A1D1A">
        <w:rPr>
          <w:color w:val="000000"/>
        </w:rPr>
        <w:t xml:space="preserve"> л/м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расхода цемента (Ц).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4" type="#_x0000_t75" style="width:147pt;height:41.25pt" fillcolor="window">
            <v:imagedata r:id="rId31" o:title=""/>
          </v:shape>
        </w:pict>
      </w:r>
      <w:r w:rsidR="003A1D1A">
        <w:rPr>
          <w:color w:val="000000"/>
        </w:rPr>
        <w:t>кг/м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Проведение корректировки.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Корректировка водоцементного отношения не требуется.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суммарного расхода заполнителя (З).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 известных </w:t>
      </w:r>
      <w:r>
        <w:rPr>
          <w:color w:val="000000"/>
          <w:lang w:val="en-US"/>
        </w:rPr>
        <w:t>G</w:t>
      </w:r>
      <w:r>
        <w:rPr>
          <w:color w:val="000000"/>
        </w:rPr>
        <w:t>, В и Ц находим З: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5" type="#_x0000_t75" style="width:219pt;height:15.75pt" fillcolor="window">
            <v:imagedata r:id="rId32" o:title=""/>
          </v:shape>
        </w:pict>
      </w:r>
      <w:r w:rsidR="003A1D1A">
        <w:rPr>
          <w:color w:val="000000"/>
        </w:rPr>
        <w:t>кг/м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количества песка (П).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песка определяется по формуле: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6" type="#_x0000_t75" style="width:219.75pt;height:30.75pt" fillcolor="window">
            <v:imagedata r:id="rId33" o:title=""/>
          </v:shape>
        </w:pict>
      </w:r>
      <w:r w:rsidR="003A1D1A">
        <w:rPr>
          <w:color w:val="000000"/>
        </w:rPr>
        <w:t xml:space="preserve"> кг/м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количества крупного заполнителя (КрЗ).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7" type="#_x0000_t75" style="width:123.75pt;height:15.75pt" fillcolor="window">
            <v:imagedata r:id="rId34" o:title=""/>
          </v:shape>
        </w:pict>
      </w:r>
      <w:r w:rsidR="003A1D1A">
        <w:rPr>
          <w:color w:val="000000"/>
        </w:rPr>
        <w:t xml:space="preserve"> кг/м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Проведем фракционирование крупного заполнителя.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максимальной крупности заполнителя 80 мм количество каждой фракции будет: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1.1.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3A1D1A" w:rsidRPr="003A1D1A">
        <w:trPr>
          <w:cantSplit/>
        </w:trPr>
        <w:tc>
          <w:tcPr>
            <w:tcW w:w="6390" w:type="dxa"/>
            <w:gridSpan w:val="3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Фракции, мм</w:t>
            </w:r>
          </w:p>
        </w:tc>
        <w:tc>
          <w:tcPr>
            <w:tcW w:w="2130" w:type="dxa"/>
            <w:vMerge w:val="restart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Сумма</w:t>
            </w:r>
          </w:p>
        </w:tc>
      </w:tr>
      <w:tr w:rsidR="003A1D1A" w:rsidRPr="003A1D1A">
        <w:trPr>
          <w:cantSplit/>
        </w:trPr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5..20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20..40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40..80</w:t>
            </w:r>
          </w:p>
        </w:tc>
        <w:tc>
          <w:tcPr>
            <w:tcW w:w="2130" w:type="dxa"/>
            <w:vMerge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3A1D1A" w:rsidRPr="003A1D1A"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30%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30%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40%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100%</w:t>
            </w:r>
          </w:p>
        </w:tc>
      </w:tr>
      <w:tr w:rsidR="003A1D1A" w:rsidRPr="003A1D1A"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398.4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398.4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519.2</w:t>
            </w:r>
          </w:p>
        </w:tc>
        <w:tc>
          <w:tcPr>
            <w:tcW w:w="2130" w:type="dxa"/>
          </w:tcPr>
          <w:p w:rsidR="003A1D1A" w:rsidRPr="003A1D1A" w:rsidRDefault="003A1D1A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3A1D1A">
              <w:rPr>
                <w:color w:val="000000"/>
              </w:rPr>
              <w:t>1298</w:t>
            </w:r>
          </w:p>
        </w:tc>
      </w:tr>
    </w:tbl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Технологические мероприятия по обеспечению трещиностойкости и прочности сооружения.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Выбор системы разрезки сооружения.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арочно-гравитационной плотины выбираем столбчатую систему разрезки с плотными межстолбчатыми швами. 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Обоснование: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Применяется на скальных основаниях (грунты основания – базальт);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Применим для любых климатических условий;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Применяется для высоких плотин любого типа.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величины необходимого снижения максимальной температуры в блоке по условиям его трещиностойкости.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Максимальное значение температуры в блоке равно: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8" type="#_x0000_t75" style="width:66.75pt;height:33pt" fillcolor="window">
            <v:imagedata r:id="rId35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>
        <w:rPr>
          <w:color w:val="000000"/>
          <w:lang w:val="en-US"/>
        </w:rPr>
        <w:t>q</w:t>
      </w:r>
      <w:r>
        <w:rPr>
          <w:color w:val="000000"/>
        </w:rPr>
        <w:t xml:space="preserve"> – удельное тепловыделение бетона;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– удельная теплоемкость бетона;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sym w:font="Symbol" w:char="F067"/>
      </w:r>
      <w:r>
        <w:rPr>
          <w:color w:val="000000"/>
        </w:rPr>
        <w:t xml:space="preserve"> - Объемный вес бетона.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59" type="#_x0000_t75" style="width:132.75pt;height:30.75pt" fillcolor="window">
            <v:imagedata r:id="rId36" o:title=""/>
          </v:shape>
        </w:pic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Определим допустимое значение температуры в блоке: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0" type="#_x0000_t75" style="width:99.75pt;height:36.75pt" fillcolor="window">
            <v:imagedata r:id="rId37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61" type="#_x0000_t75" style="width:24pt;height:18.75pt" fillcolor="window">
            <v:imagedata r:id="rId38" o:title=""/>
          </v:shape>
        </w:pict>
      </w:r>
      <w:r>
        <w:rPr>
          <w:color w:val="000000"/>
        </w:rPr>
        <w:t xml:space="preserve"> – предельная растяжимость;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2" type="#_x0000_t75" style="width:11.25pt;height:11.25pt" fillcolor="window">
            <v:imagedata r:id="rId39" o:title=""/>
          </v:shape>
        </w:pict>
      </w:r>
      <w:r w:rsidR="003A1D1A">
        <w:rPr>
          <w:color w:val="000000"/>
        </w:rPr>
        <w:t xml:space="preserve"> – коэффициент линейного расширения;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3" type="#_x0000_t75" style="width:17.25pt;height:18pt" fillcolor="window">
            <v:imagedata r:id="rId40" o:title=""/>
          </v:shape>
        </w:pict>
      </w:r>
      <w:r w:rsidR="003A1D1A">
        <w:rPr>
          <w:color w:val="000000"/>
        </w:rPr>
        <w:t xml:space="preserve"> – коэффициент защемления;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4" type="#_x0000_t75" style="width:18pt;height:18.75pt" fillcolor="window">
            <v:imagedata r:id="rId41" o:title=""/>
          </v:shape>
        </w:pict>
      </w:r>
      <w:r w:rsidR="003A1D1A">
        <w:rPr>
          <w:color w:val="000000"/>
        </w:rPr>
        <w:t xml:space="preserve"> – коэффициент релаксации;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5" type="#_x0000_t75" style="width:21.75pt;height:18.75pt" fillcolor="window">
            <v:imagedata r:id="rId42" o:title=""/>
          </v:shape>
        </w:pict>
      </w:r>
      <w:r w:rsidR="003A1D1A">
        <w:rPr>
          <w:color w:val="000000"/>
        </w:rPr>
        <w:t xml:space="preserve"> – коэффициент трещинообразования.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6" type="#_x0000_t75" style="width:204pt;height:33pt" fillcolor="window">
            <v:imagedata r:id="rId43" o:title=""/>
          </v:shape>
        </w:pict>
      </w:r>
      <w:r w:rsidR="003A1D1A">
        <w:rPr>
          <w:color w:val="000000"/>
        </w:rPr>
        <w:sym w:font="Symbol" w:char="F0B0"/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67" type="#_x0000_t75" style="width:51.75pt;height:18pt" fillcolor="window">
            <v:imagedata r:id="rId44" o:title=""/>
          </v:shape>
        </w:pict>
      </w:r>
      <w:r>
        <w:rPr>
          <w:color w:val="000000"/>
        </w:rPr>
        <w:t xml:space="preserve"> [1, рис. 5.];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8" type="#_x0000_t75" style="width:53.25pt;height:18.75pt" fillcolor="window">
            <v:imagedata r:id="rId45" o:title=""/>
          </v:shape>
        </w:pict>
      </w:r>
      <w:r w:rsidR="003A1D1A">
        <w:rPr>
          <w:color w:val="000000"/>
        </w:rPr>
        <w:t xml:space="preserve"> [1, рис. 6.];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69" type="#_x0000_t75" style="width:56.25pt;height:18.75pt" fillcolor="window">
            <v:imagedata r:id="rId46" o:title=""/>
          </v:shape>
        </w:pict>
      </w:r>
      <w:r w:rsidR="003A1D1A">
        <w:rPr>
          <w:color w:val="000000"/>
        </w:rPr>
        <w:t xml:space="preserve"> [2, стр. 19.].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вышеприведенных расчетов следует, что температуру в блоках необходимо снизить на: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0" type="#_x0000_t75" style="width:186.75pt;height:20.25pt" fillcolor="window">
            <v:imagedata r:id="rId47" o:title=""/>
          </v:shape>
        </w:pict>
      </w:r>
      <w:r w:rsidR="003A1D1A">
        <w:rPr>
          <w:color w:val="000000"/>
        </w:rPr>
        <w:sym w:font="Symbol" w:char="F0B0"/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необходимого повышения температуры в зимний период.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строительства на реке Нурек повышать температуру в блоках в зимний период не требуется.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Требования к опалубке.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опалубке специальные требования не применяются.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по снижению температуры в блоках.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приведенных выше расчетов видно, что температуру в блоках необходимо снизить на 28.9</w:t>
      </w:r>
      <w:r>
        <w:rPr>
          <w:color w:val="000000"/>
        </w:rPr>
        <w:sym w:font="Symbol" w:char="F0B0"/>
      </w:r>
      <w:r>
        <w:rPr>
          <w:color w:val="000000"/>
        </w:rPr>
        <w:t>. Следовательно, необходимо принять следующие мероприятия по снижению температуры в блоках: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Присадка льда, вместо воды (10</w:t>
      </w:r>
      <w:r>
        <w:rPr>
          <w:color w:val="000000"/>
        </w:rPr>
        <w:sym w:font="Symbol" w:char="F0B0"/>
      </w:r>
      <w:r>
        <w:rPr>
          <w:color w:val="000000"/>
        </w:rPr>
        <w:t>);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Трубное охлаждение 1.0Х1.0 (22</w:t>
      </w:r>
      <w:r>
        <w:rPr>
          <w:color w:val="000000"/>
        </w:rPr>
        <w:sym w:font="Symbol" w:char="F0B0"/>
      </w:r>
      <w:r>
        <w:rPr>
          <w:color w:val="000000"/>
        </w:rPr>
        <w:t>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результате получается снижение температуры на 32</w:t>
      </w:r>
      <w:r>
        <w:rPr>
          <w:color w:val="000000"/>
        </w:rPr>
        <w:sym w:font="Symbol" w:char="F0B0"/>
      </w:r>
      <w:r>
        <w:rPr>
          <w:color w:val="000000"/>
        </w:rPr>
        <w:t>С.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Календарный график производства бетонных работ.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Сроки проведения бетонных работ и их интенсивность представлены на рисунке 3.1. Общий срок строительства принимаем 7 лет. Среднемесячная интенсивность производства бетонных работ с учетом коэффициентов неравномерности определяется как: 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1" type="#_x0000_t75" style="width:132.75pt;height:20.25pt" fillcolor="window">
            <v:imagedata r:id="rId48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72" type="#_x0000_t75" style="width:48pt;height:18pt" fillcolor="window">
            <v:imagedata r:id="rId49" o:title=""/>
          </v:shape>
        </w:pict>
      </w:r>
      <w:r>
        <w:rPr>
          <w:color w:val="000000"/>
        </w:rPr>
        <w:t xml:space="preserve"> - коэффициентов неравномерности работы;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3" type="#_x0000_t75" style="width:53.25pt;height:18.75pt" fillcolor="window">
            <v:imagedata r:id="rId50" o:title=""/>
          </v:shape>
        </w:pict>
      </w:r>
      <w:r w:rsidR="003A1D1A">
        <w:rPr>
          <w:color w:val="000000"/>
        </w:rPr>
        <w:t xml:space="preserve"> - коэффициентов неравномерности при переходе от среднемесячной годовой к среднемесячной сезонной.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4" type="#_x0000_t75" style="width:192pt;height:20.25pt" fillcolor="window">
            <v:imagedata r:id="rId51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/мес.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Максимальная месячная интенсивность с учетом коэффициента неравномерности определяется: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5" type="#_x0000_t75" style="width:219pt;height:18.75pt" fillcolor="window">
            <v:imagedata r:id="rId52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/мес.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Бетонные работы.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мощности бетонного завода.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Необходимая часовая эксплуатационная производительность бетонного завода: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6" type="#_x0000_t75" style="width:74.25pt;height:36pt" fillcolor="window">
            <v:imagedata r:id="rId53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77" type="#_x0000_t75" style="width:12.75pt;height:18pt" fillcolor="window">
            <v:imagedata r:id="rId54" o:title=""/>
          </v:shape>
        </w:pict>
      </w:r>
      <w:r>
        <w:rPr>
          <w:color w:val="000000"/>
        </w:rPr>
        <w:t xml:space="preserve"> - число расчетных часов в месяц работы бетонного завода в месяц при нормальном режиме работы;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8" type="#_x0000_t75" style="width:14.25pt;height:18pt" fillcolor="window">
            <v:imagedata r:id="rId55" o:title=""/>
          </v:shape>
        </w:pict>
      </w:r>
      <w:r w:rsidR="003A1D1A">
        <w:rPr>
          <w:color w:val="000000"/>
        </w:rPr>
        <w:t xml:space="preserve"> - расход бетонной смеси на 1 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 xml:space="preserve"> бетона.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79" type="#_x0000_t75" style="width:45.75pt;height:18pt" fillcolor="window">
            <v:imagedata r:id="rId56" o:title=""/>
          </v:shape>
        </w:pict>
      </w:r>
      <w:r w:rsidR="003A1D1A">
        <w:rPr>
          <w:color w:val="000000"/>
        </w:rPr>
        <w:t>ч/мес, так как климатические условия умеренные.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0" type="#_x0000_t75" style="width:48pt;height:18pt" fillcolor="window">
            <v:imagedata r:id="rId57" o:title=""/>
          </v:shape>
        </w:pic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1" type="#_x0000_t75" style="width:149.25pt;height:30.75pt" fillcolor="window">
            <v:imagedata r:id="rId58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Выбранная расчетная мощность должна быть проведена на удовлетворение максимальной интенсивности ведения бетонных работ в форсированном режиме.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2" type="#_x0000_t75" style="width:213.75pt;height:20.25pt" fillcolor="window">
            <v:imagedata r:id="rId59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Должно выполняться условие: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3" type="#_x0000_t75" style="width:84pt;height:20.25pt" fillcolor="window">
            <v:imagedata r:id="rId60" o:title=""/>
          </v:shape>
        </w:pic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полученных выше значений имеем: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4" type="#_x0000_t75" style="width:105pt;height:14.25pt" fillcolor="window">
            <v:imagedata r:id="rId61" o:title=""/>
          </v:shape>
        </w:pic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Условие выполняется.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марки и потребного оборудования.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пункте 1.4.2. приняты два типа смесителей: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Смеситель цикличного действия, гравитационный с объемом готового замеса 165 л;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Смеситель непрерывного действия с принудительным перемешиванием.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бетоносмесителей, необходимых для бетонного производства, определяется по формуле: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5" type="#_x0000_t75" style="width:54.75pt;height:35.25pt" fillcolor="window">
            <v:imagedata r:id="rId62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86" type="#_x0000_t75" style="width:102pt;height:18.75pt" fillcolor="window">
            <v:imagedata r:id="rId63" o:title=""/>
          </v:shape>
        </w:pic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7" type="#_x0000_t75" style="width:96pt;height:18pt" fillcolor="window">
            <v:imagedata r:id="rId64" o:title=""/>
          </v:shape>
        </w:pict>
      </w:r>
      <w:r w:rsidR="003A1D1A">
        <w:rPr>
          <w:color w:val="000000"/>
        </w:rPr>
        <w:t xml:space="preserve"> - производительность бетоносмесителя непрерывного действия. Принимаем </w:t>
      </w:r>
      <w:r>
        <w:rPr>
          <w:color w:val="000000"/>
        </w:rPr>
        <w:pict>
          <v:shape id="_x0000_i1088" type="#_x0000_t75" style="width:116.25pt;height:18pt" fillcolor="window">
            <v:imagedata r:id="rId65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Найденная проиводительность составляет 50% от общей производительности бетонного завода. Остальные 50% определяются для бетоносмесителей циклического действия. Производительность определяется как: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89" type="#_x0000_t75" style="width:72.75pt;height:20.25pt" fillcolor="window">
            <v:imagedata r:id="rId66" o:title=""/>
          </v:shape>
        </w:pict>
      </w:r>
      <w:r w:rsidR="003A1D1A">
        <w:rPr>
          <w:color w:val="000000"/>
        </w:rPr>
        <w:t>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90" type="#_x0000_t75" style="width:54pt;height:35.25pt" fillcolor="window">
            <v:imagedata r:id="rId67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91" type="#_x0000_t75" style="width:14.25pt;height:18.75pt" fillcolor="window">
            <v:imagedata r:id="rId68" o:title=""/>
          </v:shape>
        </w:pict>
      </w:r>
      <w:r>
        <w:rPr>
          <w:color w:val="000000"/>
        </w:rPr>
        <w:t xml:space="preserve"> - число циклов;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92" type="#_x0000_t75" style="width:11.25pt;height:18.75pt" fillcolor="window">
            <v:imagedata r:id="rId69" o:title=""/>
          </v:shape>
        </w:pict>
      </w:r>
      <w:r w:rsidR="003A1D1A">
        <w:rPr>
          <w:color w:val="000000"/>
        </w:rPr>
        <w:t xml:space="preserve"> - продолжительность цикла;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93" type="#_x0000_t75" style="width:14.25pt;height:18.75pt" fillcolor="window">
            <v:imagedata r:id="rId70" o:title=""/>
          </v:shape>
        </w:pict>
      </w:r>
      <w:r w:rsidR="003A1D1A">
        <w:rPr>
          <w:color w:val="000000"/>
        </w:rPr>
        <w:t xml:space="preserve"> - емкость бетоносмесителя.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94" type="#_x0000_t75" style="width:131.25pt;height:18.75pt" fillcolor="window">
            <v:imagedata r:id="rId71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095" type="#_x0000_t75" style="width:42.75pt;height:18pt" fillcolor="window">
            <v:imagedata r:id="rId72" o:title=""/>
          </v:shape>
        </w:pict>
      </w:r>
      <w:r>
        <w:rPr>
          <w:color w:val="000000"/>
        </w:rPr>
        <w:t xml:space="preserve">с; </w:t>
      </w:r>
      <w:r w:rsidR="009711C4">
        <w:rPr>
          <w:color w:val="000000"/>
        </w:rPr>
        <w:pict>
          <v:shape id="_x0000_i1096" type="#_x0000_t75" style="width:56.25pt;height:18.75pt" fillcolor="window">
            <v:imagedata r:id="rId73" o:title=""/>
          </v:shape>
        </w:pict>
      </w:r>
      <w:r>
        <w:rPr>
          <w:color w:val="000000"/>
        </w:rPr>
        <w:t xml:space="preserve">с; </w:t>
      </w:r>
      <w:r w:rsidR="009711C4">
        <w:rPr>
          <w:color w:val="000000"/>
        </w:rPr>
        <w:pict>
          <v:shape id="_x0000_i1097" type="#_x0000_t75" style="width:48pt;height:18.75pt" fillcolor="window">
            <v:imagedata r:id="rId74" o:title=""/>
          </v:shape>
        </w:pic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; </w:t>
      </w:r>
      <w:r w:rsidR="009711C4">
        <w:rPr>
          <w:color w:val="000000"/>
        </w:rPr>
        <w:pict>
          <v:shape id="_x0000_i1098" type="#_x0000_t75" style="width:41.25pt;height:18pt" fillcolor="window">
            <v:imagedata r:id="rId75" o:title=""/>
          </v:shape>
        </w:pict>
      </w:r>
      <w:r>
        <w:rPr>
          <w:color w:val="000000"/>
        </w:rPr>
        <w:t>с;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099" type="#_x0000_t75" style="width:140.25pt;height:18.75pt" fillcolor="window">
            <v:imagedata r:id="rId76" o:title=""/>
          </v:shape>
        </w:pict>
      </w:r>
      <w:r w:rsidR="003A1D1A">
        <w:rPr>
          <w:color w:val="000000"/>
        </w:rPr>
        <w:t>с.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00" type="#_x0000_t75" style="width:108.75pt;height:30.75pt" fillcolor="window">
            <v:imagedata r:id="rId77" o:title=""/>
          </v:shape>
        </w:pic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01" type="#_x0000_t75" style="width:102pt;height:17.25pt" fillcolor="window">
            <v:imagedata r:id="rId78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02" type="#_x0000_t75" style="width:111.75pt;height:17.25pt" fillcolor="window">
            <v:imagedata r:id="rId79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03" type="#_x0000_t75" style="width:99pt;height:18.75pt" fillcolor="window">
            <v:imagedata r:id="rId80" o:title=""/>
          </v:shape>
        </w:pict>
      </w:r>
      <w:r w:rsidR="003A1D1A">
        <w:rPr>
          <w:color w:val="000000"/>
        </w:rPr>
        <w:t xml:space="preserve">, тогда </w:t>
      </w:r>
      <w:r>
        <w:rPr>
          <w:color w:val="000000"/>
        </w:rPr>
        <w:pict>
          <v:shape id="_x0000_i1104" type="#_x0000_t75" style="width:206.25pt;height:18.75pt" fillcolor="window">
            <v:imagedata r:id="rId81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Определение количества бетоносмесителей: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05" type="#_x0000_t75" style="width:123pt;height:36pt" fillcolor="window">
            <v:imagedata r:id="rId82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принимаем </w:t>
      </w:r>
      <w:r w:rsidR="009711C4">
        <w:rPr>
          <w:color w:val="000000"/>
        </w:rPr>
        <w:pict>
          <v:shape id="_x0000_i1106" type="#_x0000_t75" style="width:32.25pt;height:14.25pt" fillcolor="window">
            <v:imagedata r:id="rId83" o:title=""/>
          </v:shape>
        </w:pict>
      </w:r>
      <w:r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Окончательно принимаем СБ-109 – 1 шт., и СБ-153 – 2 шт.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Арматурные и опалубочные работы.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Применяемые типы армирования. Определение мощности арматурного завода. Доставка и установка арматуры.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каждого сооружения применяются различные типы армирования. Рассмотрим армирование каждого сооружения. 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Глухая часть плотины армируется армосетками со стороны напорной грани, т.к. эта часть предназначена для перекрытия русла и создания напора. Армосетки применяются по причине того, что в данной конструкции используется положение рабочей арматуры работающей в 2-ух направлениях, и она является плоским изделием, а значит, имеет вес меньше, чем объемная конструкция.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Водосливная часть плотины имеет следующие арматурные конструкции: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Напорная грань армируется армосетками;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Бычки и гребень армируется армокаркасами;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Водосливная грань армируется армокаркасами так же, как патерна;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Станционная часть со стороны напорной грани и в тех местах, где проходят водовыпуски;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Оголовок армируется армофермой.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Общая сменная производительность завода по выпуску арматуры определяется по формуле: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07" type="#_x0000_t75" style="width:98.25pt;height:32.25pt" fillcolor="window">
            <v:imagedata r:id="rId84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108" type="#_x0000_t75" style="width:21pt;height:18pt" fillcolor="window">
            <v:imagedata r:id="rId85" o:title=""/>
          </v:shape>
        </w:pict>
      </w:r>
      <w:r>
        <w:rPr>
          <w:color w:val="000000"/>
        </w:rPr>
        <w:t xml:space="preserve"> - расчетная месячная интенсивность бетонных работ;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09" type="#_x0000_t75" style="width:39pt;height:18pt" fillcolor="window">
            <v:imagedata r:id="rId86" o:title=""/>
          </v:shape>
        </w:pict>
      </w:r>
      <w:r w:rsidR="003A1D1A">
        <w:rPr>
          <w:color w:val="000000"/>
        </w:rPr>
        <w:t>кг/м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 xml:space="preserve"> - удельный расход арматуры на 1м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 xml:space="preserve"> бетона;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0" type="#_x0000_t75" style="width:1in;height:14.25pt" fillcolor="window">
            <v:imagedata r:id="rId87" o:title=""/>
          </v:shape>
        </w:pict>
      </w:r>
      <w:r w:rsidR="003A1D1A">
        <w:rPr>
          <w:color w:val="000000"/>
        </w:rPr>
        <w:t xml:space="preserve"> - число рабочих смен в месяц;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1" type="#_x0000_t75" style="width:48pt;height:18.75pt" fillcolor="window">
            <v:imagedata r:id="rId88" o:title=""/>
          </v:shape>
        </w:pic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2" type="#_x0000_t75" style="width:159pt;height:30.75pt" fillcolor="window">
            <v:imagedata r:id="rId89" o:title=""/>
          </v:shape>
        </w:pict>
      </w:r>
      <w:r w:rsidR="003A1D1A">
        <w:rPr>
          <w:color w:val="000000"/>
        </w:rPr>
        <w:t>т/см.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Вес армоконструкций определяется как: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3" type="#_x0000_t75" style="width:207.75pt;height:18.75pt" fillcolor="window">
            <v:imagedata r:id="rId90" o:title=""/>
          </v:shape>
        </w:pict>
      </w:r>
      <w:r w:rsidR="003A1D1A">
        <w:rPr>
          <w:color w:val="000000"/>
        </w:rPr>
        <w:t>кг</w:t>
      </w:r>
      <w:r>
        <w:rPr>
          <w:color w:val="000000"/>
        </w:rPr>
        <w:pict>
          <v:shape id="_x0000_i1114" type="#_x0000_t75" style="width:51.75pt;height:14.25pt" fillcolor="window">
            <v:imagedata r:id="rId91" o:title=""/>
          </v:shape>
        </w:pict>
      </w:r>
      <w:r w:rsidR="003A1D1A">
        <w:rPr>
          <w:color w:val="000000"/>
        </w:rPr>
        <w:t>т.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Транспортирование арматурных конструкций осуществляется на специальных прицепах-платформах со специальными прокладками во избежание деформаций и повреждений при перевозке.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Погрузка и разгрузка армоконструкций осуществляется башенными кранами.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 опалубки. Определение мощности опалубочного цеха. Доставка и установка опалубки.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данного гидроузла используется: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Консольная опалубка для напорных граней, применение которой обусловлено тем, что применяется крепление в виде консольных балок или ферм и скрепленных с нижележащим блоком с помощью анкеров, заложенных в нижнем блоке;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Железобетонная опалубка - для всех остальных участков, как и для быков, являющаяся  несъемной, что уменьшает производство работ;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Вакуумная опалубка применяется для водосливной грани, т.к. она позволяет обеспечить меньшую шероховатость.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Общий вес опалубки определяется как: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5" type="#_x0000_t75" style="width:60pt;height:18pt" fillcolor="window">
            <v:imagedata r:id="rId92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116" type="#_x0000_t75" style="width:17.25pt;height:18pt" fillcolor="window">
            <v:imagedata r:id="rId93" o:title=""/>
          </v:shape>
        </w:pict>
      </w:r>
      <w:r>
        <w:rPr>
          <w:color w:val="000000"/>
        </w:rPr>
        <w:t xml:space="preserve"> - удельный расход опалубки в м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на 1 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бетона.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7" type="#_x0000_t75" style="width:164.25pt;height:35.25pt" fillcolor="window">
            <v:imagedata r:id="rId94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/м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8" type="#_x0000_t75" style="width:168pt;height:18pt" fillcolor="window">
            <v:imagedata r:id="rId95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Производительность опалубочного цеха определяется по формуле: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19" type="#_x0000_t75" style="width:231pt;height:33pt" fillcolor="window">
            <v:imagedata r:id="rId96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/смен.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Опалубка доставляется на специальных прицепах-платформах. Погрузка и разгрузка железобетонной опалубки осуществляется кранами, которые имеются на стройке.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Транспорт и укладка бетонной смеси.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Выбор основной схемы транспортировки и укладки бетонной смеси.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Транспортная схема бетонных работ представляет собой комплекс машин, обеспечивающих доставку смеси от бетонного завода до места укладки. Схема состоит из двух условных частей: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Горизонтальный транспорт (транспорт от завода до сооружения);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Вертикальный транспорт (подача бетонной смеси в блоки бетонирования).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качестве горизонтального транспорта берутся автосамосвалы, т.к. автобетоновозов и автобетоносмесителей требуется более жесткое дорожное покрытие. Принимаем самосвалы марки КамАЗ 5511.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подачи бетона в блоки используется крановый способ. Применяются краны башенного типа КБГС-500ХЛ с грузоподъемностью 12 т.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комплексной производительности крана и их количества. Расстановка кранов на сооружении.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Комплексная производительность кранов определяется по формуле: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20" type="#_x0000_t75" style="width:170.25pt;height:20.25pt" fillcolor="window">
            <v:imagedata r:id="rId97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121" type="#_x0000_t75" style="width:39.75pt;height:18.75pt" fillcolor="window">
            <v:imagedata r:id="rId98" o:title=""/>
          </v:shape>
        </w:pict>
      </w:r>
      <w:r>
        <w:rPr>
          <w:color w:val="000000"/>
        </w:rPr>
        <w:t xml:space="preserve"> - фактическая масса транспортируемого груза за один цикл;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22" type="#_x0000_t75" style="width:15.75pt;height:17.25pt" fillcolor="window">
            <v:imagedata r:id="rId99" o:title=""/>
          </v:shape>
        </w:pict>
      </w:r>
      <w:r w:rsidR="003A1D1A">
        <w:rPr>
          <w:color w:val="000000"/>
        </w:rPr>
        <w:t xml:space="preserve"> - грузоподъемность крана;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23" type="#_x0000_t75" style="width:44.25pt;height:35.25pt" fillcolor="window">
            <v:imagedata r:id="rId100" o:title=""/>
          </v:shape>
        </w:pict>
      </w:r>
      <w:r w:rsidR="003A1D1A">
        <w:rPr>
          <w:color w:val="000000"/>
        </w:rPr>
        <w:t xml:space="preserve"> - коэффициент использования грузоподъемности крана (коэффициент загрузки);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24" type="#_x0000_t75" style="width:269.25pt;height:18.75pt" fillcolor="window">
            <v:imagedata r:id="rId101" o:title=""/>
          </v:shape>
        </w:pict>
      </w:r>
      <w:r w:rsidR="003A1D1A">
        <w:rPr>
          <w:color w:val="000000"/>
        </w:rPr>
        <w:t>,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125" type="#_x0000_t75" style="width:36.75pt;height:18pt" fillcolor="window">
            <v:imagedata r:id="rId102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26" type="#_x0000_t75" style="width:159pt;height:35.25pt" fillcolor="window">
            <v:imagedata r:id="rId103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27" type="#_x0000_t75" style="width:39pt;height:18pt" fillcolor="window">
            <v:imagedata r:id="rId104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28" type="#_x0000_t75" style="width:161.25pt;height:33.75pt" fillcolor="window">
            <v:imagedata r:id="rId105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29" type="#_x0000_t75" style="width:120.75pt;height:35.25pt" fillcolor="window">
            <v:imagedata r:id="rId106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30" type="#_x0000_t75" style="width:143.25pt;height:35.25pt" fillcolor="window">
            <v:imagedata r:id="rId107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31" type="#_x0000_t75" style="width:39pt;height:18.75pt" fillcolor="window">
            <v:imagedata r:id="rId108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32" type="#_x0000_t75" style="width:150pt;height:35.25pt" fillcolor="window">
            <v:imagedata r:id="rId109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33" type="#_x0000_t75" style="width:42pt;height:18pt" fillcolor="window">
            <v:imagedata r:id="rId110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34" type="#_x0000_t75" style="width:59.25pt;height:17.25pt" fillcolor="window">
            <v:imagedata r:id="rId111" o:title=""/>
          </v:shape>
        </w:pict>
      </w:r>
      <w:r>
        <w:rPr>
          <w:color w:val="000000"/>
        </w:rPr>
        <w:t xml:space="preserve">с.; </w:t>
      </w:r>
      <w:r w:rsidR="009711C4">
        <w:rPr>
          <w:color w:val="000000"/>
        </w:rPr>
        <w:pict>
          <v:shape id="_x0000_i1135" type="#_x0000_t75" style="width:153.75pt;height:35.25pt" fillcolor="window">
            <v:imagedata r:id="rId112" o:title=""/>
          </v:shape>
        </w:pict>
      </w:r>
      <w:r>
        <w:rPr>
          <w:color w:val="000000"/>
        </w:rPr>
        <w:t>с.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36" type="#_x0000_t75" style="width:374.25pt;height:18.75pt" fillcolor="window">
            <v:imagedata r:id="rId113" o:title=""/>
          </v:shape>
        </w:pict>
      </w:r>
      <w:r w:rsidR="003A1D1A">
        <w:rPr>
          <w:color w:val="000000"/>
        </w:rPr>
        <w:t>с.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37" type="#_x0000_t75" style="width:99.75pt;height:30.75pt" fillcolor="window">
            <v:imagedata r:id="rId114" o:title=""/>
          </v:shape>
        </w:pict>
      </w:r>
      <w:r w:rsidR="003A1D1A">
        <w:rPr>
          <w:color w:val="000000"/>
        </w:rPr>
        <w:t>циклов.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38" type="#_x0000_t75" style="width:48pt;height:18.75pt" fillcolor="window">
            <v:imagedata r:id="rId115" o:title=""/>
          </v:shape>
        </w:pict>
      </w:r>
      <w:r w:rsidR="003A1D1A">
        <w:rPr>
          <w:color w:val="000000"/>
        </w:rPr>
        <w:t>т.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39" type="#_x0000_t75" style="width:99pt;height:15.75pt" fillcolor="window">
            <v:imagedata r:id="rId116" o:title=""/>
          </v:shape>
        </w:pict>
      </w:r>
      <w:r w:rsidR="003A1D1A">
        <w:rPr>
          <w:color w:val="000000"/>
        </w:rPr>
        <w:t>т/ч. при емкости бадьи 3.2 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Эксплуатационная производительность определяется: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0" type="#_x0000_t75" style="width:156.75pt;height:18.75pt" fillcolor="window">
            <v:imagedata r:id="rId117" o:title=""/>
          </v:shape>
        </w:pict>
      </w:r>
      <w:r w:rsidR="003A1D1A">
        <w:rPr>
          <w:color w:val="000000"/>
        </w:rPr>
        <w:t>т/ч.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опыту проведения работ определено, что комплексная производительность примерно в два раза меньше эксплуатационной производительности крана: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1" type="#_x0000_t75" style="width:132.75pt;height:33pt" fillcolor="window">
            <v:imagedata r:id="rId118" o:title=""/>
          </v:shape>
        </w:pict>
      </w:r>
      <w:r w:rsidR="003A1D1A">
        <w:rPr>
          <w:color w:val="000000"/>
        </w:rPr>
        <w:t>т/ч.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кранов определяется как: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2" type="#_x0000_t75" style="width:72.75pt;height:35.25pt" fillcolor="window">
            <v:imagedata r:id="rId119" o:title=""/>
          </v:shape>
        </w:pict>
      </w:r>
      <w:r w:rsidR="003A1D1A">
        <w:rPr>
          <w:color w:val="000000"/>
        </w:rPr>
        <w:t xml:space="preserve">, 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где </w:t>
      </w:r>
      <w:r w:rsidR="009711C4">
        <w:rPr>
          <w:color w:val="000000"/>
        </w:rPr>
        <w:pict>
          <v:shape id="_x0000_i1143" type="#_x0000_t75" style="width:168pt;height:18.75pt" fillcolor="window">
            <v:imagedata r:id="rId120" o:title=""/>
          </v:shape>
        </w:pict>
      </w:r>
      <w:r>
        <w:rPr>
          <w:color w:val="000000"/>
        </w:rPr>
        <w:t>т/мес;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4" type="#_x0000_t75" style="width:141pt;height:30.75pt" fillcolor="window">
            <v:imagedata r:id="rId121" o:title=""/>
          </v:shape>
        </w:pict>
      </w:r>
      <w:r w:rsidR="003A1D1A">
        <w:rPr>
          <w:color w:val="000000"/>
        </w:rPr>
        <w:t>шт.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Принимаем 3 крана.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производительности бетоновоза и количество.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рамках данного курсового проекта принимается бетоновоз СБ-128.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Определяется производительность одного бетоновоза: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5" type="#_x0000_t75" style="width:59.25pt;height:20.25pt" fillcolor="window">
            <v:imagedata r:id="rId122" o:title=""/>
          </v:shape>
        </w:pict>
      </w:r>
      <w:r w:rsidR="003A1D1A">
        <w:rPr>
          <w:color w:val="000000"/>
        </w:rPr>
        <w:t>,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6" type="#_x0000_t75" style="width:90.75pt;height:30.75pt" fillcolor="window">
            <v:imagedata r:id="rId123" o:title=""/>
          </v:shape>
        </w:pict>
      </w:r>
      <w:r w:rsidR="003A1D1A">
        <w:rPr>
          <w:color w:val="000000"/>
        </w:rPr>
        <w:t>с.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7" type="#_x0000_t75" style="width:77.25pt;height:30.75pt" fillcolor="window">
            <v:imagedata r:id="rId124" o:title=""/>
          </v:shape>
        </w:pict>
      </w:r>
      <w:r w:rsidR="003A1D1A">
        <w:rPr>
          <w:color w:val="000000"/>
        </w:rPr>
        <w:t>циклов.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8" type="#_x0000_t75" style="width:81pt;height:15.75pt" fillcolor="window">
            <v:imagedata r:id="rId125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49" type="#_x0000_t75" style="width:147.75pt;height:18.75pt" fillcolor="window">
            <v:imagedata r:id="rId126" o:title=""/>
          </v:shape>
        </w:pict>
      </w:r>
      <w:r w:rsidR="003A1D1A">
        <w:rPr>
          <w:color w:val="000000"/>
        </w:rPr>
        <w:t xml:space="preserve"> 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/ч.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0" type="#_x0000_t75" style="width:117.75pt;height:15.75pt" fillcolor="window">
            <v:imagedata r:id="rId127" o:title=""/>
          </v:shape>
        </w:pict>
      </w:r>
      <w:r w:rsidR="003A1D1A">
        <w:rPr>
          <w:color w:val="000000"/>
        </w:rPr>
        <w:t xml:space="preserve"> м</w:t>
      </w:r>
      <w:r w:rsidR="003A1D1A">
        <w:rPr>
          <w:color w:val="000000"/>
          <w:vertAlign w:val="superscript"/>
        </w:rPr>
        <w:t>3</w:t>
      </w:r>
      <w:r w:rsidR="003A1D1A">
        <w:rPr>
          <w:color w:val="000000"/>
        </w:rPr>
        <w:t>/мес.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бетоновозов определяется как: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1" type="#_x0000_t75" style="width:144.75pt;height:30.75pt" fillcolor="window">
            <v:imagedata r:id="rId128" o:title=""/>
          </v:shape>
        </w:pict>
      </w:r>
      <w:r w:rsidR="003A1D1A">
        <w:rPr>
          <w:color w:val="000000"/>
        </w:rPr>
        <w:t>шт.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Принимаем </w:t>
      </w:r>
      <w:r w:rsidR="009711C4">
        <w:rPr>
          <w:color w:val="000000"/>
        </w:rPr>
        <w:pict>
          <v:shape id="_x0000_i1152" type="#_x0000_t75" style="width:45pt;height:18pt" fillcolor="window">
            <v:imagedata r:id="rId129" o:title=""/>
          </v:shape>
        </w:pict>
      </w:r>
      <w:r>
        <w:rPr>
          <w:color w:val="000000"/>
        </w:rPr>
        <w:t>шт.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Комплексная механизация работ в блоке. Проверка площади блока.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укладке бетонной смеси в начальном состоянии, конструкция заполняется не полностью, в связи с этим производится уплотнение бетонной смеси. Для данного проекта было принято уплотнение: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10% уплотняется ручными вибраторами типа ИВ-59;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90% - подвесными манипуляторами типа ИВ-90.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производительности ручного вибратора и их необходимое количество.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Производительность ручного вибратора и их количество определяется: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3" type="#_x0000_t75" style="width:57pt;height:20.25pt" fillcolor="window">
            <v:imagedata r:id="rId130" o:title=""/>
          </v:shape>
        </w:pic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4" type="#_x0000_t75" style="width:201pt;height:18.75pt" fillcolor="window">
            <v:imagedata r:id="rId131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5" type="#_x0000_t75" style="width:38.25pt;height:18.75pt" fillcolor="window">
            <v:imagedata r:id="rId132" o:title=""/>
          </v:shape>
        </w:pict>
      </w:r>
      <w:r w:rsidR="003A1D1A">
        <w:rPr>
          <w:color w:val="000000"/>
        </w:rPr>
        <w:t>с;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6" type="#_x0000_t75" style="width:78pt;height:30.75pt" fillcolor="window">
            <v:imagedata r:id="rId133" o:title=""/>
          </v:shape>
        </w:pict>
      </w:r>
      <w:r w:rsidR="003A1D1A">
        <w:rPr>
          <w:color w:val="000000"/>
        </w:rPr>
        <w:t>циклов;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7" type="#_x0000_t75" style="width:113.25pt;height:15.75pt" fillcolor="window">
            <v:imagedata r:id="rId134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/ч;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8" type="#_x0000_t75" style="width:158.25pt;height:18.75pt" fillcolor="window">
            <v:imagedata r:id="rId135" o:title=""/>
          </v:shape>
        </w:pict>
      </w:r>
      <w:r w:rsidR="003A1D1A">
        <w:rPr>
          <w:color w:val="000000"/>
        </w:rPr>
        <w:t xml:space="preserve"> 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ручных вибраторов определяется как: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59" type="#_x0000_t75" style="width:153.75pt;height:33pt" fillcolor="window">
            <v:imagedata r:id="rId136" o:title=""/>
          </v:shape>
        </w:pict>
      </w:r>
      <w:r w:rsidR="003A1D1A">
        <w:rPr>
          <w:color w:val="000000"/>
        </w:rPr>
        <w:t>шт.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Принимаем </w:t>
      </w:r>
      <w:r w:rsidR="009711C4">
        <w:rPr>
          <w:color w:val="000000"/>
        </w:rPr>
        <w:pict>
          <v:shape id="_x0000_i1160" type="#_x0000_t75" style="width:42.75pt;height:18pt" fillcolor="window">
            <v:imagedata r:id="rId137" o:title=""/>
          </v:shape>
        </w:pict>
      </w:r>
      <w:r>
        <w:rPr>
          <w:color w:val="000000"/>
        </w:rPr>
        <w:t>шт.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производительности манипулятора и их количество на один блок.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61" type="#_x0000_t75" style="width:57pt;height:20.25pt" fillcolor="window">
            <v:imagedata r:id="rId130" o:title=""/>
          </v:shape>
        </w:pic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62" type="#_x0000_t75" style="width:188.25pt;height:18.75pt" fillcolor="window">
            <v:imagedata r:id="rId138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63" type="#_x0000_t75" style="width:38.25pt;height:18.75pt" fillcolor="window">
            <v:imagedata r:id="rId132" o:title=""/>
          </v:shape>
        </w:pict>
      </w:r>
      <w:r w:rsidR="003A1D1A">
        <w:rPr>
          <w:color w:val="000000"/>
        </w:rPr>
        <w:t>с;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64" type="#_x0000_t75" style="width:78pt;height:30.75pt" fillcolor="window">
            <v:imagedata r:id="rId133" o:title=""/>
          </v:shape>
        </w:pict>
      </w:r>
      <w:r w:rsidR="003A1D1A">
        <w:rPr>
          <w:color w:val="000000"/>
        </w:rPr>
        <w:t>циклов;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65" type="#_x0000_t75" style="width:105.75pt;height:15.75pt" fillcolor="window">
            <v:imagedata r:id="rId139" o:title=""/>
          </v:shape>
        </w:pict>
      </w:r>
      <w:r w:rsidR="003A1D1A">
        <w:rPr>
          <w:color w:val="000000"/>
        </w:rPr>
        <w:t>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/ч;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66" type="#_x0000_t75" style="width:164.25pt;height:18.75pt" fillcolor="window">
            <v:imagedata r:id="rId140" o:title=""/>
          </v:shape>
        </w:pict>
      </w:r>
      <w:r w:rsidR="003A1D1A">
        <w:rPr>
          <w:color w:val="000000"/>
        </w:rPr>
        <w:t xml:space="preserve"> м</w:t>
      </w:r>
      <w:r w:rsidR="003A1D1A">
        <w:rPr>
          <w:color w:val="000000"/>
          <w:vertAlign w:val="superscript"/>
        </w:rPr>
        <w:t>2</w:t>
      </w:r>
      <w:r w:rsidR="003A1D1A">
        <w:rPr>
          <w:color w:val="000000"/>
        </w:rPr>
        <w:t>/ч.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Количество ручных вибраторов определяется как:</w:t>
      </w:r>
    </w:p>
    <w:p w:rsidR="003A1D1A" w:rsidRDefault="009711C4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pict>
          <v:shape id="_x0000_i1167" type="#_x0000_t75" style="width:153.75pt;height:33pt" fillcolor="window">
            <v:imagedata r:id="rId141" o:title=""/>
          </v:shape>
        </w:pict>
      </w:r>
      <w:r w:rsidR="003A1D1A">
        <w:rPr>
          <w:color w:val="000000"/>
        </w:rPr>
        <w:t>шт.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Принимаем количество манипуляторов </w:t>
      </w:r>
      <w:r w:rsidR="009711C4">
        <w:rPr>
          <w:color w:val="000000"/>
        </w:rPr>
        <w:pict>
          <v:shape id="_x0000_i1168" type="#_x0000_t75" style="width:42.75pt;height:18pt" fillcolor="window">
            <v:imagedata r:id="rId137" o:title=""/>
          </v:shape>
        </w:pict>
      </w:r>
      <w:r>
        <w:rPr>
          <w:color w:val="000000"/>
        </w:rPr>
        <w:t>шт.</w:t>
      </w:r>
    </w:p>
    <w:p w:rsidR="003A1D1A" w:rsidRDefault="003A1D1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Стоимость укладки 1м</w:t>
      </w:r>
      <w:r>
        <w:rPr>
          <w:b/>
          <w:bCs/>
          <w:color w:val="000000"/>
          <w:sz w:val="28"/>
          <w:szCs w:val="28"/>
          <w:vertAlign w:val="superscript"/>
        </w:rPr>
        <w:t>3</w:t>
      </w:r>
      <w:r>
        <w:rPr>
          <w:b/>
          <w:bCs/>
          <w:color w:val="000000"/>
          <w:sz w:val="28"/>
          <w:szCs w:val="28"/>
        </w:rPr>
        <w:t xml:space="preserve"> бетона и определение трудозатрат на укладку 1м</w:t>
      </w:r>
      <w:r>
        <w:rPr>
          <w:b/>
          <w:bCs/>
          <w:color w:val="000000"/>
          <w:sz w:val="28"/>
          <w:szCs w:val="28"/>
          <w:vertAlign w:val="superscript"/>
        </w:rPr>
        <w:t>3</w:t>
      </w:r>
      <w:r>
        <w:rPr>
          <w:b/>
          <w:bCs/>
          <w:color w:val="000000"/>
          <w:sz w:val="28"/>
          <w:szCs w:val="28"/>
        </w:rPr>
        <w:t xml:space="preserve"> бетона.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Стоимость укладки и трудозатраты 1м</w:t>
      </w:r>
      <w:r>
        <w:rPr>
          <w:color w:val="000000"/>
          <w:vertAlign w:val="superscript"/>
        </w:rPr>
        <w:t>3</w:t>
      </w:r>
      <w:r>
        <w:rPr>
          <w:color w:val="000000"/>
        </w:rPr>
        <w:t xml:space="preserve"> бетона определяются по ЕРЕР’у и ЕНИР’у. Расчеты сведены в таблицу 6.1. 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Таблица 6.1.</w:t>
      </w:r>
    </w:p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tblInd w:w="-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2835"/>
        <w:gridCol w:w="425"/>
        <w:gridCol w:w="567"/>
        <w:gridCol w:w="709"/>
        <w:gridCol w:w="709"/>
        <w:gridCol w:w="1134"/>
        <w:gridCol w:w="491"/>
        <w:gridCol w:w="1071"/>
      </w:tblGrid>
      <w:tr w:rsidR="003A1D1A" w:rsidRPr="003A1D1A">
        <w:trPr>
          <w:cantSplit/>
          <w:trHeight w:val="250"/>
        </w:trPr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№ п/п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Нормы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Наименование работ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btLr"/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extDirection w:val="btLr"/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Объем работ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Прим. Испр. Коэф.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Норма на единицу объема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На весь объем</w:t>
            </w:r>
          </w:p>
        </w:tc>
      </w:tr>
      <w:tr w:rsidR="003A1D1A" w:rsidRPr="003A1D1A">
        <w:trPr>
          <w:cantSplit/>
          <w:trHeight w:val="499"/>
        </w:trPr>
        <w:tc>
          <w:tcPr>
            <w:tcW w:w="45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Н</w:t>
            </w:r>
            <w:r w:rsidRPr="003A1D1A">
              <w:rPr>
                <w:snapToGrid w:val="0"/>
                <w:color w:val="000000"/>
                <w:vertAlign w:val="subscript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Расценка, руб.</w:t>
            </w:r>
          </w:p>
        </w:tc>
        <w:tc>
          <w:tcPr>
            <w:tcW w:w="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Н</w:t>
            </w:r>
            <w:r w:rsidRPr="003A1D1A">
              <w:rPr>
                <w:snapToGrid w:val="0"/>
                <w:color w:val="000000"/>
                <w:vertAlign w:val="subscript"/>
              </w:rPr>
              <w:t>вр</w:t>
            </w:r>
          </w:p>
        </w:tc>
        <w:tc>
          <w:tcPr>
            <w:tcW w:w="107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Расценка, руб.</w:t>
            </w:r>
          </w:p>
        </w:tc>
      </w:tr>
      <w:tr w:rsidR="003A1D1A" w:rsidRPr="003A1D1A">
        <w:trPr>
          <w:cantSplit/>
          <w:trHeight w:val="113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В14-I-36 №3б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Укладка бетонной смеси в блоки бетонирования при подаче кранами и уплотнении манипуляторами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100м</w:t>
            </w:r>
            <w:r w:rsidRPr="003A1D1A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2.7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12.9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45.9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34.83</w:t>
            </w:r>
          </w:p>
        </w:tc>
      </w:tr>
      <w:tr w:rsidR="003A1D1A" w:rsidRPr="003A1D1A">
        <w:trPr>
          <w:cantSplit/>
          <w:trHeight w:val="113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В14-I-36 №2б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Укладка бетонной смеси в блоки бетонирования при подаче кранами и уплотнении ручными вибраторами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100м</w:t>
            </w:r>
            <w:r w:rsidRPr="003A1D1A">
              <w:rPr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2.7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9.8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7.2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26.5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19.44</w:t>
            </w:r>
          </w:p>
        </w:tc>
      </w:tr>
      <w:tr w:rsidR="003A1D1A" w:rsidRPr="003A1D1A">
        <w:trPr>
          <w:cantSplit/>
          <w:trHeight w:val="1134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В14-I-38 №4а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Установка уплотнений в строительных швах в процессе бетонирования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 п.м.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0.18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0.106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2.7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1D1A" w:rsidRPr="003A1D1A" w:rsidRDefault="003A1D1A">
            <w:pPr>
              <w:widowControl w:val="0"/>
              <w:jc w:val="both"/>
              <w:rPr>
                <w:snapToGrid w:val="0"/>
                <w:color w:val="000000"/>
              </w:rPr>
            </w:pPr>
            <w:r w:rsidRPr="003A1D1A">
              <w:rPr>
                <w:snapToGrid w:val="0"/>
                <w:color w:val="000000"/>
              </w:rPr>
              <w:t>1.59</w:t>
            </w:r>
          </w:p>
        </w:tc>
      </w:tr>
    </w:tbl>
    <w:p w:rsidR="003A1D1A" w:rsidRDefault="003A1D1A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3A1D1A">
      <w:pgSz w:w="11906" w:h="16838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0AE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08A833C4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9E71E5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E1A1CF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F5E4727"/>
    <w:multiLevelType w:val="multilevel"/>
    <w:tmpl w:val="A1581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29C0EA8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258B03DC"/>
    <w:multiLevelType w:val="multilevel"/>
    <w:tmpl w:val="F0EC54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A3859F0"/>
    <w:multiLevelType w:val="singleLevel"/>
    <w:tmpl w:val="71A66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2F4055C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>
    <w:nsid w:val="306E2B9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B1158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3CA36BEB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42D655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4636490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464E718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50D23F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5BCD1F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244249B"/>
    <w:multiLevelType w:val="singleLevel"/>
    <w:tmpl w:val="71A66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780C2C1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9">
    <w:nsid w:val="79760567"/>
    <w:multiLevelType w:val="multilevel"/>
    <w:tmpl w:val="7F78B5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F2B57E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6"/>
  </w:num>
  <w:num w:numId="5">
    <w:abstractNumId w:val="19"/>
  </w:num>
  <w:num w:numId="6">
    <w:abstractNumId w:val="12"/>
  </w:num>
  <w:num w:numId="7">
    <w:abstractNumId w:val="2"/>
  </w:num>
  <w:num w:numId="8">
    <w:abstractNumId w:val="10"/>
  </w:num>
  <w:num w:numId="9">
    <w:abstractNumId w:val="20"/>
  </w:num>
  <w:num w:numId="10">
    <w:abstractNumId w:val="3"/>
  </w:num>
  <w:num w:numId="11">
    <w:abstractNumId w:val="13"/>
  </w:num>
  <w:num w:numId="12">
    <w:abstractNumId w:val="14"/>
  </w:num>
  <w:num w:numId="13">
    <w:abstractNumId w:val="18"/>
  </w:num>
  <w:num w:numId="14">
    <w:abstractNumId w:val="0"/>
  </w:num>
  <w:num w:numId="15">
    <w:abstractNumId w:val="11"/>
  </w:num>
  <w:num w:numId="16">
    <w:abstractNumId w:val="17"/>
  </w:num>
  <w:num w:numId="17">
    <w:abstractNumId w:val="7"/>
  </w:num>
  <w:num w:numId="18">
    <w:abstractNumId w:val="5"/>
  </w:num>
  <w:num w:numId="19">
    <w:abstractNumId w:val="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71"/>
  <w:drawingGridVerticalSpacing w:val="48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4B79"/>
    <w:rsid w:val="003A1D1A"/>
    <w:rsid w:val="008D75B4"/>
    <w:rsid w:val="009711C4"/>
    <w:rsid w:val="00C2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chartTrackingRefBased/>
  <w15:docId w15:val="{28BF6A5F-BB82-40F9-8D8D-C9D50EC8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Pr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8631</Words>
  <Characters>4921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Технический Университет</vt:lpstr>
    </vt:vector>
  </TitlesOfParts>
  <Company>Man's BBS</Company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Технический Университет</dc:title>
  <dc:subject/>
  <dc:creator>Armen&amp;Ruben</dc:creator>
  <cp:keywords/>
  <dc:description/>
  <cp:lastModifiedBy>admin</cp:lastModifiedBy>
  <cp:revision>2</cp:revision>
  <dcterms:created xsi:type="dcterms:W3CDTF">2014-01-26T09:38:00Z</dcterms:created>
  <dcterms:modified xsi:type="dcterms:W3CDTF">2014-01-26T09:38:00Z</dcterms:modified>
</cp:coreProperties>
</file>