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8D" w:rsidRDefault="00EA7044">
      <w:pPr>
        <w:pStyle w:val="a3"/>
        <w:rPr>
          <w:rFonts w:ascii="Bookman Old Style" w:hAnsi="Bookman Old Style"/>
          <w:b w:val="0"/>
          <w:sz w:val="50"/>
        </w:rPr>
      </w:pPr>
      <w:r>
        <w:rPr>
          <w:rFonts w:ascii="Bookman Old Style" w:hAnsi="Bookman Old Style"/>
          <w:b w:val="0"/>
          <w:sz w:val="50"/>
        </w:rPr>
        <w:t>Российский Государственный</w:t>
      </w:r>
    </w:p>
    <w:p w:rsidR="00D1268D" w:rsidRDefault="00EA7044">
      <w:pPr>
        <w:jc w:val="center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50"/>
        </w:rPr>
        <w:t>Медицинский Университет</w:t>
      </w:r>
    </w:p>
    <w:p w:rsidR="00D1268D" w:rsidRDefault="00D1268D">
      <w:pPr>
        <w:jc w:val="center"/>
        <w:rPr>
          <w:rFonts w:ascii="Bookman Old Style" w:hAnsi="Bookman Old Style"/>
          <w:sz w:val="4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EA7044">
      <w:pPr>
        <w:jc w:val="center"/>
        <w:rPr>
          <w:rFonts w:ascii="Bookman Old Style" w:hAnsi="Bookman Old Style"/>
          <w:b/>
          <w:sz w:val="30"/>
        </w:rPr>
      </w:pPr>
      <w:r>
        <w:rPr>
          <w:rFonts w:ascii="Bookman Old Style" w:hAnsi="Bookman Old Style"/>
          <w:sz w:val="36"/>
        </w:rPr>
        <w:t>Кафедра философии</w:t>
      </w: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EA7044">
      <w:pPr>
        <w:jc w:val="center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>Реферат</w:t>
      </w:r>
    </w:p>
    <w:p w:rsidR="00D1268D" w:rsidRDefault="00D1268D">
      <w:pPr>
        <w:jc w:val="center"/>
        <w:rPr>
          <w:rFonts w:ascii="Bookman Old Style" w:hAnsi="Bookman Old Style"/>
          <w:sz w:val="40"/>
        </w:rPr>
      </w:pPr>
    </w:p>
    <w:p w:rsidR="00D1268D" w:rsidRDefault="00EA7044">
      <w:pPr>
        <w:jc w:val="center"/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40"/>
        </w:rPr>
        <w:t xml:space="preserve">М. Вебер </w:t>
      </w:r>
    </w:p>
    <w:p w:rsidR="00D1268D" w:rsidRDefault="00EA7044">
      <w:pPr>
        <w:jc w:val="center"/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sz w:val="40"/>
        </w:rPr>
        <w:t>" Протестантская этика и дух капитализма"</w:t>
      </w: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b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EA7044">
      <w:pPr>
        <w:jc w:val="right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Студента 1 курса 144группы</w:t>
      </w:r>
    </w:p>
    <w:p w:rsidR="00D1268D" w:rsidRDefault="00EA7044">
      <w:pPr>
        <w:jc w:val="right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Куликова Антона</w:t>
      </w: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right"/>
        <w:rPr>
          <w:rFonts w:ascii="Bookman Old Style" w:hAnsi="Bookman Old Style"/>
          <w:sz w:val="30"/>
        </w:rPr>
      </w:pPr>
    </w:p>
    <w:p w:rsidR="00D1268D" w:rsidRDefault="00D1268D">
      <w:pPr>
        <w:jc w:val="both"/>
        <w:rPr>
          <w:rFonts w:ascii="Bookman Old Style" w:hAnsi="Bookman Old Style"/>
          <w:sz w:val="30"/>
        </w:rPr>
      </w:pPr>
    </w:p>
    <w:p w:rsidR="00D1268D" w:rsidRDefault="00EA7044">
      <w:pPr>
        <w:jc w:val="center"/>
      </w:pPr>
      <w:r>
        <w:t>Москва 2002</w:t>
      </w:r>
    </w:p>
    <w:p w:rsidR="00D1268D" w:rsidRDefault="00EA7044">
      <w:pPr>
        <w:pStyle w:val="10"/>
        <w:rPr>
          <w:noProof/>
        </w:rPr>
      </w:pPr>
      <w:r>
        <w:fldChar w:fldCharType="begin"/>
      </w:r>
      <w:r>
        <w:instrText xml:space="preserve"> TOC \o "1-1" </w:instrText>
      </w:r>
      <w:r>
        <w:fldChar w:fldCharType="separate"/>
      </w:r>
      <w:r>
        <w:rPr>
          <w:noProof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268D" w:rsidRDefault="00D1268D">
      <w:pPr>
        <w:pStyle w:val="10"/>
        <w:rPr>
          <w:noProof/>
        </w:rPr>
      </w:pPr>
    </w:p>
    <w:p w:rsidR="00D1268D" w:rsidRDefault="00D1268D">
      <w:pPr>
        <w:pStyle w:val="10"/>
        <w:rPr>
          <w:noProof/>
        </w:rPr>
      </w:pPr>
    </w:p>
    <w:p w:rsidR="00D1268D" w:rsidRDefault="00EA7044">
      <w:pPr>
        <w:pStyle w:val="10"/>
        <w:rPr>
          <w:noProof/>
        </w:rPr>
      </w:pPr>
      <w:r>
        <w:rPr>
          <w:i/>
          <w:noProof/>
        </w:rPr>
        <w:t>Глава 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268D" w:rsidRDefault="00EA7044">
      <w:pPr>
        <w:pStyle w:val="10"/>
        <w:rPr>
          <w:noProof/>
        </w:rPr>
      </w:pPr>
      <w:r>
        <w:rPr>
          <w:noProof/>
        </w:rPr>
        <w:t>Вероисповедание и социальное разслоение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1268D" w:rsidRDefault="00D1268D">
      <w:pPr>
        <w:pStyle w:val="10"/>
        <w:rPr>
          <w:noProof/>
        </w:rPr>
      </w:pPr>
    </w:p>
    <w:p w:rsidR="00D1268D" w:rsidRDefault="00D1268D">
      <w:pPr>
        <w:pStyle w:val="10"/>
        <w:rPr>
          <w:noProof/>
        </w:rPr>
      </w:pPr>
    </w:p>
    <w:p w:rsidR="00D1268D" w:rsidRDefault="00EA7044">
      <w:pPr>
        <w:pStyle w:val="10"/>
        <w:rPr>
          <w:noProof/>
        </w:rPr>
      </w:pPr>
      <w:r>
        <w:rPr>
          <w:i/>
          <w:noProof/>
        </w:rPr>
        <w:t>Глава2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268D" w:rsidRDefault="00EA7044">
      <w:pPr>
        <w:pStyle w:val="10"/>
        <w:rPr>
          <w:noProof/>
        </w:rPr>
      </w:pPr>
      <w:r>
        <w:rPr>
          <w:i/>
          <w:noProof/>
        </w:rPr>
        <w:t>Дух капитализма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1268D" w:rsidRDefault="00D1268D">
      <w:pPr>
        <w:pStyle w:val="10"/>
        <w:rPr>
          <w:noProof/>
        </w:rPr>
      </w:pPr>
    </w:p>
    <w:p w:rsidR="00D1268D" w:rsidRDefault="00D1268D">
      <w:pPr>
        <w:pStyle w:val="10"/>
        <w:rPr>
          <w:noProof/>
        </w:rPr>
      </w:pPr>
    </w:p>
    <w:p w:rsidR="00D1268D" w:rsidRDefault="00EA7044">
      <w:pPr>
        <w:pStyle w:val="10"/>
        <w:rPr>
          <w:noProof/>
        </w:rPr>
      </w:pPr>
      <w:r>
        <w:rPr>
          <w:i/>
          <w:noProof/>
        </w:rPr>
        <w:t>Глава3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1268D" w:rsidRDefault="00EA7044">
      <w:pPr>
        <w:pStyle w:val="10"/>
        <w:rPr>
          <w:noProof/>
        </w:rPr>
      </w:pPr>
      <w:r>
        <w:rPr>
          <w:noProof/>
        </w:rPr>
        <w:t>Концепция призвания у Лютера. Задача исследования.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D1268D" w:rsidRDefault="00D1268D">
      <w:pPr>
        <w:pStyle w:val="10"/>
        <w:rPr>
          <w:noProof/>
        </w:rPr>
      </w:pPr>
    </w:p>
    <w:p w:rsidR="00D1268D" w:rsidRDefault="00D1268D">
      <w:pPr>
        <w:pStyle w:val="10"/>
        <w:rPr>
          <w:noProof/>
        </w:rPr>
      </w:pPr>
    </w:p>
    <w:p w:rsidR="00D1268D" w:rsidRDefault="00EA7044">
      <w:pPr>
        <w:pStyle w:val="10"/>
        <w:rPr>
          <w:noProof/>
        </w:rPr>
      </w:pPr>
      <w:r>
        <w:rPr>
          <w:i/>
          <w:noProof/>
        </w:rPr>
        <w:t>Заключение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D1268D" w:rsidRDefault="00D1268D">
      <w:pPr>
        <w:pStyle w:val="10"/>
        <w:rPr>
          <w:noProof/>
        </w:rPr>
      </w:pPr>
    </w:p>
    <w:p w:rsidR="00D1268D" w:rsidRDefault="00D1268D">
      <w:pPr>
        <w:pStyle w:val="10"/>
        <w:rPr>
          <w:noProof/>
        </w:rPr>
      </w:pPr>
    </w:p>
    <w:p w:rsidR="00D1268D" w:rsidRDefault="00EA7044">
      <w:pPr>
        <w:pStyle w:val="10"/>
        <w:rPr>
          <w:noProof/>
        </w:rPr>
      </w:pPr>
      <w:r>
        <w:rPr>
          <w:noProof/>
        </w:rPr>
        <w:t>Список использованной литературы: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_Toc11175711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D1268D" w:rsidRDefault="00EA7044">
      <w:pPr>
        <w:pStyle w:val="20"/>
        <w:tabs>
          <w:tab w:val="right" w:leader="dot" w:pos="8296"/>
        </w:tabs>
        <w:rPr>
          <w:rFonts w:ascii="Bookman Old Style" w:hAnsi="Bookman Old Style"/>
          <w:sz w:val="40"/>
        </w:rPr>
      </w:pPr>
      <w:r>
        <w:rPr>
          <w:rFonts w:ascii="Bookman Old Style" w:hAnsi="Bookman Old Style"/>
          <w:sz w:val="32"/>
        </w:rPr>
        <w:fldChar w:fldCharType="end"/>
      </w:r>
    </w:p>
    <w:p w:rsidR="00D1268D" w:rsidRDefault="00D1268D">
      <w:pPr>
        <w:jc w:val="center"/>
        <w:rPr>
          <w:rFonts w:ascii="Bookman Old Style" w:hAnsi="Bookman Old Style"/>
          <w:sz w:val="40"/>
        </w:rPr>
      </w:pPr>
    </w:p>
    <w:p w:rsidR="00D1268D" w:rsidRDefault="00D1268D">
      <w:pPr>
        <w:jc w:val="center"/>
        <w:rPr>
          <w:rFonts w:ascii="Bookman Old Style" w:hAnsi="Bookman Old Style"/>
          <w:sz w:val="40"/>
        </w:rPr>
      </w:pPr>
    </w:p>
    <w:p w:rsidR="00D1268D" w:rsidRDefault="00EA7044">
      <w:pPr>
        <w:pStyle w:val="1"/>
        <w:jc w:val="center"/>
      </w:pPr>
      <w:bookmarkStart w:id="0" w:name="_Toc11175443"/>
      <w:bookmarkStart w:id="1" w:name="_Toc11175703"/>
      <w:r>
        <w:t>Введение</w:t>
      </w:r>
      <w:bookmarkEnd w:id="0"/>
      <w:bookmarkEnd w:id="1"/>
    </w:p>
    <w:p w:rsidR="00D1268D" w:rsidRDefault="00D1268D">
      <w:pPr>
        <w:jc w:val="center"/>
        <w:rPr>
          <w:rFonts w:ascii="Bookman Old Style" w:hAnsi="Bookman Old Style"/>
          <w:sz w:val="30"/>
        </w:rPr>
      </w:pPr>
    </w:p>
    <w:p w:rsidR="00D1268D" w:rsidRDefault="00D1268D">
      <w:pPr>
        <w:jc w:val="center"/>
        <w:rPr>
          <w:rFonts w:ascii="Bookman Old Style" w:hAnsi="Bookman Old Style"/>
          <w:sz w:val="30"/>
        </w:rPr>
      </w:pP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М. Вебер ( 1884  - 1920 ) -виднейший немецкий социолог. Одной из основных его работ считается " Протестантская этика и дух капитализма", в продолжении которой Вебер написал сравнительный анализ наиболее значимых религий и проанализировал взаимодействие экономических условий, социальных факторов и религиозных убеждений. Впервые данное произведение было опубликовано в 1905 г. в Германии и с тех пор является одной из лучших работ по анализу причин возникновения современного капитализма.</w:t>
      </w: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pStyle w:val="1"/>
        <w:jc w:val="center"/>
        <w:rPr>
          <w:rFonts w:ascii="Bookman Old Style" w:hAnsi="Bookman Old Style"/>
          <w:b w:val="0"/>
          <w:i/>
          <w:sz w:val="30"/>
        </w:rPr>
      </w:pPr>
      <w:bookmarkStart w:id="2" w:name="_Toc11175444"/>
      <w:bookmarkStart w:id="3" w:name="_Toc11175704"/>
      <w:r>
        <w:rPr>
          <w:rFonts w:ascii="Bookman Old Style" w:hAnsi="Bookman Old Style"/>
          <w:b w:val="0"/>
          <w:i/>
          <w:sz w:val="30"/>
        </w:rPr>
        <w:t>Глава 1</w:t>
      </w:r>
      <w:bookmarkStart w:id="4" w:name="_Toc11175445"/>
      <w:bookmarkEnd w:id="2"/>
      <w:bookmarkEnd w:id="3"/>
    </w:p>
    <w:p w:rsidR="00D1268D" w:rsidRDefault="00EA7044">
      <w:pPr>
        <w:pStyle w:val="1"/>
        <w:jc w:val="center"/>
      </w:pPr>
      <w:bookmarkStart w:id="5" w:name="_Toc11175705"/>
      <w:r>
        <w:rPr>
          <w:rFonts w:ascii="Bookman Old Style" w:hAnsi="Bookman Old Style"/>
          <w:b w:val="0"/>
          <w:i/>
          <w:sz w:val="30"/>
        </w:rPr>
        <w:t>Вероисповедание и социальное разслоение</w:t>
      </w:r>
      <w:bookmarkEnd w:id="4"/>
      <w:bookmarkEnd w:id="5"/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 xml:space="preserve">В начале своей знаменитой книги М. Вебер проводит детальный анализ статистических данных, отражающих распределение протестантов и католиков в различных социальных слоях. На основание данных, собранных в Германии, Австрии и Голландии он приходит к выводу, что протестанты преобладают среди владельцев капитала, предпринимателей и высших квалифицированных слоев рабочих. 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Кроме того, совершенно очевидны различия в образовании: «</w:t>
      </w:r>
      <w:r>
        <w:rPr>
          <w:rFonts w:ascii="Bookman Old Style" w:hAnsi="Bookman Old Style"/>
          <w:i/>
          <w:sz w:val="30"/>
        </w:rPr>
        <w:t xml:space="preserve">среди абитуриентов – католиков </w:t>
      </w:r>
      <w:r>
        <w:rPr>
          <w:rFonts w:ascii="Bookman Old Style" w:hAnsi="Bookman Old Style"/>
          <w:sz w:val="30"/>
        </w:rPr>
        <w:t xml:space="preserve">процент окончивших учебные заведения, которые готовят к технической и торгово – промышленной деятельности, вообще к буржуазному предпринимательству (реальные гимназии, реальные училища, гражданские училища повышенного типа и т. п.), значительно </w:t>
      </w:r>
      <w:r>
        <w:rPr>
          <w:rFonts w:ascii="Bookman Old Style" w:hAnsi="Bookman Old Style"/>
          <w:i/>
          <w:sz w:val="30"/>
        </w:rPr>
        <w:t>ниже</w:t>
      </w:r>
      <w:r>
        <w:rPr>
          <w:rFonts w:ascii="Bookman Old Style" w:hAnsi="Bookman Old Style"/>
          <w:sz w:val="30"/>
        </w:rPr>
        <w:t>, чем среди протестантов – католики явно предпочитают гуманитарную подготовку классических гимназий.»</w:t>
      </w:r>
      <w:r>
        <w:rPr>
          <w:rStyle w:val="a7"/>
          <w:rFonts w:ascii="Bookman Old Style" w:hAnsi="Bookman Old Style"/>
          <w:sz w:val="30"/>
        </w:rPr>
        <w:footnoteReference w:id="1"/>
      </w:r>
      <w:r>
        <w:rPr>
          <w:rFonts w:ascii="Bookman Old Style" w:hAnsi="Bookman Old Style"/>
          <w:sz w:val="30"/>
        </w:rPr>
        <w:t xml:space="preserve"> Так же Вебер замечает, что католики, не занимая ключевых постов в политике и коммерции, «опровергают тенденцию о том, что национальные и религиозные меньшинства, противостоящие в качестве подчиненных какой-либо другой "господствующей" группе …. концентрируют свои усилия в области предпринимательства … Так было с поляками в России и Пруссии … с гугенотами во Франции Людовика </w:t>
      </w:r>
      <w:r>
        <w:rPr>
          <w:rFonts w:ascii="Bookman Old Style" w:hAnsi="Bookman Old Style"/>
          <w:sz w:val="30"/>
          <w:lang w:val="en-US"/>
        </w:rPr>
        <w:t>XIV</w:t>
      </w:r>
      <w:r>
        <w:rPr>
          <w:rFonts w:ascii="Bookman Old Style" w:hAnsi="Bookman Old Style"/>
          <w:sz w:val="30"/>
        </w:rPr>
        <w:t xml:space="preserve">, с нонконформистами и квакерами в Англии и – </w:t>
      </w:r>
      <w:r>
        <w:rPr>
          <w:rFonts w:ascii="Bookman Old Style" w:hAnsi="Bookman Old Style"/>
          <w:sz w:val="30"/>
          <w:lang w:val="en-US"/>
        </w:rPr>
        <w:t>last not least</w:t>
      </w:r>
      <w:r>
        <w:rPr>
          <w:rStyle w:val="a7"/>
          <w:rFonts w:ascii="Bookman Old Style" w:hAnsi="Bookman Old Style"/>
          <w:sz w:val="30"/>
          <w:lang w:val="en-US"/>
        </w:rPr>
        <w:footnoteReference w:customMarkFollows="1" w:id="2"/>
        <w:sym w:font="Symbol" w:char="F02A"/>
      </w:r>
      <w:r>
        <w:rPr>
          <w:rFonts w:ascii="Bookman Old Style" w:hAnsi="Bookman Old Style"/>
          <w:sz w:val="30"/>
          <w:lang w:val="en-US"/>
        </w:rPr>
        <w:t xml:space="preserve"> – </w:t>
      </w:r>
      <w:r>
        <w:rPr>
          <w:rFonts w:ascii="Bookman Old Style" w:hAnsi="Bookman Old Style"/>
          <w:sz w:val="30"/>
        </w:rPr>
        <w:t>с евреями на протяжении двух тысячелетий. Между тем католики Германии не подтверждают эту закономерность …»</w:t>
      </w:r>
      <w:r>
        <w:rPr>
          <w:rStyle w:val="a7"/>
          <w:rFonts w:ascii="Bookman Old Style" w:hAnsi="Bookman Old Style"/>
          <w:sz w:val="30"/>
        </w:rPr>
        <w:footnoteReference w:id="3"/>
      </w:r>
      <w:r>
        <w:rPr>
          <w:rFonts w:ascii="Bookman Old Style" w:hAnsi="Bookman Old Style"/>
          <w:sz w:val="30"/>
        </w:rPr>
        <w:t>.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Он задается вопросом, с чем связанно столь четкое определение социального статуса во взаимосвязи с религией. И, не смотря на то, что действительно существуют объективно-исторические причины преобладания протестантов среди наиболее обеспечнных слоев населения, он все же склоняется к тому, что причину различного поведения следует искать в «устойчивом внутреннем своеобразии каждого вероисповедании, а не только в историко-политическом положении»</w:t>
      </w:r>
      <w:r>
        <w:rPr>
          <w:rStyle w:val="a7"/>
          <w:rFonts w:ascii="Bookman Old Style" w:hAnsi="Bookman Old Style"/>
          <w:sz w:val="30"/>
        </w:rPr>
        <w:footnoteReference w:id="4"/>
      </w:r>
      <w:r>
        <w:rPr>
          <w:rFonts w:ascii="Bookman Old Style" w:hAnsi="Bookman Old Style"/>
          <w:sz w:val="30"/>
        </w:rPr>
        <w:t>.</w:t>
      </w: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pStyle w:val="1"/>
        <w:jc w:val="center"/>
        <w:rPr>
          <w:rFonts w:ascii="Bookman Old Style" w:hAnsi="Bookman Old Style"/>
          <w:b w:val="0"/>
          <w:i/>
          <w:sz w:val="30"/>
        </w:rPr>
      </w:pPr>
      <w:bookmarkStart w:id="6" w:name="_Toc11175446"/>
      <w:bookmarkStart w:id="7" w:name="_Toc11175706"/>
      <w:r>
        <w:rPr>
          <w:rFonts w:ascii="Bookman Old Style" w:hAnsi="Bookman Old Style"/>
          <w:b w:val="0"/>
          <w:i/>
          <w:sz w:val="30"/>
        </w:rPr>
        <w:t>Глава2</w:t>
      </w:r>
      <w:bookmarkEnd w:id="6"/>
      <w:bookmarkEnd w:id="7"/>
    </w:p>
    <w:p w:rsidR="00D1268D" w:rsidRDefault="00EA7044">
      <w:pPr>
        <w:pStyle w:val="1"/>
        <w:jc w:val="center"/>
      </w:pPr>
      <w:bookmarkStart w:id="8" w:name="_Toc11175447"/>
      <w:bookmarkStart w:id="9" w:name="_Toc11175707"/>
      <w:r>
        <w:rPr>
          <w:rFonts w:ascii="Bookman Old Style" w:hAnsi="Bookman Old Style"/>
          <w:b w:val="0"/>
          <w:i/>
          <w:sz w:val="30"/>
        </w:rPr>
        <w:t>Дух капитализма</w:t>
      </w:r>
      <w:bookmarkEnd w:id="8"/>
      <w:bookmarkEnd w:id="9"/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Далее следует попытка дать определение так называемого "духа капитализма", вынесенного в заглавие книги. Под духом капитализма Вебер понимает следующее:</w:t>
      </w:r>
      <w:r>
        <w:rPr>
          <w:rFonts w:ascii="Bookman Old Style" w:hAnsi="Bookman Old Style"/>
          <w:sz w:val="30"/>
        </w:rPr>
        <w:tab/>
        <w:t>"комплекс</w:t>
      </w:r>
      <w:r>
        <w:rPr>
          <w:rFonts w:ascii="Bookman Old Style" w:hAnsi="Bookman Old Style"/>
          <w:sz w:val="30"/>
        </w:rPr>
        <w:tab/>
        <w:t>связей,</w:t>
      </w:r>
      <w:r>
        <w:rPr>
          <w:rFonts w:ascii="Bookman Old Style" w:hAnsi="Bookman Old Style"/>
          <w:sz w:val="30"/>
        </w:rPr>
        <w:tab/>
        <w:t>существующих</w:t>
      </w:r>
      <w:r>
        <w:rPr>
          <w:rFonts w:ascii="Bookman Old Style" w:hAnsi="Bookman Old Style"/>
          <w:sz w:val="30"/>
        </w:rPr>
        <w:tab/>
        <w:t>в</w:t>
      </w:r>
      <w:r>
        <w:rPr>
          <w:rFonts w:ascii="Bookman Old Style" w:hAnsi="Bookman Old Style"/>
          <w:sz w:val="30"/>
        </w:rPr>
        <w:tab/>
        <w:t>исторической</w:t>
      </w:r>
      <w:r>
        <w:rPr>
          <w:rFonts w:ascii="Bookman Old Style" w:hAnsi="Bookman Old Style"/>
          <w:sz w:val="30"/>
        </w:rPr>
        <w:tab/>
        <w:t xml:space="preserve">действительности, которые мы в понятии объединяем в одно целое под углом зрения их </w:t>
      </w:r>
      <w:r>
        <w:rPr>
          <w:rFonts w:ascii="Bookman Old Style" w:hAnsi="Bookman Old Style"/>
          <w:i/>
          <w:sz w:val="30"/>
        </w:rPr>
        <w:t>культурного значения</w:t>
      </w:r>
      <w:r>
        <w:rPr>
          <w:rStyle w:val="a7"/>
          <w:rFonts w:ascii="Bookman Old Style" w:hAnsi="Bookman Old Style"/>
          <w:i/>
          <w:sz w:val="30"/>
        </w:rPr>
        <w:footnoteReference w:id="5"/>
      </w:r>
      <w:r>
        <w:rPr>
          <w:rFonts w:ascii="Bookman Old Style" w:hAnsi="Bookman Old Style"/>
          <w:sz w:val="30"/>
        </w:rPr>
        <w:t xml:space="preserve">. 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 xml:space="preserve">Автор приводит целый ряд цитат Бенджамина Франклина, который является неким пропагандистом «философии скупости. Идеал её - </w:t>
      </w:r>
      <w:r>
        <w:rPr>
          <w:rFonts w:ascii="Bookman Old Style" w:hAnsi="Bookman Old Style"/>
          <w:i/>
          <w:sz w:val="30"/>
        </w:rPr>
        <w:t>кредитоспособный</w:t>
      </w:r>
      <w:r>
        <w:rPr>
          <w:rFonts w:ascii="Bookman Old Style" w:hAnsi="Bookman Old Style"/>
          <w:sz w:val="30"/>
        </w:rPr>
        <w:t>, добропорядочный человек, долг которого рассматривать приумножение своего капитала как самоцель»</w:t>
      </w:r>
      <w:r>
        <w:rPr>
          <w:rStyle w:val="a7"/>
          <w:rFonts w:ascii="Bookman Old Style" w:hAnsi="Bookman Old Style"/>
          <w:sz w:val="30"/>
        </w:rPr>
        <w:footnoteReference w:id="6"/>
      </w:r>
      <w:r>
        <w:rPr>
          <w:rFonts w:ascii="Bookman Old Style" w:hAnsi="Bookman Old Style"/>
          <w:sz w:val="30"/>
        </w:rPr>
        <w:t xml:space="preserve">. На первый взгляд речь идет о чисто эгоистичной, утилитарной  модели мира, когда «честность </w:t>
      </w:r>
      <w:r>
        <w:rPr>
          <w:rFonts w:ascii="Bookman Old Style" w:hAnsi="Bookman Old Style"/>
          <w:i/>
          <w:sz w:val="30"/>
        </w:rPr>
        <w:t xml:space="preserve">полезна </w:t>
      </w:r>
      <w:r>
        <w:rPr>
          <w:rFonts w:ascii="Bookman Old Style" w:hAnsi="Bookman Old Style"/>
          <w:sz w:val="30"/>
        </w:rPr>
        <w:t>ибо она приносит кредит»</w:t>
      </w:r>
      <w:r>
        <w:rPr>
          <w:rStyle w:val="a7"/>
          <w:rFonts w:ascii="Bookman Old Style" w:hAnsi="Bookman Old Style"/>
          <w:sz w:val="30"/>
        </w:rPr>
        <w:footnoteReference w:id="7"/>
      </w:r>
      <w:r>
        <w:rPr>
          <w:rFonts w:ascii="Bookman Old Style" w:hAnsi="Bookman Old Style"/>
          <w:sz w:val="30"/>
        </w:rPr>
        <w:t>.  Но высшее благо этой этики в наживе, при полном отказе от наслаждения. И, таким образом, нажива мыслится как самоцель. В данном случае речь идет не просто о житейских советах, а о некой своеобразной этике. Так же можно сказать, что такая позиция является прекрасным этическим основанием теории рационального выбора. Вебер считает, что честность, если она приносит кредит столь же ценна как и истинная честность.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Вебер замечает такую характерную особенность, что если рассматривать капитализм с точки зрения марксизма, то все его характерные черты можно обнаружить в Древнем Китае, Индии, Вавилоне, но всем этим эпохам не хватало именно духа современного капитализма.  Там всегда была жажда к наживе, деление на классы,  но не было нацеленности на рациональную организованность труда.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Так, южные штаты Америки были созданы крупными промышленниками для извлечения наживы, но там дух капитализма  был менее развит, нежели в позднее образованных проповедниками северных штатах.</w:t>
      </w:r>
    </w:p>
    <w:p w:rsidR="00D1268D" w:rsidRDefault="00EA7044">
      <w:pPr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ab/>
        <w:t>Исходя из этого, Вебер разделяет капитализм на "традиционный" и "современный", по способу организации предприятия. Он пишет, что современный капитализм повсюду натыкаясь на традиционный, боролся с его проявлениями. «В ряде случаев повышение расценок влечет за собой не рост, а снижение производительности труда, так как рабочие реагируют на повышение заработной платы уменьшением, а не увеличением дневной выработки»</w:t>
      </w:r>
      <w:r>
        <w:rPr>
          <w:rStyle w:val="a7"/>
          <w:rFonts w:ascii="Bookman Old Style" w:hAnsi="Bookman Old Style"/>
          <w:sz w:val="30"/>
        </w:rPr>
        <w:footnoteReference w:id="8"/>
      </w:r>
      <w:r>
        <w:rPr>
          <w:rFonts w:ascii="Bookman Old Style" w:hAnsi="Bookman Old Style"/>
          <w:sz w:val="30"/>
        </w:rPr>
        <w:t>.</w:t>
      </w:r>
    </w:p>
    <w:p w:rsidR="00D1268D" w:rsidRDefault="00EA7044">
      <w:pPr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ab/>
        <w:t xml:space="preserve">Вебер считал, что для развития капитализма, необходим некоторый избыток населения, обеспечивающий наличие на рынке дешевой рабочей силы. Но низкая заработанная плата отнюдь не тождественна дешевому труду Даже чисто в количественном отношении производительность труда падает в тех случаях, </w:t>
      </w:r>
      <w:r>
        <w:rPr>
          <w:rFonts w:ascii="Bookman Old Style" w:hAnsi="Bookman Old Style"/>
          <w:sz w:val="30"/>
        </w:rPr>
        <w:tab/>
        <w:t>когда не обеспечивает потребностей физического существования. «Низкая заработная плата отнюдь не тождественна дешевому труду. Даже в чисто количественном отношении производительность труда падает во всех тех случаях, когда заработная плата не обеспечивает потребности физического существования»</w:t>
      </w:r>
      <w:r>
        <w:rPr>
          <w:rStyle w:val="a7"/>
          <w:rFonts w:ascii="Bookman Old Style" w:hAnsi="Bookman Old Style"/>
          <w:sz w:val="30"/>
        </w:rPr>
        <w:footnoteReference w:id="9"/>
      </w:r>
      <w:r>
        <w:rPr>
          <w:rFonts w:ascii="Bookman Old Style" w:hAnsi="Bookman Old Style"/>
          <w:sz w:val="30"/>
        </w:rPr>
        <w:t xml:space="preserve">. </w:t>
      </w:r>
    </w:p>
    <w:p w:rsidR="00D1268D" w:rsidRDefault="00EA7044">
      <w:pPr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ab/>
        <w:t xml:space="preserve">Таким образом, радикальное различие между традиционным и современным капитализмом не в технике, а в человеческих ресурсах, точнее, отношении человека к труду. </w:t>
      </w:r>
    </w:p>
    <w:p w:rsidR="00D1268D" w:rsidRDefault="00D1268D">
      <w:pPr>
        <w:jc w:val="both"/>
        <w:rPr>
          <w:rFonts w:ascii="Bookman Old Style" w:hAnsi="Bookman Old Style"/>
          <w:sz w:val="3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D1268D">
        <w:tc>
          <w:tcPr>
            <w:tcW w:w="4261" w:type="dxa"/>
            <w:shd w:val="pct20" w:color="auto" w:fill="FFFFFF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Традиционный человек</w:t>
            </w:r>
          </w:p>
        </w:tc>
        <w:tc>
          <w:tcPr>
            <w:tcW w:w="4261" w:type="dxa"/>
            <w:shd w:val="pct20" w:color="auto" w:fill="FFFFFF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Современный протестант</w:t>
            </w:r>
          </w:p>
        </w:tc>
      </w:tr>
      <w:tr w:rsidR="00D1268D"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Работает, чтобы жить</w:t>
            </w:r>
          </w:p>
        </w:tc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 xml:space="preserve">Живет, чтобы работать </w:t>
            </w:r>
          </w:p>
        </w:tc>
      </w:tr>
      <w:tr w:rsidR="00D1268D"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Профессия -бремя</w:t>
            </w:r>
          </w:p>
        </w:tc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Профессия- форма существования</w:t>
            </w:r>
          </w:p>
        </w:tc>
      </w:tr>
      <w:tr w:rsidR="00D1268D"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Простое производство</w:t>
            </w:r>
          </w:p>
        </w:tc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Расширенное производство</w:t>
            </w:r>
          </w:p>
        </w:tc>
      </w:tr>
      <w:tr w:rsidR="00D1268D"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Не обманешь- не продашь</w:t>
            </w:r>
          </w:p>
        </w:tc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Честность -лучшая гарантия</w:t>
            </w:r>
          </w:p>
        </w:tc>
      </w:tr>
      <w:tr w:rsidR="00D1268D"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Основной вид деятельности - торговля</w:t>
            </w:r>
          </w:p>
        </w:tc>
        <w:tc>
          <w:tcPr>
            <w:tcW w:w="4261" w:type="dxa"/>
          </w:tcPr>
          <w:p w:rsidR="00D1268D" w:rsidRDefault="00EA7044">
            <w:pPr>
              <w:jc w:val="both"/>
              <w:rPr>
                <w:rFonts w:ascii="Bookman Old Style" w:hAnsi="Bookman Old Style"/>
                <w:sz w:val="30"/>
              </w:rPr>
            </w:pPr>
            <w:r>
              <w:rPr>
                <w:rFonts w:ascii="Bookman Old Style" w:hAnsi="Bookman Old Style"/>
                <w:sz w:val="30"/>
              </w:rPr>
              <w:t>Основной вид деятельности - производство</w:t>
            </w:r>
          </w:p>
        </w:tc>
      </w:tr>
    </w:tbl>
    <w:p w:rsidR="00D1268D" w:rsidRDefault="00D1268D">
      <w:pPr>
        <w:jc w:val="both"/>
        <w:rPr>
          <w:rFonts w:ascii="Bookman Old Style" w:hAnsi="Bookman Old Style"/>
          <w:sz w:val="30"/>
        </w:rPr>
      </w:pPr>
    </w:p>
    <w:p w:rsidR="00D1268D" w:rsidRDefault="00EA7044">
      <w:pPr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««Идеальный</w:t>
      </w:r>
      <w:r>
        <w:rPr>
          <w:rFonts w:ascii="Bookman Old Style" w:hAnsi="Bookman Old Style"/>
          <w:sz w:val="30"/>
        </w:rPr>
        <w:tab/>
        <w:t>тип»</w:t>
      </w:r>
      <w:r>
        <w:rPr>
          <w:rFonts w:ascii="Bookman Old Style" w:hAnsi="Bookman Old Style"/>
          <w:sz w:val="30"/>
        </w:rPr>
        <w:tab/>
        <w:t>капиталистическогопредпринима-теля, к которому приближаются и отдельные выдающиеся предприниматели Германии, не имеет ничего общего с … чванством ни в его грубом, ни в его более тонком выражении. Ему чужды показная роскошь и расточительство, а также упоение властью и внешнее выражение того почета, которым он пользуется в обществе. Его образу жизни свойственна известная аскетическая направленность … сдержанность и скромность»</w:t>
      </w:r>
      <w:r>
        <w:rPr>
          <w:rStyle w:val="a7"/>
          <w:rFonts w:ascii="Bookman Old Style" w:hAnsi="Bookman Old Style"/>
          <w:sz w:val="30"/>
        </w:rPr>
        <w:footnoteReference w:id="10"/>
      </w:r>
      <w:r>
        <w:rPr>
          <w:rFonts w:ascii="Bookman Old Style" w:hAnsi="Bookman Old Style"/>
          <w:sz w:val="30"/>
        </w:rPr>
        <w:t>. «Самому предпринимателю такого типа  богатство «ничего не дает» (цитата Вебера), разве что иррациональное ощущение хорошо исполненного долга в рамках своего призвания»</w:t>
      </w:r>
      <w:r>
        <w:rPr>
          <w:rStyle w:val="a7"/>
          <w:rFonts w:ascii="Bookman Old Style" w:hAnsi="Bookman Old Style"/>
          <w:sz w:val="30"/>
        </w:rPr>
        <w:footnoteReference w:id="11"/>
      </w:r>
      <w:r>
        <w:rPr>
          <w:rFonts w:ascii="Bookman Old Style" w:hAnsi="Bookman Old Style"/>
          <w:sz w:val="30"/>
        </w:rPr>
        <w:t xml:space="preserve">. </w:t>
      </w:r>
    </w:p>
    <w:p w:rsidR="00D1268D" w:rsidRDefault="00EA7044">
      <w:pPr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Поэтому этот тип поведения так часто осуждался в традиционных обществах: «…кто-либо может сделать единственной целю своей жизненной деятельности накоплением материальных благ, может стремиться к тому, чтобы сойти в могилу обремененным деньгами, люди иной эпохи способны были воспринимать лишь как результат извращенных наклонностей»</w:t>
      </w:r>
      <w:r>
        <w:rPr>
          <w:rStyle w:val="a7"/>
          <w:rFonts w:ascii="Bookman Old Style" w:hAnsi="Bookman Old Style"/>
          <w:sz w:val="30"/>
        </w:rPr>
        <w:footnoteReference w:id="12"/>
      </w:r>
      <w:r>
        <w:rPr>
          <w:rFonts w:ascii="Bookman Old Style" w:hAnsi="Bookman Old Style"/>
          <w:sz w:val="30"/>
        </w:rPr>
        <w:t xml:space="preserve">.  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 xml:space="preserve">Далее Вебер анализирует современное общество и приходит к выводу о том, что капиталистическое хозяйство не нуждается больше в санкции того или иного религиозного учения и видит в любом ( если это возможно) влиянии церкви на хозяйственную жизнь такую же помеху, как и регламентация экономики со стороны государства. Мировоззрение теперь определяется интересами торговли и социальной политики. Все эти явления той эпохи, когда капитализм, одержав победу, отбрасывает ненужную ему опору. Подобно тому, как он в свое время сумел разрушить старые средневековые формы регламентирования хозяйства только в союзе со складывающейся государственной властью, он, может быть использовал и религиозные убеждения. Ибо едва ли требует доказательство то, что концепция наживы противоречит нравственным воззрениям целых эпох. 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Отношение носителей новых веяний и церкви складывались достаточно сложно. К торговцам и крупным промышленникам церковь относилась достаточно сдержано, считая то, что они делают в лучшем случае только терпимым. Торговцы же, в свою очередь, опасаясь грядущего после смерти, старались задобрить Бога, посредством церкви, подарками в виде крупных сумм денег, передаваемых как при жизни, так и после смерти: «Источники свидетельствуюто том, что после смерти богатых людей весьма значительные суммы поступали в церковную казну в виде «покаянных денег», а в иных случаях и возвращались прежним должникам в качестве несправедливо взятых с них «</w:t>
      </w:r>
      <w:r>
        <w:rPr>
          <w:rFonts w:ascii="Bookman Old Style" w:hAnsi="Bookman Old Style"/>
          <w:sz w:val="30"/>
          <w:lang w:val="en-US"/>
        </w:rPr>
        <w:t>usura</w:t>
      </w:r>
      <w:r>
        <w:rPr>
          <w:rFonts w:ascii="Bookman Old Style" w:hAnsi="Bookman Old Style"/>
          <w:sz w:val="30"/>
        </w:rPr>
        <w:t>»</w:t>
      </w:r>
      <w:r>
        <w:rPr>
          <w:rStyle w:val="a7"/>
          <w:rFonts w:ascii="Bookman Old Style" w:hAnsi="Bookman Old Style"/>
          <w:sz w:val="30"/>
        </w:rPr>
        <w:footnoteReference w:customMarkFollows="1" w:id="13"/>
        <w:t>**</w:t>
      </w:r>
      <w:r>
        <w:rPr>
          <w:rFonts w:ascii="Bookman Old Style" w:hAnsi="Bookman Old Style"/>
          <w:sz w:val="30"/>
        </w:rPr>
        <w:t>. Дело обстоит иначе – если оставить в стороне еретические или рассматриваемые как сомнительные по своим учениям направления – лишь в патрицианских кругах, которые внутренне были уже свободны от власти традиции. Однако даже скептически настроенные или далекие от церковности люди предпочитали на всякий случай примириться с церковью, пожертвовав в ее казну определенную сумму денег, ввиду полной неизвестности того, что ждет человека после смерти</w:t>
      </w:r>
      <w:r>
        <w:rPr>
          <w:rFonts w:ascii="Bookman Old Style" w:hAnsi="Bookman Old Style"/>
          <w:sz w:val="30"/>
          <w:lang w:val="en-US"/>
        </w:rPr>
        <w:t>,</w:t>
      </w:r>
      <w:r>
        <w:rPr>
          <w:rFonts w:ascii="Bookman Old Style" w:hAnsi="Bookman Old Style"/>
          <w:sz w:val="30"/>
        </w:rPr>
        <w:t xml:space="preserve"> тем более что (согласно  весьма рспрострненному более мягкому воззрению) для спасения души одстаточно было выполнить предписываемые церковью внешние обряды»</w:t>
      </w:r>
      <w:r>
        <w:rPr>
          <w:rStyle w:val="a7"/>
          <w:rFonts w:ascii="Bookman Old Style" w:hAnsi="Bookman Old Style"/>
          <w:sz w:val="30"/>
        </w:rPr>
        <w:footnoteReference w:id="14"/>
      </w:r>
      <w:r>
        <w:rPr>
          <w:rFonts w:ascii="Bookman Old Style" w:hAnsi="Bookman Old Style"/>
          <w:sz w:val="30"/>
        </w:rPr>
        <w:t>.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Вебер проводит глубокий анализ развития взглядов на занятие мирской деятельностью предреформенной церкви. Он сразу же оговаривается, что программа этических реформы никогда не стояла в центре внимания кого-либо из реформаторов. Спасение души, и только оно, было основной целью их жизни и деятельности. Этические воздействия их учений были лишь следствием религиорзных мотивов. Вебер считает, что культурные влияния реформ в значительной своей части были непредвиденными и даже нежелательными для самих реформаторов.</w:t>
      </w: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both"/>
        <w:rPr>
          <w:rFonts w:ascii="Bookman Old Style" w:hAnsi="Bookman Old Style"/>
          <w:i/>
          <w:sz w:val="30"/>
        </w:rPr>
      </w:pPr>
    </w:p>
    <w:p w:rsidR="00D1268D" w:rsidRDefault="00EA7044">
      <w:pPr>
        <w:pStyle w:val="1"/>
        <w:jc w:val="center"/>
        <w:rPr>
          <w:rFonts w:ascii="Bookman Old Style" w:hAnsi="Bookman Old Style"/>
          <w:b w:val="0"/>
          <w:i/>
          <w:sz w:val="30"/>
        </w:rPr>
      </w:pPr>
      <w:bookmarkStart w:id="10" w:name="_Toc11175448"/>
      <w:bookmarkStart w:id="11" w:name="_Toc11175708"/>
      <w:r>
        <w:rPr>
          <w:rFonts w:ascii="Bookman Old Style" w:hAnsi="Bookman Old Style"/>
          <w:b w:val="0"/>
          <w:i/>
          <w:sz w:val="30"/>
        </w:rPr>
        <w:t>Глава3</w:t>
      </w:r>
      <w:bookmarkEnd w:id="10"/>
      <w:bookmarkEnd w:id="11"/>
    </w:p>
    <w:p w:rsidR="00D1268D" w:rsidRDefault="00EA7044">
      <w:pPr>
        <w:pStyle w:val="1"/>
        <w:jc w:val="center"/>
        <w:rPr>
          <w:rFonts w:ascii="Bookman Old Style" w:hAnsi="Bookman Old Style"/>
          <w:b w:val="0"/>
          <w:i/>
          <w:sz w:val="30"/>
        </w:rPr>
      </w:pPr>
      <w:bookmarkStart w:id="12" w:name="_Toc11175449"/>
      <w:bookmarkStart w:id="13" w:name="_Toc11175709"/>
      <w:r>
        <w:rPr>
          <w:rFonts w:ascii="Bookman Old Style" w:hAnsi="Bookman Old Style"/>
          <w:b w:val="0"/>
          <w:i/>
          <w:sz w:val="30"/>
        </w:rPr>
        <w:t>Концепция призвания у Лютера. Задача исследования.</w:t>
      </w:r>
      <w:bookmarkEnd w:id="12"/>
      <w:bookmarkEnd w:id="13"/>
    </w:p>
    <w:p w:rsidR="00D1268D" w:rsidRDefault="00D1268D">
      <w:pPr>
        <w:pStyle w:val="1"/>
        <w:jc w:val="center"/>
        <w:rPr>
          <w:rFonts w:ascii="Bookman Old Style" w:hAnsi="Bookman Old Style"/>
          <w:b w:val="0"/>
          <w:i/>
          <w:sz w:val="30"/>
        </w:rPr>
      </w:pP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Вебер проводит морфологический разбор слова «</w:t>
      </w:r>
      <w:r>
        <w:rPr>
          <w:rFonts w:ascii="Bookman Old Style" w:hAnsi="Bookman Old Style"/>
          <w:sz w:val="30"/>
          <w:lang w:val="en-US"/>
        </w:rPr>
        <w:t>Beruf</w:t>
      </w:r>
      <w:r>
        <w:rPr>
          <w:rFonts w:ascii="Bookman Old Style" w:hAnsi="Bookman Old Style"/>
          <w:sz w:val="30"/>
        </w:rPr>
        <w:t>» - призвание в немецком и «</w:t>
      </w:r>
      <w:r>
        <w:rPr>
          <w:rFonts w:ascii="Bookman Old Style" w:hAnsi="Bookman Old Style"/>
          <w:sz w:val="30"/>
          <w:lang w:val="en-US"/>
        </w:rPr>
        <w:t>calling</w:t>
      </w:r>
      <w:r>
        <w:rPr>
          <w:rFonts w:ascii="Bookman Old Style" w:hAnsi="Bookman Old Style"/>
          <w:sz w:val="30"/>
        </w:rPr>
        <w:t>» в английском языках. Это слово впервые появилось в Библии и далее оно обрело свое значение во всех светских языках народов, исповедующих протестантизм. «Безусловно новым было то, однако, следующее: в этом понятии заключена оценка, согласно которой выполнение долга в рамках мирской профессии рассматривается как наивысшая нравственная задача человека»</w:t>
      </w:r>
      <w:r>
        <w:rPr>
          <w:rStyle w:val="a7"/>
          <w:rFonts w:ascii="Bookman Old Style" w:hAnsi="Bookman Old Style"/>
          <w:sz w:val="30"/>
        </w:rPr>
        <w:footnoteReference w:id="15"/>
      </w:r>
      <w:r>
        <w:rPr>
          <w:rFonts w:ascii="Bookman Old Style" w:hAnsi="Bookman Old Style"/>
          <w:sz w:val="30"/>
        </w:rPr>
        <w:t>. В этом утверждении находит подтверждение центральный догмат протестантской этики в противу католицизму, отвергающий пренебрежение мирской нравственностью с высот монашеской аскезы, а предлагает выполнение мирских обязанностей так, как они определены для каждого человека его местом в жизни. Тем самым обязанность становится его призванием. Т. е. декларируется равенство всех профессий перед Богом.</w:t>
      </w: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Основные значимые догматы протестантизма:</w:t>
      </w: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.Человек изначально грешен</w:t>
      </w:r>
    </w:p>
    <w:p w:rsidR="00D1268D" w:rsidRDefault="00EA704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До начала жизни все предопределено</w:t>
      </w:r>
    </w:p>
    <w:p w:rsidR="00D1268D" w:rsidRDefault="00EA704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Знак о том, спасен ты или нет можно получить лишь совершенствуясь в своей профессии.</w:t>
      </w:r>
    </w:p>
    <w:p w:rsidR="00D1268D" w:rsidRDefault="00EA704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Послушание властям</w:t>
      </w:r>
    </w:p>
    <w:p w:rsidR="00D1268D" w:rsidRDefault="00EA704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Отрицание превосходства аскетического долга над мирским.</w:t>
      </w:r>
    </w:p>
    <w:p w:rsidR="00D1268D" w:rsidRDefault="00EA704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Примирение со своим местом в мире.</w:t>
      </w: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ind w:firstLine="72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 xml:space="preserve">Протестантская церковь отменила выкуп грехов. Взаимоотношения Бога и человека были определены предельно жестко - есть избранные и есть неизбранные, изменить ничего нельзя, но можно почувствовать себя избранным. Для этого необходимо, во-первых, тщательно исполнять свой профессиональный долг, а во вторых, избегать наслаждений - и в совокупности это должно обеспечить рост богатства. Так появился веберовский предприниматель - трудолюбивый, инициативный, скромный в потребностях, любящий деньги ради самих денег. </w:t>
      </w: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both"/>
        <w:rPr>
          <w:rFonts w:ascii="Bookman Old Style" w:hAnsi="Bookman Old Style"/>
          <w:sz w:val="30"/>
        </w:rPr>
      </w:pPr>
    </w:p>
    <w:p w:rsidR="00D1268D" w:rsidRDefault="00EA7044">
      <w:pPr>
        <w:pStyle w:val="1"/>
        <w:jc w:val="center"/>
        <w:rPr>
          <w:rFonts w:ascii="Bookman Old Style" w:hAnsi="Bookman Old Style"/>
          <w:b w:val="0"/>
          <w:i/>
          <w:sz w:val="36"/>
        </w:rPr>
      </w:pPr>
      <w:bookmarkStart w:id="14" w:name="_Toc11175450"/>
      <w:bookmarkStart w:id="15" w:name="_Toc11175710"/>
      <w:r>
        <w:rPr>
          <w:rFonts w:ascii="Bookman Old Style" w:hAnsi="Bookman Old Style"/>
          <w:b w:val="0"/>
          <w:i/>
          <w:sz w:val="36"/>
        </w:rPr>
        <w:t>Заключение</w:t>
      </w:r>
      <w:bookmarkEnd w:id="14"/>
      <w:bookmarkEnd w:id="15"/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EA7044">
      <w:pPr>
        <w:ind w:firstLine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Главной филосовской идеей в данном произведении является на мой взгляд следующее:</w:t>
      </w:r>
    </w:p>
    <w:p w:rsidR="00D1268D" w:rsidRDefault="00EA7044">
      <w:pPr>
        <w:numPr>
          <w:ilvl w:val="0"/>
          <w:numId w:val="3"/>
        </w:numPr>
        <w:tabs>
          <w:tab w:val="clear" w:pos="1080"/>
        </w:tabs>
        <w:ind w:left="426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Целерациональный тип действия, то есть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a) направленное к достижению ясно сознаваемых самим действующим индивидом целей и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 xml:space="preserve">b) </w:t>
      </w:r>
      <w:r>
        <w:rPr>
          <w:rFonts w:ascii="Bookman Old Style" w:hAnsi="Bookman Old Style"/>
          <w:sz w:val="30"/>
        </w:rPr>
        <w:t>использующее для достижения этих целей средства, признаваемыми за адекватные самим действующим индивидом.</w:t>
      </w:r>
    </w:p>
    <w:p w:rsidR="00D1268D" w:rsidRDefault="00EA7044">
      <w:pPr>
        <w:numPr>
          <w:ilvl w:val="0"/>
          <w:numId w:val="3"/>
        </w:numPr>
        <w:tabs>
          <w:tab w:val="clear" w:pos="1080"/>
        </w:tabs>
        <w:ind w:left="426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 xml:space="preserve"> Три типа господства: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 xml:space="preserve">a) </w:t>
      </w:r>
      <w:r>
        <w:rPr>
          <w:rFonts w:ascii="Bookman Old Style" w:hAnsi="Bookman Old Style"/>
          <w:sz w:val="30"/>
        </w:rPr>
        <w:t xml:space="preserve">Легальный, </w:t>
      </w:r>
    </w:p>
    <w:p w:rsidR="00D1268D" w:rsidRDefault="00EA7044">
      <w:pPr>
        <w:ind w:firstLine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 xml:space="preserve">b) </w:t>
      </w:r>
      <w:r>
        <w:rPr>
          <w:rFonts w:ascii="Bookman Old Style" w:hAnsi="Bookman Old Style"/>
          <w:sz w:val="30"/>
        </w:rPr>
        <w:t>традиционный,</w:t>
      </w:r>
    </w:p>
    <w:p w:rsidR="00D1268D" w:rsidRDefault="00EA7044">
      <w:pPr>
        <w:ind w:firstLine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 xml:space="preserve">c) </w:t>
      </w:r>
      <w:r>
        <w:rPr>
          <w:rFonts w:ascii="Bookman Old Style" w:hAnsi="Bookman Old Style"/>
          <w:sz w:val="30"/>
        </w:rPr>
        <w:t>харизматический.</w:t>
      </w:r>
    </w:p>
    <w:p w:rsidR="00D1268D" w:rsidRDefault="00EA7044">
      <w:pPr>
        <w:numPr>
          <w:ilvl w:val="0"/>
          <w:numId w:val="3"/>
        </w:numPr>
        <w:tabs>
          <w:tab w:val="clear" w:pos="1080"/>
        </w:tabs>
        <w:ind w:left="426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 xml:space="preserve"> Три ценности: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>a)</w:t>
      </w:r>
      <w:r>
        <w:rPr>
          <w:rFonts w:ascii="Bookman Old Style" w:hAnsi="Bookman Old Style"/>
          <w:sz w:val="30"/>
        </w:rPr>
        <w:t xml:space="preserve"> этика братской любви,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>b)</w:t>
      </w:r>
      <w:r>
        <w:rPr>
          <w:rFonts w:ascii="Bookman Old Style" w:hAnsi="Bookman Old Style"/>
          <w:sz w:val="30"/>
        </w:rPr>
        <w:t xml:space="preserve"> освобожденный от ценностей и ставший чисто функциональным «разум», то есть формальная рациональность,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  <w:lang w:val="en-US"/>
        </w:rPr>
        <w:t>c)</w:t>
      </w:r>
      <w:r>
        <w:rPr>
          <w:rFonts w:ascii="Bookman Old Style" w:hAnsi="Bookman Old Style"/>
          <w:sz w:val="30"/>
        </w:rPr>
        <w:t xml:space="preserve"> стихийно – экстатическое начало, харизма.</w:t>
      </w:r>
    </w:p>
    <w:p w:rsidR="00D1268D" w:rsidRDefault="00EA7044">
      <w:pPr>
        <w:ind w:left="720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Мировоззренческой основой мышления Вебера является политеизм, «вечная борьба богов».</w:t>
      </w: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D1268D">
      <w:pPr>
        <w:ind w:firstLine="720"/>
        <w:jc w:val="center"/>
        <w:rPr>
          <w:rFonts w:ascii="Bookman Old Style" w:hAnsi="Bookman Old Style"/>
          <w:sz w:val="30"/>
        </w:rPr>
      </w:pPr>
    </w:p>
    <w:p w:rsidR="00D1268D" w:rsidRDefault="00EA7044">
      <w:pPr>
        <w:pStyle w:val="1"/>
        <w:jc w:val="center"/>
        <w:rPr>
          <w:rFonts w:ascii="Bookman Old Style" w:hAnsi="Bookman Old Style"/>
          <w:b w:val="0"/>
          <w:i/>
          <w:sz w:val="36"/>
          <w:u w:val="single"/>
        </w:rPr>
      </w:pPr>
      <w:bookmarkStart w:id="16" w:name="_Toc11175451"/>
      <w:bookmarkStart w:id="17" w:name="_Toc11175711"/>
      <w:r>
        <w:rPr>
          <w:rFonts w:ascii="Bookman Old Style" w:hAnsi="Bookman Old Style"/>
          <w:b w:val="0"/>
          <w:i/>
          <w:sz w:val="36"/>
          <w:u w:val="single"/>
        </w:rPr>
        <w:t>Список использованной литературы:</w:t>
      </w:r>
      <w:bookmarkEnd w:id="16"/>
      <w:bookmarkEnd w:id="17"/>
    </w:p>
    <w:p w:rsidR="00D1268D" w:rsidRDefault="00D1268D">
      <w:pPr>
        <w:jc w:val="both"/>
        <w:rPr>
          <w:rFonts w:ascii="Bookman Old Style" w:hAnsi="Bookman Old Style"/>
          <w:sz w:val="30"/>
        </w:rPr>
      </w:pPr>
    </w:p>
    <w:p w:rsidR="00D1268D" w:rsidRDefault="00EA7044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rFonts w:ascii="Bookman Old Style" w:hAnsi="Bookman Old Style"/>
          <w:sz w:val="30"/>
        </w:rPr>
      </w:pPr>
      <w:r>
        <w:rPr>
          <w:rFonts w:ascii="Bookman Old Style" w:hAnsi="Bookman Old Style"/>
          <w:sz w:val="30"/>
        </w:rPr>
        <w:t>М. Вебер "</w:t>
      </w:r>
      <w:r>
        <w:rPr>
          <w:rFonts w:ascii="Bookman Old Style" w:hAnsi="Bookman Old Style"/>
          <w:i/>
          <w:sz w:val="30"/>
        </w:rPr>
        <w:t>Избранные произведения</w:t>
      </w:r>
      <w:r>
        <w:rPr>
          <w:rFonts w:ascii="Bookman Old Style" w:hAnsi="Bookman Old Style"/>
          <w:sz w:val="30"/>
        </w:rPr>
        <w:t>", М. «Прогресс», 1990</w:t>
      </w:r>
      <w:bookmarkStart w:id="18" w:name="_GoBack"/>
      <w:bookmarkEnd w:id="18"/>
    </w:p>
    <w:sectPr w:rsidR="00D1268D">
      <w:footerReference w:type="even" r:id="rId7"/>
      <w:footerReference w:type="default" r:id="rId8"/>
      <w:pgSz w:w="11906" w:h="16838" w:code="9"/>
      <w:pgMar w:top="1440" w:right="1797" w:bottom="72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68D" w:rsidRDefault="00EA7044">
      <w:r>
        <w:separator/>
      </w:r>
    </w:p>
  </w:endnote>
  <w:endnote w:type="continuationSeparator" w:id="0">
    <w:p w:rsidR="00D1268D" w:rsidRDefault="00EA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8D" w:rsidRDefault="00EA70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1268D" w:rsidRDefault="00D1268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8D" w:rsidRDefault="00EA704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:rsidR="00D1268D" w:rsidRDefault="00D126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68D" w:rsidRDefault="00EA7044">
      <w:r>
        <w:separator/>
      </w:r>
    </w:p>
  </w:footnote>
  <w:footnote w:type="continuationSeparator" w:id="0">
    <w:p w:rsidR="00D1268D" w:rsidRDefault="00EA7044">
      <w:r>
        <w:continuationSeparator/>
      </w:r>
    </w:p>
  </w:footnote>
  <w:footnote w:id="1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Вебер М. Избранные произведения., М.:Прогресс, 1990, стр. 63</w:t>
      </w:r>
    </w:p>
  </w:footnote>
  <w:footnote w:id="2">
    <w:p w:rsidR="00D1268D" w:rsidRDefault="00EA7044">
      <w:pPr>
        <w:pStyle w:val="a6"/>
      </w:pPr>
      <w:r>
        <w:rPr>
          <w:rStyle w:val="a7"/>
        </w:rPr>
        <w:sym w:font="Symbol" w:char="F02A"/>
      </w:r>
      <w:r>
        <w:t xml:space="preserve"> В последнюю очередь, но не в меньшей степени (</w:t>
      </w:r>
      <w:r>
        <w:rPr>
          <w:i/>
        </w:rPr>
        <w:t>англ.).</w:t>
      </w:r>
    </w:p>
  </w:footnote>
  <w:footnote w:id="3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 Там же, стр. 64-65</w:t>
      </w:r>
    </w:p>
  </w:footnote>
  <w:footnote w:id="4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 65</w:t>
      </w:r>
    </w:p>
  </w:footnote>
  <w:footnote w:id="5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стр, 70</w:t>
      </w:r>
    </w:p>
  </w:footnote>
  <w:footnote w:id="6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стр, 73</w:t>
      </w:r>
    </w:p>
  </w:footnote>
  <w:footnote w:id="7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стр, 74</w:t>
      </w:r>
    </w:p>
  </w:footnote>
  <w:footnote w:id="8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стр, 80</w:t>
      </w:r>
    </w:p>
  </w:footnote>
  <w:footnote w:id="9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стр, 82</w:t>
      </w:r>
    </w:p>
  </w:footnote>
  <w:footnote w:id="10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стр, 90</w:t>
      </w:r>
    </w:p>
  </w:footnote>
  <w:footnote w:id="11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стр., 90</w:t>
      </w:r>
    </w:p>
  </w:footnote>
  <w:footnote w:id="12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стр., 90</w:t>
      </w:r>
    </w:p>
  </w:footnote>
  <w:footnote w:id="13">
    <w:p w:rsidR="00D1268D" w:rsidRDefault="00EA7044">
      <w:pPr>
        <w:pStyle w:val="a6"/>
      </w:pPr>
      <w:r>
        <w:rPr>
          <w:rStyle w:val="a7"/>
        </w:rPr>
        <w:t>**</w:t>
      </w:r>
      <w:r>
        <w:t xml:space="preserve"> Проценты (</w:t>
      </w:r>
      <w:r>
        <w:rPr>
          <w:i/>
        </w:rPr>
        <w:t>лат</w:t>
      </w:r>
      <w:r>
        <w:t>.)</w:t>
      </w:r>
    </w:p>
  </w:footnote>
  <w:footnote w:id="14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стр., 93</w:t>
      </w:r>
    </w:p>
  </w:footnote>
  <w:footnote w:id="15">
    <w:p w:rsidR="00D1268D" w:rsidRDefault="00EA7044">
      <w:pPr>
        <w:pStyle w:val="a6"/>
      </w:pPr>
      <w:r>
        <w:rPr>
          <w:rStyle w:val="a7"/>
        </w:rPr>
        <w:footnoteRef/>
      </w:r>
      <w:r>
        <w:t xml:space="preserve"> Там же, стр., 97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B15E8"/>
    <w:multiLevelType w:val="singleLevel"/>
    <w:tmpl w:val="1974F5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7804E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187231B"/>
    <w:multiLevelType w:val="singleLevel"/>
    <w:tmpl w:val="DDAE029E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799225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044"/>
    <w:rsid w:val="00454D96"/>
    <w:rsid w:val="00D1268D"/>
    <w:rsid w:val="00EA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04E7B-89A3-45C7-A243-5E3962C9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endnote text"/>
    <w:basedOn w:val="a"/>
    <w:semiHidden/>
    <w:rPr>
      <w:sz w:val="20"/>
    </w:rPr>
  </w:style>
  <w:style w:type="character" w:styleId="a9">
    <w:name w:val="endnote reference"/>
    <w:basedOn w:val="a0"/>
    <w:semiHidden/>
    <w:rPr>
      <w:vertAlign w:val="superscript"/>
    </w:rPr>
  </w:style>
  <w:style w:type="paragraph" w:styleId="10">
    <w:name w:val="toc 1"/>
    <w:basedOn w:val="a"/>
    <w:next w:val="a"/>
    <w:autoRedefine/>
    <w:semiHidden/>
    <w:pPr>
      <w:tabs>
        <w:tab w:val="right" w:leader="dot" w:pos="8296"/>
      </w:tabs>
      <w:spacing w:before="120" w:after="120"/>
    </w:pPr>
    <w:rPr>
      <w:rFonts w:ascii="Bookman Old Style" w:hAnsi="Bookman Old Style"/>
      <w:caps/>
      <w:sz w:val="32"/>
    </w:rPr>
  </w:style>
  <w:style w:type="paragraph" w:styleId="20">
    <w:name w:val="toc 2"/>
    <w:basedOn w:val="a"/>
    <w:next w:val="a"/>
    <w:autoRedefine/>
    <w:semiHidden/>
    <w:pPr>
      <w:ind w:left="240"/>
    </w:pPr>
    <w:rPr>
      <w:rFonts w:ascii="Times New Roman" w:hAnsi="Times New Roman"/>
      <w:smallCaps/>
      <w:sz w:val="20"/>
    </w:rPr>
  </w:style>
  <w:style w:type="paragraph" w:styleId="30">
    <w:name w:val="toc 3"/>
    <w:basedOn w:val="a"/>
    <w:next w:val="a"/>
    <w:autoRedefine/>
    <w:semiHidden/>
    <w:pPr>
      <w:ind w:left="480"/>
    </w:pPr>
    <w:rPr>
      <w:rFonts w:ascii="Times New Roman" w:hAnsi="Times New Roman"/>
      <w:i/>
      <w:sz w:val="20"/>
    </w:rPr>
  </w:style>
  <w:style w:type="paragraph" w:styleId="4">
    <w:name w:val="toc 4"/>
    <w:basedOn w:val="a"/>
    <w:next w:val="a"/>
    <w:autoRedefine/>
    <w:semiHidden/>
    <w:pPr>
      <w:ind w:left="720"/>
    </w:pPr>
    <w:rPr>
      <w:rFonts w:ascii="Times New Roman" w:hAnsi="Times New Roman"/>
      <w:sz w:val="18"/>
    </w:rPr>
  </w:style>
  <w:style w:type="paragraph" w:styleId="5">
    <w:name w:val="toc 5"/>
    <w:basedOn w:val="a"/>
    <w:next w:val="a"/>
    <w:autoRedefine/>
    <w:semiHidden/>
    <w:pPr>
      <w:ind w:left="960"/>
    </w:pPr>
    <w:rPr>
      <w:rFonts w:ascii="Times New Roman" w:hAnsi="Times New Roman"/>
      <w:sz w:val="18"/>
    </w:rPr>
  </w:style>
  <w:style w:type="paragraph" w:styleId="6">
    <w:name w:val="toc 6"/>
    <w:basedOn w:val="a"/>
    <w:next w:val="a"/>
    <w:autoRedefine/>
    <w:semiHidden/>
    <w:pPr>
      <w:ind w:left="1200"/>
    </w:pPr>
    <w:rPr>
      <w:rFonts w:ascii="Times New Roman" w:hAnsi="Times New Roman"/>
      <w:sz w:val="18"/>
    </w:rPr>
  </w:style>
  <w:style w:type="paragraph" w:styleId="7">
    <w:name w:val="toc 7"/>
    <w:basedOn w:val="a"/>
    <w:next w:val="a"/>
    <w:autoRedefine/>
    <w:semiHidden/>
    <w:pPr>
      <w:ind w:left="1440"/>
    </w:pPr>
    <w:rPr>
      <w:rFonts w:ascii="Times New Roman" w:hAnsi="Times New Roman"/>
      <w:sz w:val="18"/>
    </w:rPr>
  </w:style>
  <w:style w:type="paragraph" w:styleId="8">
    <w:name w:val="toc 8"/>
    <w:basedOn w:val="a"/>
    <w:next w:val="a"/>
    <w:autoRedefine/>
    <w:semiHidden/>
    <w:pPr>
      <w:ind w:left="1680"/>
    </w:pPr>
    <w:rPr>
      <w:rFonts w:ascii="Times New Roman" w:hAnsi="Times New Roman"/>
      <w:sz w:val="18"/>
    </w:rPr>
  </w:style>
  <w:style w:type="paragraph" w:styleId="9">
    <w:name w:val="toc 9"/>
    <w:basedOn w:val="a"/>
    <w:next w:val="a"/>
    <w:autoRedefine/>
    <w:semiHidden/>
    <w:pPr>
      <w:ind w:left="1920"/>
    </w:pPr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</vt:lpstr>
    </vt:vector>
  </TitlesOfParts>
  <Manager>Moiseenko G. V.</Manager>
  <Company> PGMY</Company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</dc:title>
  <dc:subject>Протестанская этика и дух капитализма</dc:subject>
  <dc:creator>Kulikov Anton</dc:creator>
  <cp:keywords/>
  <cp:lastModifiedBy>admin</cp:lastModifiedBy>
  <cp:revision>2</cp:revision>
  <cp:lastPrinted>2002-06-10T21:27:00Z</cp:lastPrinted>
  <dcterms:created xsi:type="dcterms:W3CDTF">2014-02-13T18:48:00Z</dcterms:created>
  <dcterms:modified xsi:type="dcterms:W3CDTF">2014-02-13T18:48:00Z</dcterms:modified>
  <cp:category>144</cp:category>
</cp:coreProperties>
</file>