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58" w:rsidRDefault="00AD19DA" w:rsidP="00AD19DA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Баллистическая экспертиза</w:t>
      </w:r>
    </w:p>
    <w:p w:rsidR="00AD19DA" w:rsidRPr="00AD19DA" w:rsidRDefault="00AD19DA" w:rsidP="00AD19DA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AD19DA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D19DA">
        <w:rPr>
          <w:b/>
          <w:bCs/>
          <w:sz w:val="28"/>
          <w:szCs w:val="28"/>
          <w:lang w:val="ru-RU"/>
        </w:rPr>
        <w:t>Общие сведения об огнестрельном оружии</w:t>
      </w:r>
    </w:p>
    <w:p w:rsidR="00AD19DA" w:rsidRDefault="00AD19DA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856258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Огнестрельное оружие является механизмом, предназначенным для поражения цели снарядом, выбрасываемым силой давления пороховых газов.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В криминалистической практике наиболее часто объектом исследования оказывается ручное огнестрельное оружие (винтовки карабины, ружья, автоматы, пистолеты-пулеметы, пистолеты, револьверы различных видов, назначений, систем и калибров).</w:t>
      </w:r>
    </w:p>
    <w:p w:rsidR="00AD19DA" w:rsidRPr="00AD19DA" w:rsidRDefault="00AD19DA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D451A5" w:rsidRPr="00AD19DA" w:rsidRDefault="001601DE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истолет с глушителем" style="width:225.75pt;height:108pt;mso-wrap-distance-left:0;mso-wrap-distance-right:0;mso-position-horizontal:left;mso-position-vertical-relative:line" o:allowoverlap="f">
            <v:imagedata r:id="rId7" o:title=""/>
          </v:shape>
        </w:pict>
      </w:r>
    </w:p>
    <w:p w:rsidR="00D451A5" w:rsidRPr="00AD19DA" w:rsidRDefault="00D451A5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</w:p>
    <w:p w:rsidR="00856258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Ручное огнестрельное оружие может быть подразделено по назначению (боевое, гражданское, охотничье, спортивное), устройстве и работе механизмов (автоматическое, полуавтоматическое, неавтоматическое), длине ствола (длинноствольное - винтовки, карабины, ружья; среднествольное - автоматы, пистолеты-пулеметы; короткоствольное - пистолеты, револьверы) и калибру (диаметру канала ствола).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Боевое оружие предназначено в основном для вооружения aрмии. Оно может быть длинноствольным, среднествольным и короткоствольным; автоматическим, полуавтоматическим и неавтоматическим.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Современное боевое оружие - многозарядное, нарезное (винтообразные углубления (нарезы в канале ствола), автоматическое или полуавтоматическое, причем наиболее мощное из этих видов рассчитано на поражение значительно удаленных целей (до 2-3 километров). Боевое оружие обычно имеет калибры от 11.5 до 7 мм. В последнее время в армиях различных государств появилось мощное оружие калибра 5.6 мм.</w:t>
      </w:r>
    </w:p>
    <w:p w:rsidR="00AD19DA" w:rsidRPr="00AD19DA" w:rsidRDefault="00AD19DA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D451A5" w:rsidRPr="00AD19DA" w:rsidRDefault="001601DE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26" type="#_x0000_t75" alt="Глушитель" style="width:168.75pt;height:148.5pt;mso-wrap-distance-left:0;mso-wrap-distance-right:0;mso-position-horizontal:right;mso-position-vertical-relative:line" o:allowoverlap="f">
            <v:imagedata r:id="rId8" o:title=""/>
          </v:shape>
        </w:pict>
      </w:r>
    </w:p>
    <w:p w:rsidR="00D451A5" w:rsidRPr="00AD19DA" w:rsidRDefault="00D451A5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lang w:val="ru-RU"/>
        </w:rPr>
      </w:pPr>
    </w:p>
    <w:p w:rsidR="00856258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К гражданскому или карманному оружию относятся нарезные (встречаются и гладкоствольные) пистолеты и револьверы многочисленных систем и конструкций. Оружие этого вида распространено во многих зарубежных странах. Из отечественного оружия к нему относят пистолет системы Коровина (ТК). Назначение гражданского оружия - самооборона, упражнения в стрельбе и т.п. Оно обеспечивает поражение цели на небольших расстояниях (до 20-30 метров). Его калибры чаще всего находятся в пределах от 9 до 5мм.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Охотничье оружие (ружья, винтовки, карабины) предназначено для любительской и промысловой охоты. Оно может быть гладкоствольным, нарезным и комбинированным (то есть сочетающим гладкие и нарезные стволы); по количеству стволов - одноствольным, двуствольным и многоствольным (трех-четырехствольное). Охотничье оружие большинства систем - неавтоматическое. Полуавтоматические (самозарядные) образцы оружия встречаются реже. Калибры охотничьего оружия обозначаются двумя способами. У гладкоствольного число, обозначающее калибр, указывает количество круглых (шарообразных) пуль, одинаковых по диаметру с каналом ствола, которые могут быть изготовлены из одного фунта (409,5 г) свинца (12 пуль для ружей 12-го калибра. 16 - для 16-го и т.д.). Калибр нарезного оружия выражается в линейных мерах. Диаметры каналов стволов, безотносительно к способу выражения их калибров, могут находиться в пределах от 26 до 5.6 мм.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Спортивное оружие предназначено для тренировок и стрелковых соревнований. Оно может быть длинноствольным (винтовки, ружья) и короткоствольным (пистолеты, револьверы), полуавтоматическим и неавтоматическим, нарезным и гладкоствольным (только охотничье - спортивные ружья). Приклады, ложи, прицельные приспособления и другие детали спортивного оружия по устройству и внешнему виду могут значительно отличаться от аналогичных деталей боевого и охотничьего оружия. Это объясняется тем, что при изготовлении спортивного оружия стремятся создать максимальные удобства для стрельбы из него. Изменения в конструкцию конкретного экземпляра оружия могут вноситься и самим стрелком (в соответствии с его физическими особенностями и спортивными навыками). Калибры нарезного спортивного оружия в большинстве соответствуют калибрам боевых винтовок, пистолетов, револьверов. Особенно распространено спортивное оружие малого калибра (5.6 мм).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Нередко объектом криминалистического исследования становится самодельное огнестрельное оружие. Чаще всего это пистолеты и револьверы, изредка - гладкоствольные ружья, винтовки, автоматы, пулеметы.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В основе конструкции самодельного оружия обычно лежат промышленные образцы огнестрельного оружия. В зависимости от изготовителя, наличия материалов и оборудования самодельное оружие может быть изготовлено в большей или меньшей степени схожим на соответствующий промышленный оригинал. В то же время в самодельном оружии наблюдаются всякого рода "упрощения", иногда настолько значительные, что за ними трудно установить конструкцию, явившуюся основой для его создания. Нередко в самодельном огнестрельном оружии соединяются признаки конструкции двух или даже нескольких видов оружия промышленного изготовления и к этому добавляются особенности устройства, обусловленные фантазией изготовителя или лимитируемые его возможностями.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Самодельное огнестрельное оружие либо собирают из самостоятельно изготовленных деталей, либо получают его путем переделки огнестрельного оружия промышленного производства. При этом оно может быть выполнено в виде обычных пистолетов и револьверов, маскированного оружия (например, в виде авторучки, детского игрушечного пистолета и т.д.) и изделий, по внешнему виду вообще не похожих ни на один из известных предметов. Независимо от особенностей своей конструкции самодельное огнестрельное оружие может быть любого калибра, однозарядным и многозарядным, а также неавтоматическим и самозарядным.</w:t>
      </w:r>
    </w:p>
    <w:p w:rsidR="00AD19DA" w:rsidRPr="00AD19DA" w:rsidRDefault="00AD19DA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AD19DA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D19DA">
        <w:rPr>
          <w:b/>
          <w:bCs/>
          <w:sz w:val="28"/>
          <w:szCs w:val="28"/>
          <w:lang w:val="ru-RU"/>
        </w:rPr>
        <w:t>Вопросы, разрешаемые экспертизой</w:t>
      </w:r>
    </w:p>
    <w:p w:rsidR="00AD19DA" w:rsidRDefault="00AD19DA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856258" w:rsidRPr="00AD19DA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Экспертиза огнестрельного оружия может разрешить следующие вопросы:</w:t>
      </w:r>
    </w:p>
    <w:p w:rsidR="00856258" w:rsidRPr="00AD19DA" w:rsidRDefault="00856258" w:rsidP="00AD19DA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Является ли огнестрельным оружием предмет, представленный на исследование?</w:t>
      </w:r>
    </w:p>
    <w:p w:rsidR="00856258" w:rsidRPr="00AD19DA" w:rsidRDefault="00856258" w:rsidP="00AD19DA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Каков вид (система, модель) оружия, представленного на исследование?</w:t>
      </w:r>
    </w:p>
    <w:p w:rsidR="00856258" w:rsidRPr="00AD19DA" w:rsidRDefault="00856258" w:rsidP="00AD19DA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Является ли оружие технически исправным?</w:t>
      </w:r>
    </w:p>
    <w:p w:rsidR="00856258" w:rsidRPr="00AD19DA" w:rsidRDefault="00856258" w:rsidP="00AD19DA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Пригодно ли представленное оружие к стрельбе?</w:t>
      </w:r>
    </w:p>
    <w:p w:rsidR="00856258" w:rsidRPr="00AD19DA" w:rsidRDefault="00856258" w:rsidP="00AD19DA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По типу какого промышленного оружия изготовлено представленное самодельное оружие?</w:t>
      </w:r>
    </w:p>
    <w:p w:rsidR="00856258" w:rsidRPr="00AD19DA" w:rsidRDefault="00856258" w:rsidP="00AD19DA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Одинакова ли конструкция двух или более экземпляров самодельного оружия?</w:t>
      </w:r>
    </w:p>
    <w:p w:rsidR="00856258" w:rsidRPr="00AD19DA" w:rsidRDefault="00856258" w:rsidP="00AD19DA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При каких условиях или вследствие каких процессов могли возникнуть дефекты представленного на исследование оружия?</w:t>
      </w:r>
    </w:p>
    <w:p w:rsidR="00856258" w:rsidRPr="00AD19DA" w:rsidRDefault="00856258" w:rsidP="00AD19DA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Возможен ли при определенных условиях выстрел без нажимания на спусковой крючок из представленного на исследование оружия?</w:t>
      </w:r>
    </w:p>
    <w:p w:rsidR="00856258" w:rsidRPr="00AD19DA" w:rsidRDefault="00856258" w:rsidP="00AD19DA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Частью оружия какого вида (системы, модели) является деталь, представленная на исследование?</w:t>
      </w:r>
    </w:p>
    <w:p w:rsidR="00856258" w:rsidRPr="00AD19DA" w:rsidRDefault="00856258" w:rsidP="00AD19DA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Не является ли эта деталь частью конкретного экземпляра оружия (из числа представленных на исследование)?</w:t>
      </w:r>
    </w:p>
    <w:p w:rsidR="00856258" w:rsidRPr="00AD19DA" w:rsidRDefault="00856258" w:rsidP="00AD19DA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Не являются ли представленные детали заготовками самодельного огнестрельного оружия и какого именно?</w:t>
      </w:r>
    </w:p>
    <w:p w:rsidR="00856258" w:rsidRPr="00AD19DA" w:rsidRDefault="00856258" w:rsidP="00AD19DA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Какие номера и маркировочные обозначения имелись на представленном на исследование оружии с уничтоженными номерами?</w:t>
      </w:r>
    </w:p>
    <w:p w:rsidR="00856258" w:rsidRPr="00AD19DA" w:rsidRDefault="00856258" w:rsidP="00AD19DA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Производился ли после последней чистки выстрел из представленного на исследование оружия?</w:t>
      </w:r>
    </w:p>
    <w:p w:rsidR="00856258" w:rsidRPr="00AD19DA" w:rsidRDefault="00856258" w:rsidP="00AD19DA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Порох какого вида (марки) использовался при производстве выстрелов из данного оружия в зависимости от конкретных обстоятельств дела могут быть поставлены и решены и другие вопросы, относящиеся к исследованию огнестрельного оружия. В ряде случаев для выяснения возможностей решения таких вопросов целесообразна предварительная консультация у специалиста в области судебной баллистики.</w:t>
      </w:r>
    </w:p>
    <w:p w:rsidR="00AD19DA" w:rsidRDefault="00AD19DA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AD19DA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D19DA">
        <w:rPr>
          <w:b/>
          <w:bCs/>
          <w:sz w:val="28"/>
          <w:szCs w:val="28"/>
          <w:lang w:val="ru-RU"/>
        </w:rPr>
        <w:t>Образцы для сравнения</w:t>
      </w:r>
    </w:p>
    <w:p w:rsidR="00AD19DA" w:rsidRDefault="00AD19DA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856258" w:rsidRPr="00AD19DA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Как правило, при исследовании оружия никаких образцов для сравнения не требуется. На исследование направляется само оружие в том состоянии, в каком оно было обнаружено. Чистить, смазывать его, производить какие-либо эксперименты нельзя. Исключением являются лишь случаи, когда оружие изымается заряженным. Такое оружие необходимо разрядить, упомянув об этом в соответствующем документе уголовного дела.</w:t>
      </w:r>
    </w:p>
    <w:p w:rsidR="00856258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Однако, когда это требуется, следует получить у специалиста консультацию об объеме материалов, которые необходимо представить на экспертизу.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В соответствии со ст.82 УПК РФ эксперту должно быть обеспечено право получить необходимые для дачи заключения данные или сведения путем ознакомления с материалами дела, присутствия и участия в соответствующих следственных действиях.</w:t>
      </w:r>
    </w:p>
    <w:p w:rsidR="00856258" w:rsidRDefault="00640F1C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56258" w:rsidRPr="00AD19DA">
        <w:rPr>
          <w:b/>
          <w:bCs/>
          <w:sz w:val="28"/>
          <w:szCs w:val="28"/>
          <w:lang w:val="ru-RU"/>
        </w:rPr>
        <w:t>Экспертиза боеприпасов и следов выстрела</w:t>
      </w:r>
    </w:p>
    <w:p w:rsidR="00AD19DA" w:rsidRPr="00AD19DA" w:rsidRDefault="00AD19DA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AD19DA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D19DA">
        <w:rPr>
          <w:b/>
          <w:bCs/>
          <w:sz w:val="28"/>
          <w:szCs w:val="28"/>
          <w:lang w:val="ru-RU"/>
        </w:rPr>
        <w:t>Общие сведения о боеприпасах и следах выстрела</w:t>
      </w:r>
    </w:p>
    <w:p w:rsidR="00AD19DA" w:rsidRDefault="00AD19DA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856258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Боеприпасы, их части, различные предметы со следами выстрела часто являются вещественными доказательствами по делам о преступлениях, совершенных с применением огнестрельного оружия.</w:t>
      </w:r>
    </w:p>
    <w:p w:rsidR="00856258" w:rsidRPr="00AD19DA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Боеприпасами для стрельбы из современного ручного огнестрельного оружия служат патроны, в которых снаряд, поражающий цель, объединен с пороховым зарядом гильзой, имеющей капсюль-воспламенитель ударного действия. Одним из видов огнестрельных снарядов являются пули. В зависимости от вида оружия, типа патронов, их назначения, калибра пули могут быть разными по форме, весу, размерам, назначению.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По общему устройству пули бывают оболочечными, полуоболочечными и безоболочечными; по форме - цилиндро-оживальными, цилиндро-сферическими, остроконечными. ночными, цилиндрическими, сферическими и т.д.; по назначению - простыми и специальными, то есть предназначенными для выполнения специальных боевых задач (пристрелочные, бронебойные, зажигательные и т.п.).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Для стрельбы из боевого оружия применяются оболочечные пули. Реже встречаются безоболочечныe, изготовленные из твердых сплавов.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Из нарезного охотничьего оружия стрельба может производиться оболочечными, полуоболочечными и безоболочечными пулями, а из гладкоствольного - безоболочечными охотничьими пулями разных конструкций, изготовленными из сплавов мягких металлов. Последние снабжаются разными приспособлениями, обеспечивающими их правильный полет (хвостовики, ребра, лопатки и пр.). В зависимости от принципа действия таких приспособлений эти пули делятся на стрелочные, турбинные и стрелочно-турбинные.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Из спортивного нарезного оружия стрельба производится обе точечными или безоболочечными пулями.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Весьма распространенным снарядом охотничьих гладкоствольных ружей является дробь - сыпучий снаряд, состоящий из шариков, изготовленных из сплава мягких металлов. Крупная дробь (диаметром более 5 мм) называется картечью.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Пороховые заряды патронов к оружию большинства разновидностей содержат бездымный порох разных марок. В патронах к гладкоствольным охотничьим ружьям употребляется и дымный порох. Он иногда встречается также в старых патронах к нарезному оружию, главным образом, в револьверных. Бездымные пороха являют собой нитроэфиры целлюлозы; дымные - механическую смесь угля, серы и селитры.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Гильзы патронов по форме бывают цилиндрические, бутылочные, конические. Изготавливаются они из латуни, а также из стали, покрытой томпаком, медью или лаком. Очень распространены картонные гильзы с металлическими головками, применяемые для снаряжения патронов к гладкоствольным охотничьим ружьям.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Капсюли-воспламенители представляют собой латунные или омедненные стальные колпачки с запрессованным в них капсюльным составом, главной смесью которого является инициирующее вещество, воспламеняющееся от удара бойка.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К частям патронов гладкоствольных охотничьих ружей, кроме того, относятся пыжи и прокладки, отделяющие пороховой заряд от снаряда и закупоривающие патроны. Пыжи обычно делаются из просаленного войлока, бумажной или древесной массы и т.п., а прокладки - из картона.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Криминалистическое исследование боеприпасов чаще всего связано с определением их конструкции, назначения, состава, общего источника происхождения, боевых свойств.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На объекте, пораженном выстрелом, повреждения (пробоины, деформации и т.п.) образуются действием огнестрельного снаряда. Наряду с этим на нем могут остаться следы действия дополнительных факторов выстрела (механические и термические повреждения пороховыми газами, сгоревшими и несгоревшими порошинками; отложения продуктов сгорания порохового заряда, капсюльного состава, смазки и пр.). Следы действия дополнительных факторов выстрела свидетельствуют о том, что он был произведен с достаточно близкого расстояния. Однако это расстояние для разных видов оружия и патронов различно. Следы такого рода могут быть обнаружены и на самом стрелявшем (на руках, лице, одежде), так как часть продуктов выстрела прорывается через зазоры между деталями оружия, через окно для выбрасывания гильз и просто оседает при распространении облака газов.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Криминалистическое исследование следов выстрела позволяет установить, является ли повреждение огнестрельным, определить входные и выходные отверстия снаряда, его вид, расстояние выстрела и др.</w:t>
      </w:r>
    </w:p>
    <w:p w:rsidR="00AD19DA" w:rsidRDefault="00AD19DA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AD19DA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D19DA">
        <w:rPr>
          <w:b/>
          <w:bCs/>
          <w:sz w:val="28"/>
          <w:szCs w:val="28"/>
          <w:lang w:val="ru-RU"/>
        </w:rPr>
        <w:t>Вопросы, разрешаемые экспертизой</w:t>
      </w:r>
    </w:p>
    <w:p w:rsidR="00AD19DA" w:rsidRDefault="00AD19DA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856258" w:rsidRPr="00AD19DA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При назначении экспертизы боеприпасов и следов выстрела на разрешение эксперта могут быть поставлены следующие вопросы: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К какому виду относятся представленные для исследования патроны; для стрельбы из какого оружия они предназначены?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Пригодны ли представленные патроны для производства выстрелов?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Каково пробивное действие снарядов представленных патронов при стрельбе из конкретного экземпляра оружия или оружия, для стрельбы из которого они предназначены?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Каким способом (заводским или самодельным) изготовлены представленные патроны?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Чем снаряжены представленные патроны?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Не одинаковы ли между собой по материалам и способу снаряжения представленные патроны?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Является ли предмет, представленный на экспертизу, огнестрельным снарядом и к какому типу снарядов он относится?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Не одинаковы ли по способу изготовления и химическому составу огнестрельный снаряд, обнаруженный на месте происшествия и снаряды, изъятые у подозреваемого?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Какова причина деформации представленного снаряда: не деформировался ли он при ударе о данную преграду?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Является ли предмет, обнаруженный на месте происшествия. пыжом (или прокладкой); не одинаков ли он по материалу и способу изготовления с пыжами (прокладками) и полуфабрикатами. изъятыми у подозреваемого?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Является ли повреждение на представленном предмете огнестрельным: каким снарядом оно могло быть образовано: какое оружие могло быть применено для выстрела?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Какое повреждение в преграде является входным и какое выходным?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Каково направление огнестрельного канала в преграде?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Каким количеством выстрелов поражена преграда?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В какой последовательности образовалось несколько огнестрельных повреждении?</w:t>
      </w:r>
    </w:p>
    <w:p w:rsidR="00856258" w:rsidRPr="00AD19DA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С какого расстояния был произведен выстрел?</w:t>
      </w:r>
    </w:p>
    <w:p w:rsidR="00856258" w:rsidRDefault="00856258" w:rsidP="00AD19DA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Каким было взаимное расположение оружия и преграды в момент выстрела?</w:t>
      </w:r>
    </w:p>
    <w:p w:rsidR="00AD19DA" w:rsidRPr="00AD19DA" w:rsidRDefault="00AD19DA" w:rsidP="00AD19DA">
      <w:pPr>
        <w:shd w:val="clear" w:color="000000" w:fill="auto"/>
        <w:spacing w:line="360" w:lineRule="auto"/>
        <w:jc w:val="both"/>
        <w:rPr>
          <w:sz w:val="28"/>
          <w:szCs w:val="28"/>
          <w:lang w:val="ru-RU"/>
        </w:rPr>
      </w:pPr>
    </w:p>
    <w:p w:rsidR="00AD19DA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D19DA">
        <w:rPr>
          <w:b/>
          <w:bCs/>
          <w:sz w:val="28"/>
          <w:szCs w:val="28"/>
          <w:lang w:val="ru-RU"/>
        </w:rPr>
        <w:t>Образцы для сравнения</w:t>
      </w:r>
    </w:p>
    <w:p w:rsidR="00AD19DA" w:rsidRDefault="00AD19DA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856258" w:rsidRPr="00AD19DA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На экспертизу вместе с постановлением о ее назначении необходимо направлять все объекты, относящиеся к обстоятельствам применения на месте происшествия огнестрельного оружия, и материалы дела, содержащие сведения об этом (протоколы осмотров, изъятия, фотографии, схемы и т.п.). С оружием, боеприпасами и т.п. вещественными доказательствами нельзя производить эксперименты и подвергать их опасности изменения своего состояния. Они должны быть упакованы таким образом, чтобы исключать возможность их повреждения при транспортировке.</w:t>
      </w:r>
      <w:r w:rsidR="00AD19DA">
        <w:rPr>
          <w:sz w:val="28"/>
          <w:szCs w:val="28"/>
          <w:lang w:val="ru-RU"/>
        </w:rPr>
        <w:t xml:space="preserve"> </w:t>
      </w:r>
      <w:r w:rsidRPr="00AD19DA">
        <w:rPr>
          <w:sz w:val="28"/>
          <w:szCs w:val="28"/>
          <w:lang w:val="ru-RU"/>
        </w:rPr>
        <w:t>В каждом конкретном случае назначения экспертизы боеприпасов и следов выстрела следователь или оперативный работник должен предоставить эксперту соответствующие образцы для сравнения (пули, гильзы, патроны, оружие и т.д.), которые могут быть изъяты у подозреваемых при задержании, обыске, выемке и т.п. Правильно подобранные образцы обеспечивают успех экспертного исследования. Если при подборе образцов возникнут затруднения, то следователь или оперативный работник может получить соответствующую консультацию у специалиста, занимающегося вопросами судебной баллистики.</w:t>
      </w:r>
    </w:p>
    <w:p w:rsidR="00856258" w:rsidRDefault="00856258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D19DA">
        <w:rPr>
          <w:sz w:val="28"/>
          <w:szCs w:val="28"/>
          <w:lang w:val="ru-RU"/>
        </w:rPr>
        <w:t>Представленные эксперту образцы для сравнения должны быть процессуально оформлены и описаны в постановлении о назначении экспертизы с указанием, когда, где и при каких обстоятельствах они получены.</w:t>
      </w:r>
    </w:p>
    <w:p w:rsidR="00AD19DA" w:rsidRPr="00AD19DA" w:rsidRDefault="00AD19DA" w:rsidP="00AD19DA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856258" w:rsidRPr="00AD19DA" w:rsidRDefault="00AD19DA" w:rsidP="00AD19DA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D19D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Оформление результатов экспертного исследования</w:t>
      </w:r>
    </w:p>
    <w:p w:rsidR="00856258" w:rsidRPr="00AD19DA" w:rsidRDefault="00856258" w:rsidP="00AD19DA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6258" w:rsidRPr="00AD19DA" w:rsidRDefault="00856258" w:rsidP="00AD19DA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9DA">
        <w:rPr>
          <w:rFonts w:ascii="Times New Roman" w:hAnsi="Times New Roman" w:cs="Times New Roman"/>
          <w:sz w:val="28"/>
          <w:szCs w:val="28"/>
          <w:lang w:val="ru-RU"/>
        </w:rPr>
        <w:t>Заключение эксперта — процессуальный документ, в котором излагаются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результаты проведенного исследования, если хотя бы на один из поставленных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вопросов дается ответ по существу либо делается хотя бы один вывод по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инициативе эксперта. Эксперт (эксперты) составляет письменное заключение от</w:t>
      </w:r>
      <w:r w:rsidR="00605EB8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своего имени, удостоверяет его своей подписью и личной печатью, направляет в</w:t>
      </w:r>
      <w:r w:rsidR="00605EB8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орган, назначивший экспертизу. В случае проведения экспертизы органом</w:t>
      </w:r>
      <w:r w:rsidR="00605EB8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судебной экспертизы подпись эксперта (экспертов) заверяется печатью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указанного органа.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Закон (ст. 251 У ПК РК) определяет основные элементы содержания заключения</w:t>
      </w:r>
      <w:r w:rsidR="00605EB8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эксперта, не устанавливая его структуры. В судебно-экспертной практике,</w:t>
      </w:r>
      <w:r w:rsidR="00605EB8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однако, такая структура выработана и нашла отражение в ведомственных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нормативных правовых актах. В соответствии с последними заключение эксперта</w:t>
      </w:r>
      <w:r w:rsidR="00605EB8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состоит из трех частей — вводной, исследовательской и выводов.</w:t>
      </w:r>
    </w:p>
    <w:p w:rsidR="00856258" w:rsidRPr="00AD19DA" w:rsidRDefault="00856258" w:rsidP="00AD19DA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Во </w:t>
      </w:r>
      <w:r w:rsidRPr="00AD19D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вводной части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заключения эксперта должны быть указаны: наименование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экспертизы, ее номер, дата поступления материалов и составления заключения;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лицо, назначившее экспертизу; основание для производства экспертизы (когда и</w:t>
      </w:r>
      <w:r w:rsidR="00605EB8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кем 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>вынесено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постановление, по какому делу); перечень объектов исследования;</w:t>
      </w:r>
      <w:r w:rsidR="00605EB8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способ доставки, вид упаковки поступивших на исследование объектов; сведения о</w:t>
      </w:r>
      <w:r w:rsidR="00605EB8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лицах, присутствовавших при производстве экспертизы (фамилия, имя, отчество,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процессуальное положение); вопросы, поставленные на разрешение эксперта;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вопросы, поставленные по инициативе эксперта; сведения об эксперте (экспертах)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фамилия, имя, отчество, образование, специальность, стаж работы по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специальности, ученая степень и ученое звание, занимаемая должность; 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>отметка, удостоверенная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подписью эксперта о том, что он предупрежден об уголовной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ответственности за дачу заведомо ложного заключения. Здесь же должна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содержаться информация о ходатайствах, заявленных экспертом о предоставлении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ему дополнительных материалов, об обстоятельствах дела, имеющих существенное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значение для дачи заключения, о виде проводимой экспертизы.</w:t>
      </w:r>
    </w:p>
    <w:p w:rsidR="00856258" w:rsidRPr="00AD19DA" w:rsidRDefault="00856258" w:rsidP="00AD19DA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9DA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исследовательской части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отражаются сведения: о состоянии объектов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экспертизы; о принятой схеме исследования; об использованных методах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исследования и технических условиях их применения; о результатах проведенных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экспертом экспериментов; о следственных действиях, в которых эксперт принимал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участие, и их результатах, если они имеют значение для исследования; о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нормативных правовых актах и справочной литературе, использованных в ходе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исследования; об экспертной оценке результатов проведенного исследования.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Методика исследования описывается таким образом, чтобы можно было судить о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полноте применения ее экспертом и, при необходимости, проверить правильность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выводов путем воспроизведения исследования.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Каждому вопросу должен соответствовать, как правило, определенный раздел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исследовательской части.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Исследовательская часть акта экспертизы сопровождается иллюстративными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материалами — фотоснимками, схемами, чертежами, регистрограммами,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контактограммами, содержащимися в приложении. Эти материалы призваны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обеспечить наглядность и повысить убедительность выводов экспертов.</w:t>
      </w:r>
    </w:p>
    <w:p w:rsidR="00856258" w:rsidRPr="00AD19DA" w:rsidRDefault="00856258" w:rsidP="00AD19DA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9DA">
        <w:rPr>
          <w:rFonts w:ascii="Times New Roman" w:hAnsi="Times New Roman" w:cs="Times New Roman"/>
          <w:sz w:val="28"/>
          <w:szCs w:val="28"/>
          <w:lang w:val="ru-RU"/>
        </w:rPr>
        <w:t>К заключению, как правило, прилагаются следующие иллюстрации:</w:t>
      </w:r>
    </w:p>
    <w:p w:rsidR="00856258" w:rsidRPr="00AD19DA" w:rsidRDefault="00856258" w:rsidP="00AD19DA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9DA">
        <w:rPr>
          <w:rFonts w:ascii="Times New Roman" w:hAnsi="Times New Roman" w:cs="Times New Roman"/>
          <w:sz w:val="28"/>
          <w:szCs w:val="28"/>
          <w:lang w:val="ru-RU"/>
        </w:rPr>
        <w:t>1) снимки общего (первоначального) вида объектов исследования, имеющие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особое значение при последующем их изменении;</w:t>
      </w:r>
    </w:p>
    <w:p w:rsidR="00856258" w:rsidRPr="00AD19DA" w:rsidRDefault="00856258" w:rsidP="00AD19DA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9DA">
        <w:rPr>
          <w:rFonts w:ascii="Times New Roman" w:hAnsi="Times New Roman" w:cs="Times New Roman"/>
          <w:sz w:val="28"/>
          <w:szCs w:val="28"/>
          <w:lang w:val="ru-RU"/>
        </w:rPr>
        <w:t>2) снимки отдельных фрагментов объектов с указанием выявленных признаков;</w:t>
      </w:r>
    </w:p>
    <w:p w:rsidR="00856258" w:rsidRPr="00AD19DA" w:rsidRDefault="00856258" w:rsidP="00AD19DA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9DA">
        <w:rPr>
          <w:rFonts w:ascii="Times New Roman" w:hAnsi="Times New Roman" w:cs="Times New Roman"/>
          <w:sz w:val="28"/>
          <w:szCs w:val="28"/>
          <w:lang w:val="ru-RU"/>
        </w:rPr>
        <w:t>3) контрольные снимки к ним, так как обводка и условные обозначения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затрудняют восприятие выявленных деталей.</w:t>
      </w:r>
    </w:p>
    <w:p w:rsidR="00856258" w:rsidRPr="00AD19DA" w:rsidRDefault="00856258" w:rsidP="00AD19DA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9DA">
        <w:rPr>
          <w:rFonts w:ascii="Times New Roman" w:hAnsi="Times New Roman" w:cs="Times New Roman"/>
          <w:sz w:val="28"/>
          <w:szCs w:val="28"/>
          <w:lang w:val="ru-RU"/>
        </w:rPr>
        <w:t>Каждый снимок должен сопровождаться ссылкой в тексте, подробными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пояснительными записями. Иллюстрации удостоверяются подписями 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>эксперта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(экспертов) и печатью органа судебной экспертизы.</w:t>
      </w:r>
      <w:r w:rsid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В синтезирующей части заключения дается общая суммарная оценка полученных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результатов и научное обоснование выводов эксперта.</w:t>
      </w:r>
    </w:p>
    <w:p w:rsidR="004A68D4" w:rsidRPr="00AD19DA" w:rsidRDefault="00856258" w:rsidP="00AD19DA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9DA">
        <w:rPr>
          <w:rFonts w:ascii="Times New Roman" w:hAnsi="Times New Roman" w:cs="Times New Roman"/>
          <w:sz w:val="28"/>
          <w:szCs w:val="28"/>
          <w:lang w:val="ru-RU"/>
        </w:rPr>
        <w:t>В выводах излагаются ответы эксперта на поставленные перед ним вопросы.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На каждый вопрос дается вывод по существу либо указывается на невозможность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его решения.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При проявлении экспертом инициативы соответствующие выводы излагаются 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>вслед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за выводами — ответами на вопросы органа (лица), ведущего уголовный процесс.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Если обстоятельства, обуславливающие невозможность дать заключение, выявлены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в ходе исследования, заключение эксперта должно содержать обоснование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невозможности ответить на все или некоторые из поставленных вопросов. При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этом вывод о невозможности решения вопроса по существу как формулируемый по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отрицательным результатам проведенного исследования следует отличать от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сообщения о невозможности дать заключение.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К заключению должны быть приложены оставшиеся после исследования объекты, в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том числе образцы, а также фототаблицы, схемы, графики, таблицы и другие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материалы, подтверждающие выводы эксперта. Приложение к заключению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подписывается экспертом (экспертами).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Комиссионная, комплексная, дополнительная, и повторная экспертизы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оформляются в соответствии-с ранее изложенными общими правилами, однако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соответствующие заключения имеют определенную специфику, касающуюся формы и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содержания.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При оформлении комиссионной экспертизы во вводной части заключения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отмечается, что она является комиссионной и указывается место ее проведения.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Комиссионная экспертиза отличается и тем, что члены экспертной комиссии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совместно анализируют полученные результаты и, придя к общему мнению,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подписывают заключение. В случае разногласия между экспертами каждый из них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или часть экспертов дает отдельное заключение.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Вводная часть заключения по результатам комплексной экспертизы содержит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указание на ее комплексный характер, место проведения и исследования,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выполненные каждым экспертом. В заключении по результатам проведения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комплексной экспертизы должно быть указано, какие исследования провел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каждый эксперт и к каким выводам он пришел. Каждый эксперт подписывает ту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часть акта, в которой отражены эти исследования.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На основе совокупности фактических данных, установленных каждым из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экспертов, ими формулируется общий вывод (выводы) об обстоятельствах, для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установления которых экспертиза была назначена. Общий вывод (выводы)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формулируют и подписывают только эксперты, компетентные в оценке полученных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результатов. В случае разногласий между экспертами результаты исследований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оформляются так же, как и при производстве комплексной экспертизы.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Во вводной части заключения по результатам дополнительной экспертизы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отмечается, что она является таковой, сообщаются сведения об основной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экспертизе (номер, дата, исполнители, а также выводы основной экспертизы,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требующие разъяснения и дополнения). В исследовательской части 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>заключения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эксперт может не излагать ход и результаты исследований, а сделать ссылку на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соответствующие разделы акта основной экспертизы, если им использовались те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же методы и средства и достигнуты те же результаты, что и при производстве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основной экспертизы.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Вводная часть заключения по результатам производства повторной экспертизы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должна содержать отметку о ее </w:t>
      </w:r>
      <w:r w:rsidR="00AD19DA" w:rsidRPr="00AD19DA">
        <w:rPr>
          <w:rFonts w:ascii="Times New Roman" w:hAnsi="Times New Roman" w:cs="Times New Roman"/>
          <w:sz w:val="28"/>
          <w:szCs w:val="28"/>
          <w:lang w:val="ru-RU"/>
        </w:rPr>
        <w:t>повторности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, а также сведения о первичной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экспертизе (номер, дата, исполнители, наименование судебно-экспертного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учреждения, выводы и мотивы назначения повторной экспертизы). В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исследовательской части акта повторной экспертизы эксперт указывает причины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имеющихся расхождений результатов исследований с выводами первичной</w:t>
      </w:r>
      <w:r w:rsidR="00D451A5" w:rsidRPr="00AD1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9DA">
        <w:rPr>
          <w:rFonts w:ascii="Times New Roman" w:hAnsi="Times New Roman" w:cs="Times New Roman"/>
          <w:sz w:val="28"/>
          <w:szCs w:val="28"/>
          <w:lang w:val="ru-RU"/>
        </w:rPr>
        <w:t>экспертизы, если таковые имели место.</w:t>
      </w:r>
      <w:bookmarkStart w:id="0" w:name="_GoBack"/>
      <w:bookmarkEnd w:id="0"/>
    </w:p>
    <w:sectPr w:rsidR="004A68D4" w:rsidRPr="00AD19DA" w:rsidSect="00AD19DA"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4B" w:rsidRDefault="009A214B">
      <w:r>
        <w:separator/>
      </w:r>
    </w:p>
  </w:endnote>
  <w:endnote w:type="continuationSeparator" w:id="0">
    <w:p w:rsidR="009A214B" w:rsidRDefault="009A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DA" w:rsidRDefault="00AD19DA" w:rsidP="00190FF4">
    <w:pPr>
      <w:pStyle w:val="a6"/>
      <w:framePr w:wrap="around" w:vAnchor="text" w:hAnchor="margin" w:xAlign="right" w:y="1"/>
      <w:rPr>
        <w:rStyle w:val="a8"/>
      </w:rPr>
    </w:pPr>
  </w:p>
  <w:p w:rsidR="00AD19DA" w:rsidRDefault="00AD19DA" w:rsidP="00AD19D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DA" w:rsidRDefault="001B16BE" w:rsidP="00190FF4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AD19DA" w:rsidRDefault="00AD19DA" w:rsidP="00AD19D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4B" w:rsidRDefault="009A214B">
      <w:r>
        <w:separator/>
      </w:r>
    </w:p>
  </w:footnote>
  <w:footnote w:type="continuationSeparator" w:id="0">
    <w:p w:rsidR="009A214B" w:rsidRDefault="009A2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053B1"/>
    <w:multiLevelType w:val="multilevel"/>
    <w:tmpl w:val="0A80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791622"/>
    <w:multiLevelType w:val="multilevel"/>
    <w:tmpl w:val="B9D6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258"/>
    <w:rsid w:val="001601DE"/>
    <w:rsid w:val="00190FF4"/>
    <w:rsid w:val="001B16BE"/>
    <w:rsid w:val="001F2686"/>
    <w:rsid w:val="00243C3A"/>
    <w:rsid w:val="003F143C"/>
    <w:rsid w:val="00474617"/>
    <w:rsid w:val="004A68D4"/>
    <w:rsid w:val="004D6010"/>
    <w:rsid w:val="00605EB8"/>
    <w:rsid w:val="00640F1C"/>
    <w:rsid w:val="00856258"/>
    <w:rsid w:val="009A214B"/>
    <w:rsid w:val="00A1431F"/>
    <w:rsid w:val="00A204B7"/>
    <w:rsid w:val="00A66129"/>
    <w:rsid w:val="00AD19DA"/>
    <w:rsid w:val="00C357D6"/>
    <w:rsid w:val="00C45A18"/>
    <w:rsid w:val="00D03B6E"/>
    <w:rsid w:val="00D451A5"/>
    <w:rsid w:val="00E7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AD7922B-3AF7-4361-8FDE-FBD5F501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9"/>
    <w:qFormat/>
    <w:rsid w:val="008562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styleId="a3">
    <w:name w:val="Normal (Web)"/>
    <w:basedOn w:val="a"/>
    <w:uiPriority w:val="99"/>
    <w:rsid w:val="008562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856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rsid w:val="00AD19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rsid w:val="00AD19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  <w:lang w:val="uk-UA" w:eastAsia="uk-UA"/>
    </w:rPr>
  </w:style>
  <w:style w:type="character" w:styleId="a8">
    <w:name w:val="page number"/>
    <w:uiPriority w:val="99"/>
    <w:rsid w:val="00AD19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Баллистическая экспертиза</vt:lpstr>
    </vt:vector>
  </TitlesOfParts>
  <Company>NhT</Company>
  <LinksUpToDate>false</LinksUpToDate>
  <CharactersWithSpaces>22275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Баллистическая экспертиза</dc:title>
  <dc:subject/>
  <dc:creator>Zver</dc:creator>
  <cp:keywords/>
  <dc:description/>
  <cp:lastModifiedBy>admin</cp:lastModifiedBy>
  <cp:revision>2</cp:revision>
  <dcterms:created xsi:type="dcterms:W3CDTF">2014-03-07T03:21:00Z</dcterms:created>
  <dcterms:modified xsi:type="dcterms:W3CDTF">2014-03-07T03:21:00Z</dcterms:modified>
</cp:coreProperties>
</file>