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B2" w:rsidRDefault="00193FB2">
      <w:pPr>
        <w:pStyle w:val="ConsPlusNonformat"/>
        <w:widowControl/>
        <w:jc w:val="both"/>
      </w:pPr>
    </w:p>
    <w:p w:rsidR="00193FB2" w:rsidRDefault="00193FB2">
      <w:pPr>
        <w:pStyle w:val="ConsPlusTitle"/>
        <w:widowControl/>
        <w:jc w:val="center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ПРОВЕРКА КОНТРАГЕНТА</w:t>
      </w:r>
      <w:r w:rsidR="00403DCF">
        <w:rPr>
          <w:rFonts w:ascii="Courier New" w:hAnsi="Courier New" w:cs="Courier New"/>
          <w:sz w:val="28"/>
          <w:szCs w:val="28"/>
        </w:rPr>
        <w:t xml:space="preserve"> В АУДИТЕ</w:t>
      </w:r>
    </w:p>
    <w:p w:rsidR="00193FB2" w:rsidRDefault="00193FB2">
      <w:pPr>
        <w:pStyle w:val="ConsPlusTitle"/>
        <w:widowControl/>
        <w:jc w:val="center"/>
        <w:rPr>
          <w:rFonts w:ascii="Courier New" w:hAnsi="Courier New" w:cs="Courier New"/>
          <w:sz w:val="28"/>
          <w:szCs w:val="28"/>
        </w:rPr>
      </w:pPr>
    </w:p>
    <w:p w:rsid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center"/>
        <w:rPr>
          <w:rFonts w:ascii="Courier New" w:hAnsi="Courier New" w:cs="Courier New"/>
          <w:b/>
          <w:bCs/>
          <w:i/>
          <w:iCs/>
          <w:sz w:val="40"/>
          <w:szCs w:val="40"/>
          <w:u w:val="single"/>
        </w:rPr>
      </w:pPr>
      <w:r w:rsidRPr="00193FB2">
        <w:rPr>
          <w:rFonts w:ascii="Courier New" w:hAnsi="Courier New" w:cs="Courier New"/>
          <w:b/>
          <w:bCs/>
          <w:i/>
          <w:iCs/>
          <w:sz w:val="40"/>
          <w:szCs w:val="40"/>
          <w:u w:val="single"/>
        </w:rPr>
        <w:t>ПЛАН</w:t>
      </w:r>
    </w:p>
    <w:p w:rsid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</w:p>
    <w:p w:rsid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i/>
          <w:iCs/>
          <w:sz w:val="28"/>
          <w:szCs w:val="28"/>
        </w:rPr>
        <w:t>Как можно потерять право на вычет НДС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i/>
          <w:iCs/>
          <w:sz w:val="28"/>
          <w:szCs w:val="28"/>
        </w:rPr>
        <w:t>Позиция ВАС РФ и как к ней относиться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i/>
          <w:iCs/>
          <w:sz w:val="28"/>
          <w:szCs w:val="28"/>
        </w:rPr>
        <w:t>Как проверить партнера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i/>
          <w:iCs/>
          <w:sz w:val="28"/>
          <w:szCs w:val="28"/>
        </w:rPr>
        <w:t>Информация о конкретном налогоплательщике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i/>
          <w:iCs/>
          <w:sz w:val="28"/>
          <w:szCs w:val="28"/>
        </w:rPr>
        <w:t>Доступ к реестрам в целом</w:t>
      </w:r>
    </w:p>
    <w:p w:rsidR="00193FB2" w:rsidRDefault="00193FB2">
      <w:pPr>
        <w:pStyle w:val="ConsPlusTitle"/>
        <w:widowControl/>
        <w:jc w:val="center"/>
      </w:pPr>
    </w:p>
    <w:p w:rsidR="00193FB2" w:rsidRDefault="00193FB2">
      <w:pPr>
        <w:pStyle w:val="ConsPlusTitle"/>
        <w:widowControl/>
        <w:jc w:val="center"/>
      </w:pP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  <w:r w:rsidRPr="00193FB2">
        <w:rPr>
          <w:rFonts w:ascii="Courier New" w:hAnsi="Courier New" w:cs="Courier New"/>
          <w:sz w:val="28"/>
          <w:szCs w:val="28"/>
        </w:rPr>
        <w:t>Многим налогоплательщикам знакома ситуация, когда налоговый инспектор отказывает им в возможности произвести вычет НДС на том основании, что их контрагент указал в счете-фактуре недостоверные сведения о себе. Недавно такую позицию поддержал в своем постановлении Президиум Высшего Арбитражного Суда РФ. Как это отразится на налогоплательщике? На что в первую очередь необходимо обратить внимание, чтобы избежать налоговых споров?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Как можно потерять право на вычет НДС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В Налоговом кодексе Российской Федерации есть следующие обязательные условия, выполнив которые налогоплательщик может принять к вычету налог на добавленную стоимость: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налог должен быть предъявлен налогоплательщику (ст. 172 НК РФ);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налогоплательщику должен быть выдан счет-фактура, оформленный с соблюдением требований п. п. 5 и 6 ст. 169 НК РФ;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товары (работы, услуги, имущественные права) должны быть приобретены для перепродажи или проведения других операций, облагаемых НДС (ст. 171 НК РФ);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товары, работы, услуги или имущественные права должны быть приняты на учет при наличии соответствующих первичных документов (ст. 172 НК РФ).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С 1 января 2006 г. условие об обязательной уплате НДС своему контрагенту отменено.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Итак, выполнив все предусмотренные гл. 21 НК РФ условия, налогоплательщик может принимать НДС к вычету. Но, как показывает практика, налоговому инспектору, проводящему мероприятия налогового контроля, важно знать, попала ли вычитаемая из налоговой базы сумма в бюджет. О том, что этого не произошло, могут свидетельствовать и косвенные признаки: в документах указаны ложные сведения о партнере, сведения о нем отсутствуют в ЕГРЮЛ и ЕГРИП, счета-фактуры подписаны неизвестными лицами и др. И если такие факты будут установлены, то скорее всего налогоплательщику откажут в вычете.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Почему же это происходит, несмотря на то что требование проверять своего партнера законодательно не установлено? Потому что налоговые органы занимают позицию, в соответствии с которой к вычету можно принять только тот НДС, который попал в бюджет. Поэтому им настолько важно подтвердить достоверность данных счетов-фактур.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Позиция ВАС РФ и как к ней относиться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Не принимать во внимание позицию налоговых органов нельзя, тем более что ее поддержал Президиум ВАС РФ. В своем Постановлении от 18 октября 2005 г. N 4047/05 (далее - Постановление N 4047/05) он сделал вывод, что требования к порядку составления счетов-фактур относятся не только к полноте заполнения всех реквизитов, но и к достоверности содержащихся в них сведений. Этот вывод, в частности, основывается на том, что данные первичных документов, составляемых при совершении хозяйственной операции, в том числе о лицах, осуществивших операции по отправке и приему груза, должны соответствовать фактическим - - обстоятельствам. Счета-фактуры составляются на основании уже имеющихся первичных документов и должны отражать конкретные факты хозяйственной деятельности, подтверждаемые такими документами.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Отметим, что до принятия этого Постановления судебная практика была неоднозначной. В основном суды поддерживали налогоплательщиков и указывали, что ни одной нормой права, определяющей порядок вычета НДС налогоплательщиком, не установлена в качестве обязательного условия для применения налогового вычета уплата НДС в бюджет контрагентом.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Хотя встречались и решения, в которых поддерживались выводы налоговых органов о неправомерности налогового вычета в рассматриваемых ситуациях. Например, на основании того, что в счетах-фактурах указаны ложные сведения о контрагенте или не может быть подтвержден факт уплаты им НДС в бюджет. Но, принимая такую позицию, суды всегда оценивали ситуацию в плоскости "добросовестность-недобросовестность", и если решение принималось не в пользу налогоплательщика, то оно выносилось именно с учетом его недобросовестности.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Часто суды в своих решениях указывали на то, что налоговое законодательство исходит из признания презумпции добросовестности действий налогоплательщика, пока не доказано обратное. Об этом же говорится и в Определении Конституционного Суда РФ от 16 октября 2003 г. N 329-О. Там, в частности, указано, что истолкование ст. 57 Конституции РФ в системной связи с другими ее положениями не позволяет сделать вывод, что налогоплательщик несет ответственность за действия всех организаций, участвующих в многостадийном процессе уплаты и перечисления налогов в бюджет. По смыслу положения, содержащегося в п. 7 ст. 3 НК РФ, в сфере налоговых отношений действует презумпция добросовестности. Правоприменительные органы не могут истолковывать понятие "добросовестные налогоплательщики" как возлагающее на налогоплательщиков дополнительные обязанности, не предусмотренные законодательством.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Изменится ли подход арбитражных судов после принятия Постановления N 4047/05?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Полномочия Президиума ВАС РФ установлены в ст. 16 Федерального конституционного закона от 28 апреля 1995 г. N 1-ФКЗ "Об арбитражных судах в Российской Федерации". Там сказано, что он рассматривает в порядке надзора дела по проверке вступивших в законную силу судебных актов арбитражных судов в РФ, отдельные вопросы судебной практики, а о результатах рассмотрения информирует арбитражные суды в РФ.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Во втором случае речь идет о рекомендациях, выработанных на основе обзора практики разрешения арбитражными судами дел. О них Президиум ВАС РФ сообщает в своих информационных письмах. Это некое обобщение судебной практики и выработка единой позиции, которая потом используется всеми арбитражными судами.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Что касается рассмотрения в порядке надзора вступивших в силу судебных актов, то выводы, сделанные в Постановлении N 4047/05 с учетом конкретных обстоятельств дела, не являются обязательными для всех арбитражных судов при принятии решения по аналогичным делам. Но практика показывает, что Президиум ВАС РФ и в этих случаях часто закладывает в своих постановлениях принципы, которые в дальнейшем принимаются во внимание арбитражными судами.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Как же относиться к таким выводам Президиума ВАС РФ?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Минфин России в своих разъяснениях не раз указывал на то, что решения судов принимаются в связи с рассмотрением ими конкретных обстоятельств дела и не могут автоматически приниматься как методологическая основа для применения норм налогового законодательства (см., в частности, Письмо Минфина России от 22 сентября 2005 г. N 03-03-04/1/221).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По нашему мнению, такая позиция справедлива. Конкретные факты способны полностью изменить ситуацию. Очевидно, что Постановление N 4047/05 было вынесено с учетом признаков недобросовестности налогоплательщика. Например, выявлено, что некоторые представленные им документы не соответствовали действительности, на практике описанные в них операции не проводились. Но специального указания на признак недобросовестности суд не дал.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Вероятнее всего подход налоговых органов не изменится. Если при проверке возникнет риск, что контрагент не перечислил в бюджет НДС, в вычете налогоплательщику скорее всего откажут. А в судебной практике еще более закрепится подход, в соответствии с которым вычет НДС может быть признан неправомерным, если будут выявлены признаки недобросовестности налогоплательщика.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Тем налогоплательщикам, которые хотят избежать как судебных, так и досудебных налоговых споров, можно посоветовать провести ряд контрольных мероприятий в отношении своих партнеров. Рассмотрим, какие для этого есть возможности.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Как проверить партнера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Что же можно предпринять, чтобы не попасть в ситуацию, когда при проверке ваш партнер не будет обнаружен или выяснится, что в документах о нем указаны неверные сведения?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Можно воспользоваться доступными средствами и проверить информацию о своем контрагенте. Сделать это можно двумя путями.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Первый: запросить сведения у самого контрагента (свидетельство о регистрации в налоговом органе, в котором указаны адрес и ИНН, документы, подтверждающие полномочия лиц подписывать документы, можно проверить указанные в документах телефоны, адреса и т.п.).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Второй: обратиться с запросом в налоговый орган. Речь идет о получении сведений из ЕГРЮЛ и ЕГРИП.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С первым все ясно. Количество и достоверность полученных сведений зависят от самого партнера и ваших с ним отношений.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Что касается второго пути, то его стоит рассмотреть подробнее. Сразу оговоримся, что данные из указанных реестров предоставляются за плату, размер которой зависит от объема необходимой информации и сроков ее получения. Процесс получения сведений и размер платы жестко регламентированы.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Основные нормативно-правовые акты, которые могут понадобиться для получения информации о своем контрагенте, - Правила ведения Единого государственного реестра юридических лиц и предоставления содержащихся в нем сведений (далее - Правила ведения ЕГРЮЛ), утвержденные Постановлением Правительства РФ от 19 июня 2002 г. N 438, и Правила ведения Единого государственного реестра индивидуальных предпринимателей и предоставления содержащихся в нем сведений (далее - Правила ведения ЕГРИП), утвержденные Постановлением Правительства РФ от 16 октября 2003 г. N 630. Указанные Правила разъясняются письмами ФНС России.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Какие конкретно сведения включаются в ЕГРЮЛ и ЕГРИП, указано в Приложениях 2 Правил ведения ЕГРЮЛ и ЕГРИП. В частности, там есть данные о местонахождении налогоплательщика, его ИНН и КПП, о прекращении им деятельности, о лице, имеющем право без доверенности действовать от имени юридического лица, его филиалах и представительствах, полученных лицензиях и т.д.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Обратите внимание: в соответствии с изменениями, внесенными в Правила ведения ЕГРЮЛ и ЕГРИП Постановлением Правительства РФ от 13 декабря 2005 г. N 760, основанием для исключения из реестра недействующего юридического лица является непредставление юридическим лицом в течение последних 12 месяцев налоговой отчетности, а также отсутствие в течение последних 12 месяцев движения денежных средств по банковским счетам (отсутствие открытых банковских счетов).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В налоговых органах можно получить информацию о конкретном налогоплательщике в интересующем объеме, а можно получить доступ ко всему реестру. Рассмотрим нюансы каждого способа получения информации.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Информация о конкретном налогоплательщике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Сведения предоставляются в виде выписки из реестра, справки об отсутствии запрашиваемой информации и копии документов из регистрационного дела. Какую конкретно информацию в итоге вы хотите получить, необходимо указать в запросе. Помимо запроса нужно направить также документ, подтверждающий оплату услуг по предоставлению информации. Запрос составляется в произвольной форме.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Срок предоставления сведений - не более пяти дней. Можно попросить предоставить информацию срочно - не позднее рабочего дня, следующего за днем поступления запроса.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Плата за сведения составляет 200 руб. за каждый документ, за срочное предоставление - 400 руб. за каждый документ. При этом в Письме МНС России от 26 марта 2003 г. N ФС-6-09/345@ "К вопросу о предоставлении сведения из Единого государственного реестра юридических лиц" указано, что в платежном поручении в разделе "Назначение платежа" следует указать количество запрашиваемых документов, умноженное на размер платы за услугу.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Общество с ограниченной ответственностью "ИНТЕРЕС"</w:t>
      </w: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ИНН 7718515688, КПП 771801001 105381,</w:t>
      </w: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Москва, ул. Вольная, д. 3</w:t>
      </w:r>
    </w:p>
    <w:p w:rsidR="00193FB2" w:rsidRDefault="00193FB2">
      <w:pPr>
        <w:pStyle w:val="ConsPlusNonformat"/>
        <w:widowControl/>
        <w:jc w:val="both"/>
      </w:pPr>
    </w:p>
    <w:p w:rsidR="00193FB2" w:rsidRDefault="00193FB2">
      <w:pPr>
        <w:pStyle w:val="ConsPlusNormal"/>
        <w:widowControl/>
        <w:ind w:firstLine="0"/>
        <w:jc w:val="right"/>
      </w:pPr>
      <w:r>
        <w:t>Межрайонная инспекция ФНС России</w:t>
      </w:r>
    </w:p>
    <w:p w:rsidR="00193FB2" w:rsidRDefault="00193FB2">
      <w:pPr>
        <w:pStyle w:val="ConsPlusNormal"/>
        <w:widowControl/>
        <w:ind w:firstLine="0"/>
        <w:jc w:val="right"/>
      </w:pPr>
      <w:r>
        <w:t>по г. Москве N 46</w:t>
      </w:r>
    </w:p>
    <w:p w:rsidR="00193FB2" w:rsidRDefault="00193FB2">
      <w:pPr>
        <w:pStyle w:val="ConsPlusNormal"/>
        <w:widowControl/>
        <w:ind w:firstLine="0"/>
        <w:jc w:val="right"/>
      </w:pPr>
      <w:r>
        <w:t>125373, Москва, Походный проезд, вл. 3, корп. 1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14.03.2006 N 1414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Запрос о предоставлении сведений,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содержащихся в Едином государственном реестре юридических лиц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В соответствии с п. 20 Правил ведения Единого государственного реестра юридических лиц и предоставления содержащихся в нем сведений, утвержденных Постановлением Правительства РФ от 19 июня 2002 г. N 438, просим предоставить следующие сведения о ЗАО "Квадрат-37" (ОГРН ХХХХ-ХХХХХХХХХ), включенные в Единый государственный реестр юридических лиц: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1. Адрес (место нахождения).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2. Сведения о прекращении деятельности юридического лица.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3. Сведения о лице, имеющем право без доверенности действовать от имени указанного юридического лица.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4. ИНН и КПП.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5. Сведения о лицензиях, полученных указанным юридическим лицом.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Приложение: копия платежного поручения от 13 марта 2006 г. N 345 на перечисление платы за услуги по предоставлению сведений из ЕГРЮЛ.</w:t>
      </w:r>
    </w:p>
    <w:p w:rsidR="00193FB2" w:rsidRDefault="00193FB2">
      <w:pPr>
        <w:pStyle w:val="ConsPlusNonformat"/>
        <w:widowControl/>
        <w:jc w:val="both"/>
      </w:pPr>
    </w:p>
    <w:p w:rsidR="00193FB2" w:rsidRDefault="00193FB2">
      <w:pPr>
        <w:pStyle w:val="ConsPlusNonformat"/>
        <w:widowControl/>
      </w:pPr>
      <w:r>
        <w:t xml:space="preserve">    Генеральный директор ООО "ИНТЕРЕС"        Интересный      (И.О. Интересный)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МНС России рекомендовало обращаться с запросом о предоставлении сведений из ЕГРЮЛ по местонахождению юридического лица. Но если вы ошибетесь, ответ вам все равно направят. Если запрос поступил не по местонахождению юридического лица, то МНС России в указанном выше Письме рекомендовало регистрирующему органу в течение одного рабочего дня обеспечить направление запроса в регистрирующий орган по местонахождению запрашиваемого юридического лица. Последний же при поступлении запроса должен обеспечить поступление документов заявителю в течение пяти рабочих дней.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Информацию о том, какие налоговые органы занимаются государственной регистрацией на территории конкретного субъекта РФ, данные об их адресах и телефонах, а также реквизиты платежных документов можно найти в сети Интернет, на сайте управления ФНС России по соответствующему субъекту. Попасть на сайт управления ФНС России можно через сайт www.nalog.ru, далее поочередно в разделы "ФНС России", "Структура ФНС России", "Территориальные налоговые органы" и страничка конкретного управления, где есть раздел, посвященный государственной регистрации.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Способы получения данных ЕГРЮЛ и ЕГРИП</w:t>
      </w:r>
    </w:p>
    <w:p w:rsidR="00193FB2" w:rsidRDefault="00193FB2">
      <w:pPr>
        <w:pStyle w:val="ConsPlusNonformat"/>
        <w:widowControl/>
        <w:jc w:val="both"/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3375"/>
        <w:gridCol w:w="3510"/>
      </w:tblGrid>
      <w:tr w:rsidR="00193FB2">
        <w:trPr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Показатели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Получение информации о </w:t>
            </w:r>
            <w:r>
              <w:br/>
              <w:t xml:space="preserve">конкретном       </w:t>
            </w:r>
            <w:r>
              <w:br/>
              <w:t xml:space="preserve">налогоплательщике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Доступ к реестрам на  </w:t>
            </w:r>
            <w:r>
              <w:br/>
              <w:t xml:space="preserve">сайте ФНС России    </w:t>
            </w:r>
          </w:p>
        </w:tc>
      </w:tr>
      <w:tr w:rsidR="00193FB2">
        <w:trPr>
          <w:trHeight w:val="26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Вид          </w:t>
            </w:r>
            <w:r>
              <w:br/>
              <w:t xml:space="preserve">получаемой   </w:t>
            </w:r>
            <w:r>
              <w:br/>
              <w:t xml:space="preserve">информации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Выписка из              </w:t>
            </w:r>
            <w:r>
              <w:br/>
              <w:t>государственного реестра</w:t>
            </w:r>
            <w:r>
              <w:br/>
              <w:t xml:space="preserve">Копии документов,       </w:t>
            </w:r>
            <w:r>
              <w:br/>
              <w:t xml:space="preserve">содержащихся в          </w:t>
            </w:r>
            <w:r>
              <w:br/>
              <w:t xml:space="preserve">регистрационном деле.   </w:t>
            </w:r>
            <w:r>
              <w:br/>
              <w:t xml:space="preserve">Справка об отсутствии   </w:t>
            </w:r>
            <w:r>
              <w:br/>
              <w:t>запрашиваемой информации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Доступ в сети Интернет к </w:t>
            </w:r>
            <w:r>
              <w:br/>
              <w:t xml:space="preserve">сайту ФНС России, на     </w:t>
            </w:r>
            <w:r>
              <w:br/>
              <w:t xml:space="preserve">котором размещаются      </w:t>
            </w:r>
            <w:r>
              <w:br/>
              <w:t xml:space="preserve">еженедельно обновляемые  </w:t>
            </w:r>
            <w:r>
              <w:br/>
              <w:t xml:space="preserve">копии ЕГРЮЛ и ЕГРИП, не  </w:t>
            </w:r>
            <w:r>
              <w:br/>
              <w:t xml:space="preserve">содержащие сведений,     </w:t>
            </w:r>
            <w:r>
              <w:br/>
              <w:t xml:space="preserve">доступ к которым         </w:t>
            </w:r>
            <w:r>
              <w:br/>
              <w:t xml:space="preserve">ограничен.               </w:t>
            </w:r>
            <w:r>
              <w:br/>
              <w:t xml:space="preserve">Доступ осуществляется на </w:t>
            </w:r>
            <w:r>
              <w:br/>
              <w:t>основании предоставленных</w:t>
            </w:r>
            <w:r>
              <w:br/>
              <w:t xml:space="preserve">получателю атрибутов     </w:t>
            </w:r>
            <w:r>
              <w:br/>
              <w:t xml:space="preserve">доступа - указываются в  </w:t>
            </w:r>
            <w:r>
              <w:br/>
              <w:t xml:space="preserve">уведомлении о принятом   </w:t>
            </w:r>
            <w:r>
              <w:br/>
              <w:t xml:space="preserve">решении о предоставлении </w:t>
            </w:r>
            <w:r>
              <w:br/>
              <w:t xml:space="preserve">сведений. Приобретение   </w:t>
            </w:r>
            <w:r>
              <w:br/>
              <w:t xml:space="preserve">программно-технических   </w:t>
            </w:r>
            <w:r>
              <w:br/>
              <w:t xml:space="preserve">средств и получение      </w:t>
            </w:r>
            <w:r>
              <w:br/>
              <w:t xml:space="preserve">доступа к сети Интернет  </w:t>
            </w:r>
            <w:r>
              <w:br/>
              <w:t xml:space="preserve">осуществляются           </w:t>
            </w:r>
            <w:r>
              <w:br/>
              <w:t xml:space="preserve">получателем за свой счет </w:t>
            </w:r>
            <w:r>
              <w:br/>
              <w:t xml:space="preserve">самостоятельно           </w:t>
            </w:r>
          </w:p>
        </w:tc>
      </w:tr>
      <w:tr w:rsidR="00193FB2">
        <w:trPr>
          <w:trHeight w:val="14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Размер платы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200 руб. - за каждый    </w:t>
            </w:r>
            <w:r>
              <w:br/>
              <w:t xml:space="preserve">документ;               </w:t>
            </w:r>
            <w:r>
              <w:br/>
              <w:t xml:space="preserve">400 руб. - за каждый    </w:t>
            </w:r>
            <w:r>
              <w:br/>
              <w:t xml:space="preserve">документ при срочном    </w:t>
            </w:r>
            <w:r>
              <w:br/>
              <w:t xml:space="preserve">предоставлении сведений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50 000 руб. - за         </w:t>
            </w:r>
            <w:r>
              <w:br/>
              <w:t xml:space="preserve">однократное              </w:t>
            </w:r>
            <w:r>
              <w:br/>
              <w:t xml:space="preserve">предоставление Открытых  </w:t>
            </w:r>
            <w:r>
              <w:br/>
              <w:t>сведений в полном объеме;</w:t>
            </w:r>
            <w:r>
              <w:br/>
              <w:t xml:space="preserve">5000 руб. - за           </w:t>
            </w:r>
            <w:r>
              <w:br/>
              <w:t xml:space="preserve">однократное              </w:t>
            </w:r>
            <w:r>
              <w:br/>
              <w:t xml:space="preserve">предоставление Открытых  </w:t>
            </w:r>
            <w:r>
              <w:br/>
              <w:t xml:space="preserve">обновленных сведений;    </w:t>
            </w:r>
            <w:r>
              <w:br/>
              <w:t>150 000 руб. - за годовое</w:t>
            </w:r>
            <w:r>
              <w:br/>
              <w:t xml:space="preserve">абонентское обслуживание </w:t>
            </w:r>
            <w:r>
              <w:br/>
              <w:t xml:space="preserve">одного рабочего места    </w:t>
            </w:r>
          </w:p>
        </w:tc>
      </w:tr>
      <w:tr w:rsidR="00193FB2">
        <w:trPr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Сроки        </w:t>
            </w:r>
            <w:r>
              <w:br/>
              <w:t xml:space="preserve">получения    </w:t>
            </w:r>
            <w:r>
              <w:br/>
              <w:t xml:space="preserve">сведений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Не более пяти дней.     </w:t>
            </w:r>
            <w:r>
              <w:br/>
              <w:t>Срочное предоставление -</w:t>
            </w:r>
            <w:r>
              <w:br/>
              <w:t>не позднее рабочего дня,</w:t>
            </w:r>
            <w:r>
              <w:br/>
              <w:t xml:space="preserve">следующего за днем      </w:t>
            </w:r>
            <w:r>
              <w:br/>
              <w:t xml:space="preserve">поступления             </w:t>
            </w:r>
            <w:r>
              <w:br/>
              <w:t>соответствующего запроса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Не позднее пяти рабочих  </w:t>
            </w:r>
            <w:r>
              <w:br/>
              <w:t xml:space="preserve">дней со дня принятия     </w:t>
            </w:r>
            <w:r>
              <w:br/>
              <w:t xml:space="preserve">решения о предоставлении </w:t>
            </w:r>
            <w:r>
              <w:br/>
              <w:t xml:space="preserve">сведений.                </w:t>
            </w:r>
            <w:r>
              <w:br/>
              <w:t xml:space="preserve">Решение принимается в    </w:t>
            </w:r>
            <w:r>
              <w:br/>
              <w:t xml:space="preserve">срок не более пяти дней  </w:t>
            </w:r>
            <w:r>
              <w:br/>
              <w:t xml:space="preserve">со дня получения заявки  </w:t>
            </w:r>
          </w:p>
        </w:tc>
      </w:tr>
      <w:tr w:rsidR="00193FB2">
        <w:trPr>
          <w:trHeight w:val="14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Кому         </w:t>
            </w:r>
            <w:r>
              <w:br/>
              <w:t xml:space="preserve">направлять   </w:t>
            </w:r>
            <w:r>
              <w:br/>
              <w:t xml:space="preserve">запрос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В территориальные       </w:t>
            </w:r>
            <w:r>
              <w:br/>
              <w:t xml:space="preserve">налоговые органы,       </w:t>
            </w:r>
            <w:r>
              <w:br/>
              <w:t xml:space="preserve">осуществляющие          </w:t>
            </w:r>
            <w:r>
              <w:br/>
              <w:t xml:space="preserve">государственную         </w:t>
            </w:r>
            <w:r>
              <w:br/>
              <w:t xml:space="preserve">регистрацию юридических </w:t>
            </w:r>
            <w:r>
              <w:br/>
              <w:t xml:space="preserve">лиц на территории       </w:t>
            </w:r>
            <w:r>
              <w:br/>
              <w:t xml:space="preserve">соответствующего        </w:t>
            </w:r>
            <w:r>
              <w:br/>
              <w:t xml:space="preserve">субъекта РФ, -          </w:t>
            </w:r>
            <w:r>
              <w:br/>
              <w:t xml:space="preserve">информация о них        </w:t>
            </w:r>
            <w:r>
              <w:br/>
              <w:t xml:space="preserve">размещена               </w:t>
            </w:r>
            <w:r>
              <w:br/>
              <w:t xml:space="preserve">на сайтах УФНС России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В ФНС России.            </w:t>
            </w:r>
            <w:r>
              <w:br/>
              <w:t xml:space="preserve">127381, г. Москва, ул.   </w:t>
            </w:r>
            <w:r>
              <w:br/>
              <w:t xml:space="preserve">Неглинная, д. 23         </w:t>
            </w:r>
          </w:p>
        </w:tc>
      </w:tr>
      <w:tr w:rsidR="00193FB2">
        <w:trPr>
          <w:trHeight w:val="24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>Регламентация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Правила ведения Единого </w:t>
            </w:r>
            <w:r>
              <w:br/>
              <w:t>государственного реестра</w:t>
            </w:r>
            <w:r>
              <w:br/>
              <w:t xml:space="preserve">юридических лиц и       </w:t>
            </w:r>
            <w:r>
              <w:br/>
              <w:t xml:space="preserve">предоставления          </w:t>
            </w:r>
            <w:r>
              <w:br/>
              <w:t xml:space="preserve">содержащихся в нем      </w:t>
            </w:r>
            <w:r>
              <w:br/>
              <w:t xml:space="preserve">сведений, утвержденные  </w:t>
            </w:r>
            <w:r>
              <w:br/>
              <w:t xml:space="preserve">Постановлением          </w:t>
            </w:r>
            <w:r>
              <w:br/>
              <w:t xml:space="preserve">Правительства РФ от 19  </w:t>
            </w:r>
            <w:r>
              <w:br/>
              <w:t xml:space="preserve">июня 2002 г. N 438, и   </w:t>
            </w:r>
            <w:r>
              <w:br/>
              <w:t xml:space="preserve">Правила ведения Единого </w:t>
            </w:r>
            <w:r>
              <w:br/>
              <w:t>государственного реестра</w:t>
            </w:r>
            <w:r>
              <w:br/>
              <w:t xml:space="preserve">индивидуальных          </w:t>
            </w:r>
            <w:r>
              <w:br/>
              <w:t xml:space="preserve">предпринимателей и      </w:t>
            </w:r>
            <w:r>
              <w:br/>
              <w:t xml:space="preserve">предоставления          </w:t>
            </w:r>
            <w:r>
              <w:br/>
              <w:t xml:space="preserve">содержащихся в нем      </w:t>
            </w:r>
            <w:r>
              <w:br/>
              <w:t xml:space="preserve">сведений, утвержденные  </w:t>
            </w:r>
            <w:r>
              <w:br/>
              <w:t xml:space="preserve">Постановлением          </w:t>
            </w:r>
            <w:r>
              <w:br/>
              <w:t xml:space="preserve">Правительства РФ от 16  </w:t>
            </w:r>
            <w:r>
              <w:br/>
              <w:t xml:space="preserve">октября 2003 г. N 630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B2" w:rsidRDefault="00193FB2">
            <w:pPr>
              <w:pStyle w:val="ConsPlusCell"/>
              <w:widowControl/>
            </w:pPr>
            <w:r>
              <w:t xml:space="preserve">Приказ ФНС России от 21  </w:t>
            </w:r>
            <w:r>
              <w:br/>
              <w:t xml:space="preserve">октября 2004 г. N САЭ-3- </w:t>
            </w:r>
            <w:r>
              <w:br/>
              <w:t xml:space="preserve">09/7@                    </w:t>
            </w:r>
          </w:p>
        </w:tc>
      </w:tr>
    </w:tbl>
    <w:p w:rsidR="00193FB2" w:rsidRDefault="00193FB2">
      <w:pPr>
        <w:pStyle w:val="ConsPlusNonformat"/>
        <w:widowControl/>
        <w:jc w:val="both"/>
      </w:pPr>
    </w:p>
    <w:p w:rsidR="00193FB2" w:rsidRPr="00193FB2" w:rsidRDefault="00193FB2">
      <w:pPr>
        <w:pStyle w:val="ConsPlusNormal"/>
        <w:widowControl/>
        <w:ind w:firstLine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93FB2">
        <w:rPr>
          <w:rFonts w:ascii="Courier New" w:hAnsi="Courier New" w:cs="Courier New"/>
          <w:b/>
          <w:bCs/>
          <w:sz w:val="28"/>
          <w:szCs w:val="28"/>
        </w:rPr>
        <w:t>Доступ к реестрам в целом</w:t>
      </w:r>
    </w:p>
    <w:p w:rsidR="00193FB2" w:rsidRDefault="00193FB2">
      <w:pPr>
        <w:pStyle w:val="ConsPlusNonformat"/>
        <w:widowControl/>
        <w:jc w:val="both"/>
      </w:pP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Доступ к реестрам в целом можно получить через Интернет посредством установления доступа к разделам сайта ФНС России, которые содержат открытые сведения реестров. Порядок предоставления информации из реестров в электронном виде регламентируется Приказом ФНС России от 21 октября 2004 г. N САЭ-3-09/7@. Чтобы иметь доступ, необходимо получить специальные атрибуты, срок действия которых - один год.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Доступ также предоставляется за плату: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однократное предоставление открытых сведений в полном объеме - 50 000 руб.;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однократное предоставление открытых обновленных сведений - 5000 руб.;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- годовое абонентское обслуживание одного рабочего места - 150 000 руб.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Для получения доступа в ФНС России необходимо направить заявку на предоставление в электронном виде сведений и документ, подтверждающий оплату.</w:t>
      </w:r>
    </w:p>
    <w:p w:rsidR="00193FB2" w:rsidRPr="00193FB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Информация о порядке получения сведений из государственных реестров, в частности адрес ФНС России и порядок заполнения платежных реквизитов, размещена на сайтах управлений ФНС России в сети Интернет и на стендах в территориальных регистрирующих органах.</w:t>
      </w:r>
    </w:p>
    <w:p w:rsidR="00262092" w:rsidRDefault="00193FB2" w:rsidP="00193FB2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193FB2">
        <w:rPr>
          <w:rFonts w:ascii="Courier New" w:hAnsi="Courier New" w:cs="Courier New"/>
          <w:sz w:val="28"/>
          <w:szCs w:val="28"/>
        </w:rPr>
        <w:t>Есть еще один способ оперативно получить информацию о партнере, если он является юридическим лицом. Некоторые сведения об организациях можно увидеть в сети Интернет бесплатно. Такое получение информации организовано с целью реализации п. 2 Постановления Правительства РФ от 19 июня 2002 г. N 438. На сайте www.nalog.ru есть доступ к сервису предоставления выборочных сведений из ЕГРЮЛ. Находится он в разделе "Государственная регистрация и учет налогоплательщиков" в подразделе "Сведения о юридических лицах, внесенных в Единый государственный реестр юридических лиц". Там вы можете найти сведения о полном наименовании юридического лица, информацию об ИНН, КПП некоторых организаций, государственный регистрационный номер записи и дату ее внесения, наименование и адрес государственного органа, зарегистрировавшего юридическое лицо, адрес (местонахождение) юридического лица.</w:t>
      </w:r>
    </w:p>
    <w:p w:rsidR="00262092" w:rsidRDefault="00262092" w:rsidP="00F77FF5">
      <w:pPr>
        <w:pStyle w:val="ConsPlusNormal"/>
        <w:widowControl/>
        <w:spacing w:line="360" w:lineRule="auto"/>
        <w:ind w:firstLine="54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  <w:t>Литература</w:t>
      </w:r>
    </w:p>
    <w:p w:rsidR="00262092" w:rsidRDefault="00262092" w:rsidP="00262092">
      <w:pPr>
        <w:pStyle w:val="ConsPlusNormal"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262092" w:rsidRPr="00262092" w:rsidRDefault="00262092" w:rsidP="00262092">
      <w:pPr>
        <w:pStyle w:val="ConsPlusNormal"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62092">
        <w:rPr>
          <w:rFonts w:ascii="Courier New" w:hAnsi="Courier New" w:cs="Courier New"/>
          <w:sz w:val="28"/>
          <w:szCs w:val="28"/>
        </w:rPr>
        <w:t>Солодов А.К. Рынок: контроль и аудит. Вопросы теории и техники. - Воронеж, 1993.</w:t>
      </w:r>
    </w:p>
    <w:p w:rsidR="00262092" w:rsidRPr="00262092" w:rsidRDefault="00262092" w:rsidP="00262092">
      <w:pPr>
        <w:pStyle w:val="ConsPlusNormal"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62092">
        <w:rPr>
          <w:rFonts w:ascii="Courier New" w:hAnsi="Courier New" w:cs="Courier New"/>
          <w:sz w:val="28"/>
          <w:szCs w:val="28"/>
        </w:rPr>
        <w:t>Нитецкий В.В., Кудрявцев Н.Н. Аудит предприятия. - М.: Дело, 2005.</w:t>
      </w:r>
    </w:p>
    <w:p w:rsidR="00262092" w:rsidRPr="00262092" w:rsidRDefault="00262092" w:rsidP="00262092">
      <w:pPr>
        <w:pStyle w:val="ConsPlusNormal"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62092">
        <w:rPr>
          <w:rFonts w:ascii="Courier New" w:hAnsi="Courier New" w:cs="Courier New"/>
          <w:sz w:val="28"/>
          <w:szCs w:val="28"/>
        </w:rPr>
        <w:t>Глушков И.Е. Аудит на современном предприятии. - Москва-Новосибирск: КНОРУС-ЭКОР, 2006.</w:t>
      </w:r>
    </w:p>
    <w:p w:rsidR="00262092" w:rsidRPr="00262092" w:rsidRDefault="00262092" w:rsidP="00262092">
      <w:pPr>
        <w:pStyle w:val="ConsPlusNormal"/>
        <w:spacing w:line="360" w:lineRule="auto"/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262092">
        <w:rPr>
          <w:rFonts w:ascii="Courier New" w:hAnsi="Courier New" w:cs="Courier New"/>
          <w:sz w:val="28"/>
          <w:szCs w:val="28"/>
        </w:rPr>
        <w:t>Алборов Р.А. Аудит в организациях промышленности, торговли и АПК. - М.: "Дело и Сервис", 2006.</w:t>
      </w:r>
      <w:bookmarkStart w:id="0" w:name="_GoBack"/>
      <w:bookmarkEnd w:id="0"/>
    </w:p>
    <w:sectPr w:rsidR="00262092" w:rsidRPr="00262092" w:rsidSect="0040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193FB2"/>
    <w:rsid w:val="00262092"/>
    <w:rsid w:val="003825AB"/>
    <w:rsid w:val="00403DCF"/>
    <w:rsid w:val="005139DA"/>
    <w:rsid w:val="00850E7A"/>
    <w:rsid w:val="00921D03"/>
    <w:rsid w:val="00A45276"/>
    <w:rsid w:val="00D147F7"/>
    <w:rsid w:val="00D261D0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EA933B-6F4C-4151-9E01-DAD71F62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3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93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3F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93FB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ПРОВЕРКА КОНТРАГЕНТА В АУДИТЕ</vt:lpstr>
    </vt:vector>
  </TitlesOfParts>
  <Company>ОАО "НЭК"</Company>
  <LinksUpToDate>false</LinksUpToDate>
  <CharactersWithSpaces>18466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ПРОВЕРКА КОНТРАГЕНТА В АУДИТЕ</dc:title>
  <dc:subject/>
  <dc:creator>refersb</dc:creator>
  <cp:keywords/>
  <dc:description/>
  <cp:lastModifiedBy>admin</cp:lastModifiedBy>
  <cp:revision>2</cp:revision>
  <dcterms:created xsi:type="dcterms:W3CDTF">2014-03-04T00:13:00Z</dcterms:created>
  <dcterms:modified xsi:type="dcterms:W3CDTF">2014-03-04T00:13:00Z</dcterms:modified>
</cp:coreProperties>
</file>