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04" w:rsidRDefault="00114D04">
      <w:pPr>
        <w:pStyle w:val="a6"/>
        <w:keepNext/>
        <w:spacing w:line="360" w:lineRule="auto"/>
        <w:ind w:right="28"/>
        <w:jc w:val="center"/>
        <w:rPr>
          <w:sz w:val="32"/>
        </w:rPr>
      </w:pPr>
      <w:r>
        <w:rPr>
          <w:sz w:val="32"/>
        </w:rPr>
        <w:t>ТОМСКИЙ ГОСУДАРСТВЕННЫЙ УНИВЕРСИТЕТ</w:t>
      </w:r>
    </w:p>
    <w:p w:rsidR="00114D04" w:rsidRDefault="00114D04">
      <w:pPr>
        <w:pStyle w:val="a6"/>
        <w:keepNext/>
        <w:jc w:val="center"/>
      </w:pPr>
      <w:r>
        <w:t>Экономический факультет</w:t>
      </w:r>
    </w:p>
    <w:p w:rsidR="00114D04" w:rsidRDefault="00114D04">
      <w:pPr>
        <w:pStyle w:val="a6"/>
        <w:keepNext/>
        <w:jc w:val="center"/>
      </w:pPr>
      <w:r>
        <w:t>Кафедра финансов и учёта</w:t>
      </w: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  <w:rPr>
          <w:sz w:val="28"/>
        </w:rPr>
      </w:pPr>
      <w:r>
        <w:rPr>
          <w:sz w:val="28"/>
        </w:rPr>
        <w:t>РЕФЕРАТ</w:t>
      </w: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  <w:rPr>
          <w:sz w:val="40"/>
        </w:rPr>
      </w:pPr>
      <w:r>
        <w:rPr>
          <w:sz w:val="40"/>
        </w:rPr>
        <w:t>ПРОВЕРКА ОСНОВНЫХ СРЕДСТВ</w:t>
      </w: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128"/>
        <w:gridCol w:w="2442"/>
      </w:tblGrid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  <w:r>
              <w:t>Выполнил</w:t>
            </w: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  <w:r>
              <w:t>Студент 3 курса,</w:t>
            </w: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  <w:r>
              <w:t>Научный руководитель</w:t>
            </w:r>
          </w:p>
        </w:tc>
      </w:tr>
      <w:tr w:rsidR="00114D04">
        <w:tc>
          <w:tcPr>
            <w:tcW w:w="7128" w:type="dxa"/>
          </w:tcPr>
          <w:p w:rsidR="00114D04" w:rsidRDefault="00114D04">
            <w:pPr>
              <w:pStyle w:val="a6"/>
              <w:keepNext/>
              <w:jc w:val="center"/>
            </w:pPr>
          </w:p>
        </w:tc>
        <w:tc>
          <w:tcPr>
            <w:tcW w:w="2442" w:type="dxa"/>
          </w:tcPr>
          <w:p w:rsidR="00114D04" w:rsidRDefault="00114D04">
            <w:pPr>
              <w:pStyle w:val="a6"/>
              <w:keepNext/>
              <w:jc w:val="left"/>
            </w:pPr>
          </w:p>
        </w:tc>
      </w:tr>
    </w:tbl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</w:pPr>
    </w:p>
    <w:p w:rsidR="00114D04" w:rsidRDefault="00114D04">
      <w:pPr>
        <w:pStyle w:val="a6"/>
        <w:keepNext/>
        <w:jc w:val="center"/>
        <w:rPr>
          <w:sz w:val="28"/>
        </w:rPr>
      </w:pPr>
      <w:r>
        <w:rPr>
          <w:sz w:val="28"/>
        </w:rPr>
        <w:t>Томск 2004</w:t>
      </w:r>
    </w:p>
    <w:p w:rsidR="00114D04" w:rsidRDefault="00114D04">
      <w:pPr>
        <w:pStyle w:val="1"/>
      </w:pPr>
    </w:p>
    <w:p w:rsidR="00114D04" w:rsidRDefault="00114D04"/>
    <w:p w:rsidR="00114D04" w:rsidRDefault="00114D04">
      <w:pPr>
        <w:pStyle w:val="1"/>
      </w:pPr>
      <w:r>
        <w:t>ОГЛАВЛЕНИЕ</w:t>
      </w:r>
    </w:p>
    <w:p w:rsidR="00114D04" w:rsidRDefault="00114D04"/>
    <w:p w:rsidR="00114D04" w:rsidRDefault="00114D04"/>
    <w:p w:rsidR="00114D04" w:rsidRDefault="00114D04"/>
    <w:p w:rsidR="00114D04" w:rsidRDefault="00114D04"/>
    <w:p w:rsidR="00114D04" w:rsidRDefault="00114D04"/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1. Учет основных средств</w:t>
      </w:r>
      <w:r>
        <w:rPr>
          <w:noProof/>
          <w:webHidden/>
        </w:rPr>
        <w:tab/>
        <w:t>3</w:t>
      </w:r>
    </w:p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2. Учет, сохранность и расходование основных средств и товарно-материальных ценностей</w:t>
      </w:r>
      <w:r>
        <w:rPr>
          <w:noProof/>
          <w:webHidden/>
        </w:rPr>
        <w:tab/>
        <w:t>4</w:t>
      </w:r>
    </w:p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3. Состояние организации бухгалтерского учета и отчетности.</w:t>
      </w:r>
      <w:r>
        <w:rPr>
          <w:noProof/>
          <w:webHidden/>
        </w:rPr>
        <w:tab/>
        <w:t>5</w:t>
      </w:r>
    </w:p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4. Методика проверки сохранности основных средств в бюджетных учреждениях</w:t>
      </w:r>
      <w:r>
        <w:rPr>
          <w:noProof/>
          <w:webHidden/>
        </w:rPr>
        <w:tab/>
        <w:t>6</w:t>
      </w:r>
    </w:p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5. Нормативные документы, используемые при проверке;</w:t>
      </w:r>
      <w:r>
        <w:rPr>
          <w:noProof/>
          <w:webHidden/>
        </w:rPr>
        <w:tab/>
        <w:t>8</w:t>
      </w:r>
    </w:p>
    <w:p w:rsidR="00114D04" w:rsidRDefault="00114D04">
      <w:pPr>
        <w:pStyle w:val="11"/>
        <w:tabs>
          <w:tab w:val="right" w:leader="dot" w:pos="9631"/>
        </w:tabs>
        <w:rPr>
          <w:noProof/>
        </w:rPr>
      </w:pPr>
      <w:r w:rsidRPr="00AC6491">
        <w:rPr>
          <w:rStyle w:val="a5"/>
          <w:noProof/>
          <w:szCs w:val="32"/>
        </w:rPr>
        <w:t>Литература</w:t>
      </w:r>
      <w:r>
        <w:rPr>
          <w:noProof/>
          <w:webHidden/>
        </w:rPr>
        <w:tab/>
        <w:t>10</w:t>
      </w:r>
    </w:p>
    <w:p w:rsidR="00114D04" w:rsidRDefault="00114D04">
      <w:pPr>
        <w:pStyle w:val="1"/>
      </w:pPr>
    </w:p>
    <w:p w:rsidR="00114D04" w:rsidRDefault="00114D04">
      <w:pPr>
        <w:pStyle w:val="1"/>
        <w:pageBreakBefore/>
      </w:pPr>
      <w:bookmarkStart w:id="0" w:name="_Toc67317582"/>
      <w:r>
        <w:t>1. Учет основных средств</w:t>
      </w:r>
      <w:bookmarkEnd w:id="0"/>
      <w:r>
        <w:t xml:space="preserve"> </w:t>
      </w:r>
    </w:p>
    <w:p w:rsidR="00114D04" w:rsidRDefault="00114D04"/>
    <w:p w:rsidR="00114D04" w:rsidRDefault="00114D04"/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Проводится проверка: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организации учета основных средств, обеспечение их сохранности;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правильность и своевременность отражения в бухгалтерском учете операций по оприходованию, перемещению, передаче, списанию основных средств;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правильность определения износа по основным средствам;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наличие инвентарных номеров на каждый объект основных средств, технических паспортов и другой технической документации, все ли основные средства закреплены за материально-ответственными лицами по местам нахождения и эксплуатации;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при безвозмездном получении основных средств - наличие извещений (авизо) от передающей стороны, своевременность оприходования, правильность определения износа с учетом срока эксплуатации;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создана ли в ревизуемой организации постоянно действующая комиссия по списанию основных средств. Установить обоснованность ссылок в актах на целесообразность списания или на невозможность восстановления объекта, выяснить причины выбытия, сверить данные балансовой стоимости и степени износа, год изготовления и срок эксплуатации с показателями инвентарных карточек, технических паспортов и другой технической документации;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полнота оприходования материальных ценностей, поступивших от разборки ликвидируемых основных средств, правильность их оценки;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при списании основных средств по причине стихийных бедствий и аварий выяснить законность данной операции (наличие актов, заключение соответствующих компетентных органов), соблюдаются ли правила эксплуатации при использовании основных средств, установлены ли виновные в аварии и какие приняты меры по возмещению причиненного ущерба;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при установлении фактов продажи отдельных объектов основных средств работникам организации, а также на сторону (автомобилей, зданий, оборудования и др.) следует выяснить, кто разрешил отпуск за плату, необходимы ли реализуемые объекты основных средств организации, обоснованность цены и полноту оплаты, (Отпускная</w:t>
      </w:r>
      <w:r>
        <w:t xml:space="preserve"> </w:t>
      </w:r>
      <w:r>
        <w:rPr>
          <w:szCs w:val="20"/>
        </w:rPr>
        <w:t>цена при этом должна устанавливаться с учетом сложившихся рыночных цен, технического состояния и процента износа);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по сданным в аренду основным средствам целесообразность произведенной операции и наличие договора с комитетом по управлению имуществом (или иного разрешительного документа), определяющего сумму арендной платы и порядок ее распределения, полноту возмещения арендатором затрат, включенных в договор на аренду основных средств, своевременность поступления платежей, правильность оформления первичных документов и своевременность отражения записей в бухгалтерском учете, Проверяется также наличие фактов передачи основных средств в аренду другим организациям, полнота поступления арендной платы, коммунальных и других платежей;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качество инвентаризации основных средств и соблюдение сроков ее проведения, правильность оформления, подведения итогов инвентаризации и принятия решений по ним в соответствии с "Методическими указаниями по инвентаризации имущества и финансовых обязательств", утвержденными приказом Министерства финансов Российской Федерации от 13.06.95 N 49 (письмо Рослесхоза от02.11.95 № БФ-1-17-20/263).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  <w:rPr>
          <w:szCs w:val="20"/>
        </w:rPr>
      </w:pPr>
      <w:r>
        <w:rPr>
          <w:szCs w:val="20"/>
        </w:rPr>
        <w:t>- при необходимости провести выборочную инвентаризацию по отдельным объектам основных средств.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</w:p>
    <w:p w:rsidR="00114D04" w:rsidRDefault="00114D04">
      <w:pPr>
        <w:pStyle w:val="1"/>
      </w:pPr>
      <w:bookmarkStart w:id="1" w:name="_Toc67317583"/>
      <w:r>
        <w:t>2. Учет, сохранность и расходование основных средств и товарно-материальных ценностей</w:t>
      </w:r>
      <w:bookmarkEnd w:id="1"/>
    </w:p>
    <w:p w:rsidR="00114D04" w:rsidRDefault="00114D04"/>
    <w:p w:rsidR="00114D04" w:rsidRDefault="00114D04"/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Проверяя сохранность основных средств и материальных ценностей, необходимо убедиться в том, что фактическое наличие основных средств и материальных ценностей полностью соответствуют данным учета, С этой целью ревизор должен произвести следующее: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1. установить полноту, правильность и своевременность проводимых инвентаризаций, правильность регулирования инвентаризационных разниц и качество постановки материального учета;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2. проинвентаризировать основные средства и материальные ценности (инвентаризация может быть сплошная или выборочная наиболее ценных или дефицитных материалов) и произвести сличение с данными бухгалтерского учета;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3. проверить состояние учета материальных ценностей и основных средств в соответствии с Положением о бухгалтерском учете и отчетности в Российской Федерации, утвержденным Минфином России, и Инструкцией по бухгалтерскому учету в учреждениях и</w:t>
      </w:r>
      <w:r>
        <w:t xml:space="preserve"> </w:t>
      </w:r>
      <w:r>
        <w:rPr>
          <w:szCs w:val="20"/>
        </w:rPr>
        <w:t>организациях, состоящих на бюджете (как в бухгалтерии, так и у материально ответственных лиц);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4. установить, нет ли случаев незаконного списания недостач, реализации имущества с нарушением нормативных актов, переданы ли материалы о недостачах следственным органам и предъявлен ли иск к виновным;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5. соответствие складских помещений требованиям сохранности ценностей, обеспеченность складов надлежащими запорами, сигнализацией, освещением, сторожевой охраной;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6. наличие договоров о полной индивидуальной материальной ответственности с материально-ответственными лицами, оформленных в установленном порядке;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7. соблюдение в организации порядка выдачи доверенностей на получение товарно-материальных ценностей и отпуска материалов по доверенностям;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8. полнота оприходования поступающих материальных ценностей (особенно приобретенных подотчетными лицами), для чего необходимо сопоставить наименование, количество и сумму оприходованных ценностей с аналогичными данными сопроводительных документов поставщиков (авизо, счетов, накладных, товарных чеков, приложенных к авансовым отчетам, актов закупа товарно-материальных ценностей, накладных на внутреннее перемещение материалов и готовой продукции);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организация учета горюче-смазочных материалов, порядок их выдачи и списания. Применение норм ГСМ. Причины и размер перерасходов;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правильность и своевременность представления в бухгалтерию материальных отчетов;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качество складского учета. Соблюдение порядка сверки данных складского учета с бухгалтерскими данными;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проводились ли в организации в установленные сроки, а также внезапные инвентаризации товарно-материальных ценностей. Качество их проведения; соблюдались ли сроки их проведения; правильно ли оформлены инвентаризационные описи и сличительные ведомости, какие были приняты решения по выявленным инвентаризацией фактам недостач и излишков.</w:t>
      </w:r>
    </w:p>
    <w:p w:rsidR="00114D04" w:rsidRDefault="00114D04">
      <w:pPr>
        <w:pStyle w:val="1"/>
      </w:pPr>
    </w:p>
    <w:p w:rsidR="00114D04" w:rsidRDefault="00114D04">
      <w:pPr>
        <w:pStyle w:val="1"/>
      </w:pPr>
      <w:bookmarkStart w:id="2" w:name="_Toc67317584"/>
      <w:r>
        <w:t>3. Состояние организации бухгалтерского учета и отчетности.</w:t>
      </w:r>
      <w:bookmarkEnd w:id="2"/>
      <w:r>
        <w:t xml:space="preserve"> </w:t>
      </w:r>
    </w:p>
    <w:p w:rsidR="00114D04" w:rsidRDefault="00114D04"/>
    <w:p w:rsidR="00114D04" w:rsidRDefault="00114D04"/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Проверка состояния бухгалтерского учета в организации проводится в процессе всей ревизии. В ходе проверки необходимо обобщить выявленные недостатки и упущения в постановке бухгалтерского учета.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При проведении ревизии необходимо проверить следующие вопросы: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соответствие постановки бухгалтерского учета отраслевым и типовым инструкциям и рекомендациям, применение утвержденных форм первичной учетной документации;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организация бухгалтерского учета и выполнение главным бухгалтером организации должностных обязанностей в соответствии с Положением о бухгалтерском учете и отчетности в Российской Федерации, утвержденным приказом Минфина России N 34н (с последующими дополнениями и изменениями);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наличие графика документооборота и соблюдение его: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соответствие счетов бухгалтерского учета единому плану счетов;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состояние аналитического и синтетическою учета: ведение мемориальных ордеров, оборотных ведомостей, главной книги, карточек или книг установленной формы и т.п., своевременность записей в регистры бухгалтерского учета, соответствие этих записей первичным документам;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правильность оформления первичными документами всех хозяйственных операций, их достоверность;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соответствие отчетных показателей данным бухгалтерского учета: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правильность составления бухгалтерской отчетности и своевременность ее представления в вышестоящую организацию;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осуществление руководства методологией постановки бухгалтерского учета в подведомственных организациях, осуществление анализа их отчетности и своевременность сообщения им замечаний и предложений по результатам анализа. Применяются ли по отношению к руководителям и главным бухгалтерам, допускающим нарушения в организации бухгалтерского учета и представлении отчетности, меры административного взыскания;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состояние инвентаризационной работы;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 хранение бухгалтерских документов. состояние архива, соблюдение установленных правил и сроков хранения;</w:t>
      </w:r>
    </w:p>
    <w:p w:rsidR="00114D04" w:rsidRDefault="00114D04">
      <w:pPr>
        <w:pStyle w:val="1"/>
        <w:spacing w:before="0" w:after="0" w:line="360" w:lineRule="auto"/>
        <w:ind w:firstLine="907"/>
        <w:jc w:val="both"/>
        <w:rPr>
          <w:b/>
          <w:sz w:val="24"/>
        </w:rPr>
      </w:pPr>
    </w:p>
    <w:p w:rsidR="00114D04" w:rsidRDefault="00114D04">
      <w:pPr>
        <w:pStyle w:val="1"/>
        <w:spacing w:before="0" w:after="0" w:line="360" w:lineRule="auto"/>
        <w:ind w:firstLine="907"/>
        <w:jc w:val="both"/>
        <w:rPr>
          <w:b/>
          <w:sz w:val="24"/>
        </w:rPr>
      </w:pPr>
    </w:p>
    <w:p w:rsidR="00114D04" w:rsidRDefault="00114D04">
      <w:pPr>
        <w:pStyle w:val="1"/>
        <w:spacing w:before="0" w:after="0" w:line="360" w:lineRule="auto"/>
        <w:ind w:firstLine="907"/>
        <w:rPr>
          <w:bCs w:val="0"/>
        </w:rPr>
      </w:pPr>
      <w:bookmarkStart w:id="3" w:name="_Toc67317585"/>
      <w:r>
        <w:rPr>
          <w:bCs w:val="0"/>
        </w:rPr>
        <w:t>4. Методика проверки сохранности основных средств в бюджетных учреждениях</w:t>
      </w:r>
      <w:bookmarkEnd w:id="3"/>
    </w:p>
    <w:p w:rsidR="00114D04" w:rsidRDefault="00114D04"/>
    <w:p w:rsidR="00114D04" w:rsidRDefault="00114D04"/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Организуется полная или выборочная инвентаризация основных средств. Проверяется: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-правильность отнесения к основным средствам в бухгалтерском учете материально-вещественных ценностей;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-составляется ли первичная документация по учету основных средств по формам, утвержденным для бюджетных учреждений, согласно приложению №1 к инструкции по бухгалтерскому учету в бюджетных учреждениях;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-наличие инвентарных карточек учета основных средств и правильность их заполнения;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-наличие описи инвентарных карточек, техпаспортов и другой технической документации;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-правильно ли определяется при принятии к бухгалтерскому учету первоначальная стоимость основных средств, приобретенных за счет средств бюджета или предпринимательской деятельности;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-правильно ли отражается в учете стоимость основных средств, в случае достройки, дооборудования, реконструкции;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-утверждаются ли руководителем организации акты приема-передачи основных средств;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-присвоены ли инвентарные номера каждому объекту основных средств (кроме библиотечных фондов);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-ведутся ли списки основных средств формы ОС-13 при наличие большого их количества ответственными за их хранение лицами;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-оформлены ли договора о полной материальной ответственности за сохранность основных средств с должностными лицами, назначенными приказом руководителя;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-правомерность списания основных средств, правильность составления и утверждения актов па их списание;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-устанавливаются ли комиссией причины списания объектов основных средств, выявляются ли лица виновные в преждевременном выбытии, и привлекаются ли они к ответственности;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-осуществляется ли контроль за изъятием из списанных объектов основных средств цветных и драгоценных металлов, правильным определением их веса и оприходованием.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-полнота перечисления в доход соответствующего бюджета сумм, полученных от реализации зданий, сооружений, передаточных устройств, находящихся в оперативном управлении, а также от реализации материалов, полученных от разборки этих основных средств;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-правильность отражения в учете сумм, вырученных от реализации основных средств, приобретенных за счет бюджетных средств, а также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средств, полученных от предпринимательской деятельности, целевых средств и безвозмездных поступлений;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-полнота оприходования деталей, узлов, агрегатов разобранного и демонтированного оборудования, других материалов и правильность отражения в учете;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-составляются ли ведомости дефектов на производство текущего и капитального ремонта и акты приема-сдачи отремонтированного объекта основных средств;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-правильность начисления износа;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  <w:rPr>
          <w:szCs w:val="20"/>
        </w:rPr>
      </w:pPr>
      <w:r>
        <w:rPr>
          <w:szCs w:val="20"/>
        </w:rPr>
        <w:t>-своевременность проведения инвентаризаций и правильность отражения ее результатов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  <w:rPr>
          <w:szCs w:val="20"/>
        </w:rPr>
      </w:pP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</w:p>
    <w:p w:rsidR="00114D04" w:rsidRDefault="00114D04">
      <w:pPr>
        <w:pStyle w:val="1"/>
      </w:pPr>
      <w:bookmarkStart w:id="4" w:name="_Toc67317586"/>
      <w:r>
        <w:t>5. Нормативные документы, используемые при проверке;</w:t>
      </w:r>
      <w:bookmarkEnd w:id="4"/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  <w:rPr>
          <w:b/>
          <w:bCs/>
          <w:szCs w:val="20"/>
        </w:rPr>
      </w:pP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  <w:rPr>
          <w:b/>
          <w:bCs/>
        </w:rPr>
      </w:pP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1 .Федеральный закон «О бухгалтерском учете» от 21.11.96 года №129-ФЗ.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2.Гражданский кодекс РФ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3.Бюджетный кодекс РФ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4. Инструкция по бухгалтерскому учету в бюджетных учреждениях,</w:t>
      </w:r>
      <w:r>
        <w:t xml:space="preserve"> </w:t>
      </w:r>
      <w:r>
        <w:rPr>
          <w:szCs w:val="20"/>
        </w:rPr>
        <w:t>(утверждена приказом Министерства финансов РФ от 30.12.99 г. №107н.)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5.Инструкция о годовой, квартальной и месячной бухгалтерской отчетности</w:t>
      </w:r>
      <w:r>
        <w:t xml:space="preserve"> </w:t>
      </w:r>
      <w:r>
        <w:rPr>
          <w:szCs w:val="20"/>
        </w:rPr>
        <w:t>бюджетных учреждений и иных организаций, получающих финансирование</w:t>
      </w:r>
      <w:r>
        <w:t xml:space="preserve"> </w:t>
      </w:r>
      <w:r>
        <w:rPr>
          <w:szCs w:val="20"/>
        </w:rPr>
        <w:t>из бюджета в соответствии с бюджетной росписью, (утверждена приказом</w:t>
      </w:r>
      <w:r>
        <w:t xml:space="preserve"> </w:t>
      </w:r>
      <w:r>
        <w:rPr>
          <w:szCs w:val="20"/>
        </w:rPr>
        <w:t>Минфина России от 1 5.06.00 г.№54н)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6. Приказ Минфина РФ от 13.06.95 г. № 49 «Об утверждении методических</w:t>
      </w:r>
      <w:r>
        <w:t xml:space="preserve"> </w:t>
      </w:r>
      <w:r>
        <w:rPr>
          <w:szCs w:val="20"/>
        </w:rPr>
        <w:t>указаний по инвентаризации имущества и финансовых обязательств»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7.Общероссийский классификатор основных фондов (ОК 013-94), (утвержден</w:t>
      </w:r>
      <w:r>
        <w:t xml:space="preserve"> </w:t>
      </w:r>
      <w:r>
        <w:rPr>
          <w:szCs w:val="20"/>
        </w:rPr>
        <w:t>постановлением Госстандарта России от 26,12.94 г. №359)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8.Годовые нормы износа по основным фондам учреждений и организаций,</w:t>
      </w:r>
      <w:r>
        <w:t xml:space="preserve"> </w:t>
      </w:r>
      <w:r>
        <w:rPr>
          <w:szCs w:val="20"/>
        </w:rPr>
        <w:t>состоящих на государственном бюджете СССР, (утверждены Госпланом</w:t>
      </w:r>
      <w:r>
        <w:t xml:space="preserve"> </w:t>
      </w:r>
      <w:r>
        <w:rPr>
          <w:szCs w:val="20"/>
        </w:rPr>
        <w:t>СССР, Министерством финансов СССР, Госстроем СССР и ЦСУ СССР</w:t>
      </w:r>
      <w:r>
        <w:t xml:space="preserve"> </w:t>
      </w:r>
      <w:r>
        <w:rPr>
          <w:szCs w:val="20"/>
        </w:rPr>
        <w:t>28.июня 1974г.)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9.Методические Указания по бухгалтерскому учету основных средств.</w:t>
      </w:r>
      <w:r>
        <w:t xml:space="preserve"> </w:t>
      </w:r>
      <w:r>
        <w:rPr>
          <w:szCs w:val="20"/>
        </w:rPr>
        <w:t>Утверждены приказом Минфина РФ от 20.07.98 г, № 33н.</w:t>
      </w:r>
    </w:p>
    <w:p w:rsidR="00114D04" w:rsidRDefault="00114D04">
      <w:pPr>
        <w:widowControl w:val="0"/>
        <w:autoSpaceDE w:val="0"/>
        <w:autoSpaceDN w:val="0"/>
        <w:adjustRightInd w:val="0"/>
        <w:spacing w:line="360" w:lineRule="auto"/>
        <w:ind w:firstLine="907"/>
        <w:jc w:val="both"/>
      </w:pPr>
      <w:r>
        <w:rPr>
          <w:szCs w:val="20"/>
        </w:rPr>
        <w:t>10.Письмо Госкомстата РФ от 22.09.98 г №ВГ-1-23/3747 «О порядке</w:t>
      </w:r>
      <w:r>
        <w:t xml:space="preserve"> </w:t>
      </w:r>
      <w:r>
        <w:rPr>
          <w:szCs w:val="20"/>
        </w:rPr>
        <w:t>применения документов по амортизационной политике и переоценке</w:t>
      </w:r>
      <w:r>
        <w:t xml:space="preserve"> </w:t>
      </w:r>
      <w:r>
        <w:rPr>
          <w:szCs w:val="20"/>
        </w:rPr>
        <w:t>основных фондов в 1998 г.»</w:t>
      </w:r>
      <w:r>
        <w:t xml:space="preserve"> </w:t>
      </w:r>
    </w:p>
    <w:p w:rsidR="00114D04" w:rsidRDefault="00114D04">
      <w:pPr>
        <w:pStyle w:val="1"/>
        <w:pageBreakBefore/>
      </w:pPr>
      <w:bookmarkStart w:id="5" w:name="_Toc67317587"/>
      <w:r>
        <w:t>Литература</w:t>
      </w:r>
      <w:bookmarkEnd w:id="5"/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Акт о результатах инвентаризации форма 835.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Акт о списание основных средств в бюджетных учреждениях формы ОС-4 формы бюдж.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Акт о списании исключенной из библиотеки</w:t>
      </w:r>
      <w:r>
        <w:t xml:space="preserve"> </w:t>
      </w:r>
      <w:r>
        <w:rPr>
          <w:szCs w:val="20"/>
        </w:rPr>
        <w:t>литературы в бюджетных учреждениях формы 444.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Акт о списании транспортных средств в бюджетных учреждениях формы ОС-4а.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Акт приемки - передачи основных средств в бюджетных</w:t>
      </w:r>
      <w:r>
        <w:t xml:space="preserve"> </w:t>
      </w:r>
      <w:r>
        <w:rPr>
          <w:szCs w:val="20"/>
        </w:rPr>
        <w:t>учреждениях формы ОС-1 бюдж.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Ведомость расхождений по результатам</w:t>
      </w:r>
      <w:r>
        <w:t xml:space="preserve"> </w:t>
      </w:r>
      <w:r>
        <w:rPr>
          <w:szCs w:val="20"/>
        </w:rPr>
        <w:t>инвентаризации формы 836.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Инвентаризационная опись (сличительная ведомость)</w:t>
      </w:r>
      <w:r>
        <w:t xml:space="preserve"> </w:t>
      </w:r>
      <w:r>
        <w:rPr>
          <w:szCs w:val="20"/>
        </w:rPr>
        <w:t>формы 401.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Инвентарная карточка учета основных средств в</w:t>
      </w:r>
      <w:r>
        <w:t xml:space="preserve"> </w:t>
      </w:r>
      <w:r>
        <w:rPr>
          <w:szCs w:val="20"/>
        </w:rPr>
        <w:t>бюджетных учреждениях формы ОС-6 бюдж.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426"/>
        <w:jc w:val="both"/>
      </w:pPr>
      <w:r>
        <w:rPr>
          <w:szCs w:val="20"/>
        </w:rPr>
        <w:t>Инвентарная карточка учета основных средств в</w:t>
      </w:r>
      <w:r>
        <w:t xml:space="preserve"> </w:t>
      </w:r>
      <w:r>
        <w:rPr>
          <w:szCs w:val="20"/>
        </w:rPr>
        <w:t>бюджетных учреждениях (для животных, многолетних</w:t>
      </w:r>
      <w:r>
        <w:t xml:space="preserve"> </w:t>
      </w:r>
      <w:r>
        <w:rPr>
          <w:szCs w:val="20"/>
        </w:rPr>
        <w:t>насаждений и капитальных расходов по улучшению</w:t>
      </w:r>
      <w:r>
        <w:t xml:space="preserve"> </w:t>
      </w:r>
      <w:r>
        <w:rPr>
          <w:szCs w:val="20"/>
        </w:rPr>
        <w:t>земель)формы ОС-8.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284"/>
        <w:jc w:val="both"/>
      </w:pPr>
      <w:r>
        <w:rPr>
          <w:szCs w:val="20"/>
        </w:rPr>
        <w:t>Инвентарный список основных средств формы ОС-13.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284"/>
        <w:jc w:val="both"/>
      </w:pPr>
      <w:r>
        <w:rPr>
          <w:szCs w:val="20"/>
        </w:rPr>
        <w:t>Книга "Журнал - главная" формы 308.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284"/>
        <w:jc w:val="both"/>
      </w:pPr>
      <w:r>
        <w:rPr>
          <w:szCs w:val="20"/>
        </w:rPr>
        <w:t>Мемориальный ордер N 9 Накопительная ведомость по</w:t>
      </w:r>
      <w:r>
        <w:t xml:space="preserve"> </w:t>
      </w:r>
      <w:r>
        <w:rPr>
          <w:szCs w:val="20"/>
        </w:rPr>
        <w:t>выбытию и перемещению основных средств.</w:t>
      </w:r>
    </w:p>
    <w:p w:rsidR="00114D04" w:rsidRDefault="00114D04">
      <w:pPr>
        <w:widowControl w:val="0"/>
        <w:numPr>
          <w:ilvl w:val="0"/>
          <w:numId w:val="1"/>
        </w:numPr>
        <w:tabs>
          <w:tab w:val="clear" w:pos="1627"/>
        </w:tabs>
        <w:autoSpaceDE w:val="0"/>
        <w:autoSpaceDN w:val="0"/>
        <w:adjustRightInd w:val="0"/>
        <w:spacing w:line="360" w:lineRule="auto"/>
        <w:ind w:left="0" w:firstLine="284"/>
        <w:jc w:val="both"/>
      </w:pPr>
      <w:r>
        <w:rPr>
          <w:szCs w:val="20"/>
        </w:rPr>
        <w:t>Накладная на внутреннее перемещение</w:t>
      </w:r>
      <w:r>
        <w:t xml:space="preserve"> </w:t>
      </w:r>
      <w:r>
        <w:rPr>
          <w:szCs w:val="20"/>
        </w:rPr>
        <w:t>основных средств формы ОС-2.</w:t>
      </w:r>
      <w:bookmarkStart w:id="6" w:name="_GoBack"/>
      <w:bookmarkEnd w:id="6"/>
    </w:p>
    <w:sectPr w:rsidR="00114D04">
      <w:type w:val="continuous"/>
      <w:pgSz w:w="11909" w:h="16834"/>
      <w:pgMar w:top="1134" w:right="567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E76B0"/>
    <w:multiLevelType w:val="hybridMultilevel"/>
    <w:tmpl w:val="FD7E6544"/>
    <w:lvl w:ilvl="0" w:tplc="0419000F">
      <w:start w:val="1"/>
      <w:numFmt w:val="decimal"/>
      <w:lvlText w:val="%1."/>
      <w:lvlJc w:val="left"/>
      <w:pPr>
        <w:tabs>
          <w:tab w:val="num" w:pos="1627"/>
        </w:tabs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7"/>
        </w:tabs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7"/>
        </w:tabs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7"/>
        </w:tabs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7"/>
        </w:tabs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7"/>
        </w:tabs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7"/>
        </w:tabs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7"/>
        </w:tabs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7"/>
        </w:tabs>
        <w:ind w:left="73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837"/>
    <w:rsid w:val="00114D04"/>
    <w:rsid w:val="00282735"/>
    <w:rsid w:val="006F6837"/>
    <w:rsid w:val="00AC6491"/>
    <w:rsid w:val="00C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A64BB-C91C-413F-BF46-FB5018E4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index 1"/>
    <w:basedOn w:val="a"/>
    <w:next w:val="a"/>
    <w:autoRedefine/>
    <w:semiHidden/>
    <w:pPr>
      <w:ind w:left="240" w:hanging="240"/>
    </w:pPr>
  </w:style>
  <w:style w:type="paragraph" w:styleId="11">
    <w:name w:val="toc 1"/>
    <w:basedOn w:val="a"/>
    <w:next w:val="a"/>
    <w:autoRedefine/>
    <w:semiHidden/>
    <w:pPr>
      <w:keepNext/>
      <w:spacing w:line="360" w:lineRule="auto"/>
    </w:pPr>
  </w:style>
  <w:style w:type="paragraph" w:styleId="a3">
    <w:name w:val="table of figures"/>
    <w:basedOn w:val="a"/>
    <w:next w:val="a"/>
    <w:semiHidden/>
    <w:pPr>
      <w:ind w:left="480" w:hanging="480"/>
    </w:pPr>
  </w:style>
  <w:style w:type="paragraph" w:styleId="20">
    <w:name w:val="index 2"/>
    <w:basedOn w:val="a"/>
    <w:next w:val="a"/>
    <w:autoRedefine/>
    <w:semiHidden/>
    <w:pPr>
      <w:ind w:left="480" w:hanging="240"/>
    </w:pPr>
  </w:style>
  <w:style w:type="paragraph" w:styleId="30">
    <w:name w:val="index 3"/>
    <w:basedOn w:val="a"/>
    <w:next w:val="a"/>
    <w:autoRedefine/>
    <w:semiHidden/>
    <w:pPr>
      <w:ind w:left="720" w:hanging="240"/>
    </w:pPr>
  </w:style>
  <w:style w:type="paragraph" w:styleId="4">
    <w:name w:val="index 4"/>
    <w:basedOn w:val="a"/>
    <w:next w:val="a"/>
    <w:autoRedefine/>
    <w:semiHidden/>
    <w:pPr>
      <w:ind w:left="960" w:hanging="240"/>
    </w:pPr>
  </w:style>
  <w:style w:type="paragraph" w:styleId="5">
    <w:name w:val="index 5"/>
    <w:basedOn w:val="a"/>
    <w:next w:val="a"/>
    <w:autoRedefine/>
    <w:semiHidden/>
    <w:pPr>
      <w:ind w:left="1200" w:hanging="240"/>
    </w:pPr>
  </w:style>
  <w:style w:type="paragraph" w:styleId="6">
    <w:name w:val="index 6"/>
    <w:basedOn w:val="a"/>
    <w:next w:val="a"/>
    <w:autoRedefine/>
    <w:semiHidden/>
    <w:pPr>
      <w:ind w:left="1440" w:hanging="240"/>
    </w:pPr>
  </w:style>
  <w:style w:type="paragraph" w:styleId="7">
    <w:name w:val="index 7"/>
    <w:basedOn w:val="a"/>
    <w:next w:val="a"/>
    <w:autoRedefine/>
    <w:semiHidden/>
    <w:pPr>
      <w:ind w:left="1680" w:hanging="240"/>
    </w:pPr>
  </w:style>
  <w:style w:type="paragraph" w:styleId="8">
    <w:name w:val="index 8"/>
    <w:basedOn w:val="a"/>
    <w:next w:val="a"/>
    <w:autoRedefine/>
    <w:semiHidden/>
    <w:pPr>
      <w:ind w:left="1920" w:hanging="240"/>
    </w:pPr>
  </w:style>
  <w:style w:type="paragraph" w:styleId="9">
    <w:name w:val="index 9"/>
    <w:basedOn w:val="a"/>
    <w:next w:val="a"/>
    <w:autoRedefine/>
    <w:semiHidden/>
    <w:pPr>
      <w:ind w:left="2160" w:hanging="240"/>
    </w:pPr>
  </w:style>
  <w:style w:type="paragraph" w:styleId="a4">
    <w:name w:val="index heading"/>
    <w:basedOn w:val="a"/>
    <w:next w:val="10"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</dc:creator>
  <cp:keywords/>
  <dc:description/>
  <cp:lastModifiedBy>Irina</cp:lastModifiedBy>
  <cp:revision>2</cp:revision>
  <cp:lastPrinted>1899-12-31T21:00:00Z</cp:lastPrinted>
  <dcterms:created xsi:type="dcterms:W3CDTF">2014-09-05T15:00:00Z</dcterms:created>
  <dcterms:modified xsi:type="dcterms:W3CDTF">2014-09-05T15:00:00Z</dcterms:modified>
</cp:coreProperties>
</file>