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CA58A2">
        <w:rPr>
          <w:b/>
          <w:noProof/>
          <w:sz w:val="28"/>
          <w:szCs w:val="32"/>
        </w:rPr>
        <w:t>Введение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Трансформация экономики и общества вызвала значительные перемены в спектре профессий, востребованных рынком труда, в престиже и социальном статусе профессий и, следовательно, в ценности того или иного профессионального выбора. </w:t>
      </w:r>
    </w:p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ситуации нестабильности специалисты оставляют свои профессии и занимаются мелким бизнесом ради выживания. И это не может не отразиться на профессиональном самоопределении молодежи. Многочисленные исследования в этой области практически не учитывают влияния социально – экономических условий, сложившихся в обществе на выбор будущей профессии. Это стало целью нашего исследования. </w:t>
      </w:r>
    </w:p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</w:p>
    <w:p w:rsidR="00D411BD" w:rsidRPr="00CA58A2" w:rsidRDefault="00CA58A2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br w:type="page"/>
      </w:r>
      <w:r w:rsidR="00D411BD" w:rsidRPr="00CA58A2">
        <w:rPr>
          <w:b/>
          <w:bCs/>
          <w:noProof/>
          <w:sz w:val="28"/>
          <w:szCs w:val="32"/>
        </w:rPr>
        <w:t>Влияние пессимистического / оптимистического стиля объяснения успехов и неудач на успешность в деятельности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Эта проблема неразрывно связана с проблематикой мотивации достижения, активно разрабатывающей в современной психологии. Что заставляет людей бороться и не сдаваться перед лицом неудач? Существует ряд психологических теорий, предметом изучения которых стали особенности когниций, стиль мышления человека, т.е. то, как человек воспринимает себя, свои способности, средства достижения успешного результата, а также сами успехи и неудачи, происходящие в его жизни.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своей социально – когнитивной теории А. Бандура вводит понятие «самоэффективность», подразумевая под ним представления человека о своей способности действовать, решая определенную задачу или находясь в определенной ситуации. Самоэффективность влияет на то, за какую деятельность берется человек, как много усилий затрачивает на ее решение, как долго сохраняет настойчивость при выполнении задачи, а также на его эмоциональные реакции.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Обнаружив различия в восприятии способностей у разных людей, К. Двек выделила два типа имплицитных теорий отражающих представления людей об интеллекте: теорию заданности и теорию приращения. Основой теории К. Двек является представление о том, что имплицитная теория способностей влияет на тип целей, которые ставит перед собой субъект деятельности и на его настойчивость при встрече человека с трудностями.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теории конструктивного мышления С. Эпштейна также уделяется большое внимание проблеме стиля мышления, выделяя конструктивное и неконструктивное мышление. Эти идеи во многом сопоставимы с теорией стиля объяснения М. Селигмана.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М. Селигман ввел в психологию мотивации понятие «выученной беспомощности», суть которого заключается в том, что при постоянных неконтролируемых индивидом неудачах у него пропадает желание «бороться», прилагать усилия к деятельности. Селигман изучал влияние оптимистического и пессимистического стиля объяснения на эффективность деятельности в различных сферах (страховые агенты, спорт, учеба). Он выделил три основных параметра оценки событий: широта, персонализация и постоянство, с помощью которых было предложено описывать особенности восприятия (объяснения) человеком своих успехов и неудач.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На основе идей Селигмана, Петерсона, Абрамсон, Бандуры, Эпштейна, Стольца и др. о влиянии конструктивного мышления на эффективность деятельности нами было проведено собственное исследование на школьниках старших классов (N=92). Использовались следующие методики: шкала оптимистического мышления для подростков (СТОУН, модификация теста ASQ Селигмана с соавт., Гордеева, Шевяхова), шкала базовых потребностей Э.Диси и Р.Райана, шкала общей самоэффе</w:t>
      </w:r>
      <w:r w:rsidR="008C5FFA" w:rsidRPr="00CA58A2">
        <w:rPr>
          <w:noProof/>
          <w:sz w:val="28"/>
          <w:szCs w:val="32"/>
        </w:rPr>
        <w:t>ктивности</w:t>
      </w:r>
      <w:r w:rsidRPr="00CA58A2">
        <w:rPr>
          <w:noProof/>
          <w:sz w:val="28"/>
          <w:szCs w:val="32"/>
        </w:rPr>
        <w:t xml:space="preserve">, анализ учебной успеваемости (русский язык и математика).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соответствии с идеями Селигмана, мы предположили, что существует положительная связь между успеваемостью и уровнем оптимизма в объяснении успехов и неудач (основная гипотеза). В качестве дополнительной гипотезы мы предположили наличие позитивной связи между уровнем оптимизма и базовыми психологическими потребностями, а также между оптимизмом и общей самоэффективностью. </w:t>
      </w:r>
    </w:p>
    <w:p w:rsidR="008C5FFA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Выдвинутые гипотезы частично подтвердились. Обнаружено наличие позитивной значимой корреляции между успеваемостью и уровнем оптимизма в области успехов, однако оптимизм в области неудач оказался несвязанным с учебными достижениями. Обнаружено, что уровень оптимизма позитивно коррелирует с базовыми потребностями и общей самоэффективностью. При этом ни удовлетворенность базовых потребностей, ни самоэффективность не связаны с успеваемостью. Кроме того, обнаружена связь между удовлетворенностью базовых потребностей и оптимизмом (компетентность 0.54, автономность 0.3, связь с другими людьми 0.3). </w:t>
      </w:r>
    </w:p>
    <w:p w:rsidR="008C5FFA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Значимые коэффициенты корреляции между базовыми потребностями и самоэффективностью (компетентность 0.63, автономность 0.52, связь с другими людьми 0.31) можно связать с тем, что люди с удовлетворенными базовыми потребностями, считают себя способными справиться с любыми трудностями, встречающимися им на пути. Можно предположить, что удовлетворение базовых потребностей и высокий уровень самоэффективности способствуют поддержанию оптимистического мышления.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t>Особенности профессионального самоопределения старшеклассников в условиях социально-экономической нестабильности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Экспериментальную базу исследования составили 536 учащихся 9 – х и 11 - х классов средних школ г. Бишкека. Теоретико-методологической основой исследования послужили культурно – историческая концепция и принцип развития Л.С. Выготского, модель экологических систем У. Бронфенбреннера, идеи Г.Томэ о «творчески ориентированной» структуре планирования жизни.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Для исследования содержания и факторов самоопределения использовались Анкета для старшеклассника Е.И. Головахи и опросник «ОТеЦ» И.Г. Сенина. Для выявления согласованности компонентов профессионального выбора, применялись: методика «Профессиональная мотивация учащихся» Л.А. Верещагиной, модифицированный вариант методики «20 качеств» Куна – МакПартленда «Кто Я через 10 лет?», и методика изучения статусов профессиональной идентичности А.А. Азбель.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Среди мотивов профессионального самоопределения в ситуации нестабильности преобладает стремление к материальной обеспеченности и экономической независимости (85% старшеклассников), а мотивы самореализации способностей и интересов отходят на второй план. От 9 к 11 классу в 2 раза снижается количество выборов профессии по склонностям и интересам и увеличивается несовпадение между привлекательными и выбираемыми профессиями. Возрастной особенностью подросткового самоопределения остается размытость планов, рассогласованность в показателях вида профессии, путей и сроков ее достижения, в нечеткости представлений о качествах профессионала.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Для выявления роли этнокультурного фактора внутри генеральной совокупности мы выделили: 1) группу девочек – европеек (149 человек); 2) группу девочек – азиаток (159 человек); 3) группу мальчиков – европейцев (118 человек); 4) группу мальчиков – азиатов (110 человек). При этом азиатскую группу составили подростки таких национальностей как киргизы, казахи, узбеки и т.д. К европейской группе мы отнесли подростков, указавших в графе национальность – русский/русская. Исследование показало, что для ребят из азиатской выборки характерно: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1. Принятие решения о будущей профессии осуществляется достаточно рано, еще в 4 – 7 классах, хотя к моменту окончания школы это мнение успевает измениться. В раннем самоопределении, как и в согласованности, непротиворечивости выбора, мы усматриваем авторитетное влияние родителей. Их устойчивый выбор повторяют дети.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2. В ответах респондентов азиатской группы важное место занимает достижение высокого социального статуса. Эта ценность увеличивается от 9 класса к 11 – му, в то время как ответах европейцев она отсутствует. Мы полагаем, что эта значимая разница неслучайна: высокий социальный статус в республике почти недостижим для европейца, оставаясь привилегией титульной нации.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3. У 17,5% мальчиков из азиатской выборки встречаются планы добиться признания и уважения своими добрыми делами и поступками (построить детский дом, пожертвовать бедным, отремонтировать школу и т.п.). Однако в к 11 классе таких ответов уже не встречается. Рыночные отношения оттесняют традиционные ценности ислама, где пожертвовать бедным, нищим, считается достоинством, открывающим врата рая.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европейской выборке необходимо отметить: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1. Принятие решения о будущей профессии осуществляется ближе к моменту окончания школы и по оценке респондентов отличается большой устойчивостью, что на наш взгляд, показывает большую степень самостоятельности выбора.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2. Соответствие между профессией и учебным заведением в группе европеек на треть выше такого показателя в группе азиаток, в то время как у мальчиков различий не обнаружено. Видимо, девочки – азиатки менее информированы в семье о профессиях, а школа этой информации не уделяет должного внимания.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Этнокультурные различия профессионального самоопределения также проявляются в традиционном предпочтении гуманитарных и управленческих профессий у азиатской группы молодежи и технической – у европейцев.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Гендерные особенности проявляются в том, что современные девочки согласны на непривлекательную работу ради высокого заработка и пренебрегают ценностями семьи во имя карьеры. Мальчики чаще выбирают профессию по интересам. Исследование профессиональных планов показало, что притязания мальчиков более реалистичны по сравнению с девочками, которые зачастую стремятся выбрать профессию, в которой можно было бы сочетать общественное признание, интеллектуальную самореализацию, высокий заработок с «неутомительной» работой и сохранением избытка времени и сил на досуг и развлечения.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t>Взаимосвязь профессионального самоопределения с типом профессиональной направленности личности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8C5FFA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 сложившейся социально-экономической ситуации, требующей от субъекта труда и учения целенаправленной активности и возможности ориентироваться в профессиональном мире, перед психологией встаёт актуальная задача изучения психологических основ профессионального самоопределения. Весьма ценной для предмета рассмотрения профессионального самоопределения - является мысль Е.А. Климова о том, что «выбор профессии, кажущийся подчас легким и кратковременным, на самом деле осуществляется по формуле «мгновение плюс вся предшествующая жизнь».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Общеизвестным является тот факт, что при достаточно высоком конкурсе на все специальности педагогических вузов только незначительный процент выпускников после окончания учебного заведения начинает работать в школах. Следовательно, необходимо изучить содержание процесса профессионального самоопределения студентов педагогических вузов, определить ведущие компоненты данного, выявить особенности самоопределения у студентов, ориентированных на применение полученных знаний в педагогической деятельности. Изучение профессионального самоопределения студентов педагогического вуза связано, прежде всего, с практической значимостью данной проблемы.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В 2004-200</w:t>
      </w:r>
      <w:r w:rsidR="008C5FFA" w:rsidRPr="00CA58A2">
        <w:rPr>
          <w:noProof/>
          <w:sz w:val="28"/>
          <w:szCs w:val="32"/>
        </w:rPr>
        <w:t>8</w:t>
      </w:r>
      <w:r w:rsidRPr="00CA58A2">
        <w:rPr>
          <w:noProof/>
          <w:sz w:val="28"/>
          <w:szCs w:val="32"/>
        </w:rPr>
        <w:t xml:space="preserve"> гг. нами было проведено лонгитюдинальное исследование с целью проследить динамику учебной мотивации от первого ко второму классу у детей с различным уровнем мотивационной готовности к школе.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Исследование мотивационной готовности к школе учащихся первых классов проводилась с помощью методик «Сказка» и «В</w:t>
      </w:r>
      <w:r w:rsidR="008C5FFA" w:rsidRPr="00CA58A2">
        <w:rPr>
          <w:noProof/>
          <w:sz w:val="28"/>
          <w:szCs w:val="32"/>
        </w:rPr>
        <w:t>нутренняя позиция школьника»</w:t>
      </w:r>
      <w:r w:rsidRPr="00CA58A2">
        <w:rPr>
          <w:noProof/>
          <w:sz w:val="28"/>
          <w:szCs w:val="32"/>
        </w:rPr>
        <w:t xml:space="preserve">. Методика «Сказка» направлена на определение доминирования познавательного или игрового мотива в мотивационной сфере детей. Методика «Внутренняя позиция школьника» позволяет определить степень сформированности личностного новообразования </w:t>
      </w:r>
      <w:r w:rsidR="008C5FFA" w:rsidRPr="00CA58A2">
        <w:rPr>
          <w:noProof/>
          <w:sz w:val="28"/>
          <w:szCs w:val="32"/>
        </w:rPr>
        <w:t>«внутренняя позиция школьника»</w:t>
      </w:r>
      <w:r w:rsidRPr="00CA58A2">
        <w:rPr>
          <w:noProof/>
          <w:sz w:val="28"/>
          <w:szCs w:val="32"/>
        </w:rPr>
        <w:t xml:space="preserve">, наличие которого является одним из показателей психологической готовности ребенка к обучению в школе. По результатам выполнения этих методик мотивационная готовность детей к школе оценивалась по трехбалльной шкале: 3 – высокий уровень, 2 – средний уровень, 1 – низкий уровень.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Во втором классе для исследования учебной мотивации использовалась «Анкета по оценке уровня школьной мотивации» Н.Г.</w:t>
      </w:r>
      <w:r w:rsidR="00CA58A2" w:rsidRPr="00CA58A2">
        <w:rPr>
          <w:noProof/>
          <w:sz w:val="28"/>
          <w:szCs w:val="32"/>
        </w:rPr>
        <w:t xml:space="preserve"> </w:t>
      </w:r>
      <w:r w:rsidRPr="00CA58A2">
        <w:rPr>
          <w:noProof/>
          <w:sz w:val="28"/>
          <w:szCs w:val="32"/>
        </w:rPr>
        <w:t>Лускановой, выявляющая отношение детей к различным сторонам школьной действительности. Пять уровней школьной мотивации в опроснике Н.Г.</w:t>
      </w:r>
      <w:r w:rsidR="00CA58A2" w:rsidRPr="00CA58A2">
        <w:rPr>
          <w:noProof/>
          <w:sz w:val="28"/>
          <w:szCs w:val="32"/>
        </w:rPr>
        <w:t xml:space="preserve"> </w:t>
      </w:r>
      <w:r w:rsidRPr="00CA58A2">
        <w:rPr>
          <w:noProof/>
          <w:sz w:val="28"/>
          <w:szCs w:val="32"/>
        </w:rPr>
        <w:t xml:space="preserve">Лускановой путем качественного анализа также были преобразованы в трехбалльную шкалу (3 – высокий, 2 – средний и 1 – низкий уровень учебной мотивации).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Выборка испытуемых состояла из 109 детей (55 девочек, 54 мальчика). В первом классе исследование проводилось осенью 2004 г., повторно эти же дети были обследованы во втором классе в феврале 2006 г.. Исследование проводилось на базе трех школ г. Москвы.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По результатам обследования в первом классе высокий уровень мотивационной готовности к школе был определен у 15 человек из 109 (14% первоклассников), средний уровень мотивационной готовности к школе был определен у 72 человек из 109 (66% первоклассников); низкий уровень мотивационной готовности к школе был определен у 22 человек из 109 (20% первоклассников).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Обследование учащихся во втором классе показало следующую динамику учебной мотивации от первого ко второму классу.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Из 15 детей с высоким уровнем мотивационной готовности в школе: у 6 человек (40%) уровень учебной мотивации во втором классе остался высоким, у 4 человек (27%) – снизился до 2 (среднего) уровня, у 5 человек (33%) – снизился до 1 (низкого) уровня.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Из 72 детей со средним уровнем мотивационной готовности к школе: у 42 человек (58%) уровень учебной мотивации во втором классе повысился до 3 (высокого), у 17 человек (24%) – остался средним, у 13 человек (18%) – снизился до 1 (низкого) уровня.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Из 22 детей с низким уровнем мотивационной готовности к школе: у 5 человек (23%) уровень учебной мотивации во втором классе повысился до 3 (высокого), у 9 человек (41%) – повысился до 2 (среднего), у 8 человек (36%) – остался низким.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Проведенное исследование показало, что в начале школьного обучения высокой мотивационной готовностью к школе обладают только 14% первоклассников, у большинства первоклассников (66%) мотивационная готовность к школе оценивается как средняя, а у 20% - как низкая. Динамика учебной мотивации от первого ко второму классу у детей с различной мотивационной готовностью к школе характеризуется следующим. Если у большинства детей с низкой мотивационной готовностью к школе (64%), и более чем у половины детей со средней мотивационной готовностью к школе (58%) учебная мотивация ко второму классу развивается, то у большинства детей с высоким уровнем мотивационной готовности к школе (60%), напротив, происходит отрицательная динамика мотивации учения. Эта отрицательная динамика может быть обусловлена тем, что современных детей начинают обучать простейшим школьным умениям и навыкам уже до школы, и в первом классе фактически происходит повтор того, что детям уже известно, что негативно влияет на мотивацию учения у детей.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t>Методика диагностики интеллекта и креативности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Ключевым событием последнего времени стало обсуждение преимуществ и ограничени</w:t>
      </w:r>
      <w:r w:rsidR="008C5FFA" w:rsidRPr="00CA58A2">
        <w:rPr>
          <w:noProof/>
          <w:sz w:val="28"/>
          <w:szCs w:val="32"/>
        </w:rPr>
        <w:t>й психометрических тестов в 2009</w:t>
      </w:r>
      <w:r w:rsidRPr="00CA58A2">
        <w:rPr>
          <w:noProof/>
          <w:sz w:val="28"/>
          <w:szCs w:val="32"/>
        </w:rPr>
        <w:t xml:space="preserve"> г. в одном из ос</w:t>
      </w:r>
      <w:r w:rsidR="008C5FFA" w:rsidRPr="00CA58A2">
        <w:rPr>
          <w:noProof/>
          <w:sz w:val="28"/>
          <w:szCs w:val="32"/>
        </w:rPr>
        <w:t>новных психологических изданий</w:t>
      </w:r>
      <w:r w:rsidRPr="00CA58A2">
        <w:rPr>
          <w:noProof/>
          <w:sz w:val="28"/>
          <w:szCs w:val="32"/>
        </w:rPr>
        <w:t xml:space="preserve">. Как результаты, так и сам факт возникновения дискуссии свидетельствуют о возрождающемся интересе ученых к проблемам психометрического измерения способностей и возможности использования полученных показателей для прогнозирования успешности человека в тех или иных видах деятельности. Первоначальная валидизация тестов способностей производилась именно на основании сопоставления полученных тестовых показателей с показателями успешности, преимущественно – учебной деятельности детей школьного возраста.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Современные исследования в рамках зарубежной психологии образования показали, что показатели по интеллектуальным тестам могут являться значимыми предикторами успешности обучения (</w:t>
      </w:r>
      <w:r w:rsidR="008C5FFA" w:rsidRPr="00CA58A2">
        <w:rPr>
          <w:noProof/>
          <w:sz w:val="28"/>
          <w:szCs w:val="32"/>
        </w:rPr>
        <w:t>Furnham, Chamorro-Premuzic, 2009</w:t>
      </w:r>
      <w:r w:rsidRPr="00CA58A2">
        <w:rPr>
          <w:noProof/>
          <w:sz w:val="28"/>
          <w:szCs w:val="32"/>
        </w:rPr>
        <w:t xml:space="preserve">). Актуальным в них стало рассмотрение необходимости расширения традиционных взглядов на интеллект и включения в предсказательные модели таких способностей, как креативность и практический </w:t>
      </w:r>
      <w:r w:rsidR="008C5FFA" w:rsidRPr="00CA58A2">
        <w:rPr>
          <w:noProof/>
          <w:sz w:val="28"/>
          <w:szCs w:val="32"/>
        </w:rPr>
        <w:t>интеллект (Стернберг и др., 2009</w:t>
      </w:r>
      <w:r w:rsidRPr="00CA58A2">
        <w:rPr>
          <w:noProof/>
          <w:sz w:val="28"/>
          <w:szCs w:val="32"/>
        </w:rPr>
        <w:t xml:space="preserve">). Проводимые отечественными психологами исследования включают преимущественно анализ связи академических способностей с показателями успешности обучения детей школьного возраста, тогда как студенческие выборки как бы «выпадают» из поля зрения исследователей.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Целью нашего исследования стала апробация новой тестовой батареи, предполагающей комплексную оценку академических, практических и творческих способностей и анализ связи этих показателей с успешностью обучения студентов.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Испытуемыми стали 464 чел-ка (373 жен., 91 муж.), средний возраст 21 год. Из них 56 чел. - студенты факультета биоинформационных технологий, 408 чел. – студенты факультета психологии МГУ им. Ломоносова.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Методика. Нами апробировалась тестовая батарея ROADS (Григоренко, Корнилов, 2007), направленная на измерение показателей Флюидного, Вербального и Практического Интеллекта, а также Вербальной Креативности. Для оценки ее конвергентной валидности были использованы Тест Структуры Интеллекта Р. Амтхауэра, Тест Отдаленных Ассо</w:t>
      </w:r>
      <w:r w:rsidR="008C5FFA" w:rsidRPr="00CA58A2">
        <w:rPr>
          <w:noProof/>
          <w:sz w:val="28"/>
          <w:szCs w:val="32"/>
        </w:rPr>
        <w:t>циаций С. Медника (Дружинин, 2008</w:t>
      </w:r>
      <w:r w:rsidRPr="00CA58A2">
        <w:rPr>
          <w:noProof/>
          <w:sz w:val="28"/>
          <w:szCs w:val="32"/>
        </w:rPr>
        <w:t>) и методика «Прерывание видеоклипов» (Степаносова, Корнило</w:t>
      </w:r>
      <w:r w:rsidR="008C5FFA" w:rsidRPr="00CA58A2">
        <w:rPr>
          <w:noProof/>
          <w:sz w:val="28"/>
          <w:szCs w:val="32"/>
        </w:rPr>
        <w:t>ва, 2009</w:t>
      </w:r>
      <w:r w:rsidRPr="00CA58A2">
        <w:rPr>
          <w:noProof/>
          <w:sz w:val="28"/>
          <w:szCs w:val="32"/>
        </w:rPr>
        <w:t xml:space="preserve">). В качестве показателя успешности обучения для каждого испытуемого был выбран средний экзаменационный балл за 3 последние сессии. Для оценки ретестовой надежности 32 студента были повторно протестированы по тестовой батарее ROADS с интервалом 1 год. </w:t>
      </w:r>
    </w:p>
    <w:p w:rsidR="00D411BD" w:rsidRPr="00CA58A2" w:rsidRDefault="00D411BD" w:rsidP="00CD7E6D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CA58A2">
        <w:rPr>
          <w:noProof/>
          <w:color w:val="000000"/>
          <w:sz w:val="28"/>
          <w:szCs w:val="32"/>
        </w:rPr>
        <w:t>Они свидетельствуют об удовлетворительных психометрических свойствах субтестов на вербальный интеллект, практический интеллект и креативность. Низкие показатели внутренней согласованности для субтестов на флюидный интеллект скорее свидетельствует о том, что для основной выборки студентов-гуманитариев большая часть заданий этих субтестов оказалась слишком сложной. Ретестовая надежность оказалась более высокой для субтестов на вербальный интеллект, чем на практический интеллект, что соотносится с теоретическими положениями наших зарубежных коллег (Стернберг и др., 2002), рассматривающих этот вид способностей как наиболее динамичный и зависящий в развитии от накопленных неявных (таситных) знаний, уровень которых растет по мере профессионализации.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Примечательным выглядит тот факт, что был получен удовлетворительный показатель ретестовой надежности и для субтеста на вербальную креативность, что редко для известных зарубежных исследований. Анализ конвергентной валидности показал ожидаемую умеренную связь шкал теста ROADS со шкалами теста Амтхауэра и показателями вербальных прогнозов в методике «Прерывание видеоклипов». Для шкалы практического интеллекта это означает наличие общих механизмов прогнозирования как в сфере обучения (субтест ROADS), так и в других сферах жизнедеятельности. </w:t>
      </w:r>
    </w:p>
    <w:p w:rsidR="00D411BD" w:rsidRPr="00CA58A2" w:rsidRDefault="00D411BD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</w:p>
    <w:p w:rsidR="008C5FFA" w:rsidRPr="00CA58A2" w:rsidRDefault="00CA58A2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br w:type="page"/>
      </w:r>
      <w:r w:rsidR="008C5FFA" w:rsidRPr="00CA58A2">
        <w:rPr>
          <w:b/>
          <w:bCs/>
          <w:noProof/>
          <w:sz w:val="28"/>
          <w:szCs w:val="32"/>
        </w:rPr>
        <w:t>Заключение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Обнаруженная связь между уровнем оптимизма с успешностью в учебной деятельности (0.21, p&lt;0.05) подтверждает наше предположение о том, что оптимистический стиль мышления является предиктором успешности в учебной деятельности. Данная связь свидетельствует о продуктивности проведения когнитивно-ориентированных тренингов развивающих конструктивное мышление как реакцию на разного рода сложные жизненные события в целях повышения учебной успеваемости и психологического благополучия школьников- подростков. </w:t>
      </w:r>
    </w:p>
    <w:p w:rsidR="008C5FFA" w:rsidRPr="00CA58A2" w:rsidRDefault="008C5FFA" w:rsidP="00CD7E6D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Исследование подтвердило гипотезу о том, что профессиональное самоопределение в наши дни зависит не только от склонностей и интересов, но и от перспектив трудоустройства, от этнических и гендерных традиций. Показатели академического интеллекта и креативности, полученные при использовании теста ROADS, значимо связаны с успешностью обучения. Это свидетельствует о том, что они могут быть использованы в качестве предикторов успешности обучения студентов, что должен подтвердить планируемый регрессионный анализ вклада этих показателей в показатели успеваемости. </w:t>
      </w:r>
    </w:p>
    <w:p w:rsidR="008C5FFA" w:rsidRPr="00CA58A2" w:rsidRDefault="00CA58A2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  <w:r w:rsidRPr="00CA58A2">
        <w:rPr>
          <w:b/>
          <w:bCs/>
          <w:noProof/>
          <w:sz w:val="28"/>
          <w:szCs w:val="32"/>
        </w:rPr>
        <w:br w:type="page"/>
      </w:r>
      <w:r w:rsidR="008C5FFA" w:rsidRPr="00CA58A2">
        <w:rPr>
          <w:b/>
          <w:bCs/>
          <w:noProof/>
          <w:sz w:val="28"/>
          <w:szCs w:val="32"/>
        </w:rPr>
        <w:t>Список литературы</w:t>
      </w:r>
    </w:p>
    <w:p w:rsidR="00CA58A2" w:rsidRPr="00CA58A2" w:rsidRDefault="00CA58A2" w:rsidP="00CD7E6D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Божович Л.И. Личность и ее формирование в детском возрасте. – М., 2008. </w:t>
      </w: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Гуткина Н.И. Диагностическая программа по определению психологической готовности детей 6–7 лет к школьному обучению. – М., 2009. </w:t>
      </w: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Гуткина Н.И. Психологическая готовность к школе. – М., 2009. </w:t>
      </w: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Лусканова Н.Г. Методы исследования детей с трудностями в обучении. – М., 2009. </w:t>
      </w: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Головаха Е.И. Жизненная перспектива и профессиональное самоопределение молодежи. Киев: «Наукова думка», 2008.</w:t>
      </w:r>
    </w:p>
    <w:p w:rsidR="008C5FFA" w:rsidRPr="00CA58A2" w:rsidRDefault="008C5FFA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Елфутина Л.А. Этнокультурные особенности профессионального самоопределения подростков. // Известия Российского Государственного Педагогического университета им. А.И. Герцена. Аспирантские тетради. – СПб., 2007. - № 17 </w:t>
      </w:r>
    </w:p>
    <w:p w:rsidR="00D411BD" w:rsidRPr="00CA58A2" w:rsidRDefault="00D411BD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Григоренко Е.Л., Корнилов С.А. Академический и практический интеллект как факторы успешности обучения в вузе / Когнитивные и личностные факторы учебной деятельности: Сборник научных статей. Изд-во СГУ: М., 2007. </w:t>
      </w:r>
    </w:p>
    <w:p w:rsidR="00D411BD" w:rsidRPr="00CA58A2" w:rsidRDefault="00D411BD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 xml:space="preserve">Дружинин В.Н. Психология общих способностей. СПб.: Питер, 2007. </w:t>
      </w:r>
    </w:p>
    <w:p w:rsidR="00D411BD" w:rsidRPr="00CA58A2" w:rsidRDefault="00D411BD" w:rsidP="00CA58A2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CA58A2">
        <w:rPr>
          <w:noProof/>
          <w:sz w:val="28"/>
          <w:szCs w:val="32"/>
        </w:rPr>
        <w:t>Психология. Журнал Высшей школы эко</w:t>
      </w:r>
      <w:r w:rsidR="008C5FFA" w:rsidRPr="00CA58A2">
        <w:rPr>
          <w:noProof/>
          <w:sz w:val="28"/>
          <w:szCs w:val="32"/>
        </w:rPr>
        <w:t>номики, М., 2008</w:t>
      </w:r>
      <w:r w:rsidRPr="00CA58A2">
        <w:rPr>
          <w:noProof/>
          <w:sz w:val="28"/>
          <w:szCs w:val="32"/>
        </w:rPr>
        <w:t xml:space="preserve">. Т. 1, №2. </w:t>
      </w:r>
      <w:bookmarkStart w:id="0" w:name="_GoBack"/>
      <w:bookmarkEnd w:id="0"/>
    </w:p>
    <w:sectPr w:rsidR="00D411BD" w:rsidRPr="00CA58A2" w:rsidSect="00CD7E6D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105" w:rsidRDefault="009B4105">
      <w:r>
        <w:separator/>
      </w:r>
    </w:p>
  </w:endnote>
  <w:endnote w:type="continuationSeparator" w:id="0">
    <w:p w:rsidR="009B4105" w:rsidRDefault="009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105" w:rsidRDefault="009B4105">
      <w:r>
        <w:separator/>
      </w:r>
    </w:p>
  </w:footnote>
  <w:footnote w:type="continuationSeparator" w:id="0">
    <w:p w:rsidR="009B4105" w:rsidRDefault="009B4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80" w:rsidRDefault="00B47480" w:rsidP="00CD7E6D">
    <w:pPr>
      <w:pStyle w:val="a3"/>
      <w:framePr w:wrap="around" w:vAnchor="text" w:hAnchor="margin" w:xAlign="right" w:y="1"/>
      <w:rPr>
        <w:rStyle w:val="a5"/>
      </w:rPr>
    </w:pPr>
  </w:p>
  <w:p w:rsidR="00B47480" w:rsidRDefault="00B47480" w:rsidP="008C5FF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480" w:rsidRDefault="00644A32" w:rsidP="00CD7E6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B47480" w:rsidRDefault="00B47480" w:rsidP="008C5FF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C0DE515"/>
    <w:multiLevelType w:val="hybridMultilevel"/>
    <w:tmpl w:val="0C7AA6F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97AB4C3"/>
    <w:multiLevelType w:val="hybridMultilevel"/>
    <w:tmpl w:val="8DAD871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E83F27"/>
    <w:multiLevelType w:val="hybridMultilevel"/>
    <w:tmpl w:val="6BAF794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208E1F4D"/>
    <w:multiLevelType w:val="hybridMultilevel"/>
    <w:tmpl w:val="22BCF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1BD"/>
    <w:rsid w:val="00157C02"/>
    <w:rsid w:val="00183649"/>
    <w:rsid w:val="00224BC1"/>
    <w:rsid w:val="003C5286"/>
    <w:rsid w:val="00637269"/>
    <w:rsid w:val="00644A32"/>
    <w:rsid w:val="00657DA4"/>
    <w:rsid w:val="008C5FFA"/>
    <w:rsid w:val="009B4105"/>
    <w:rsid w:val="00B47480"/>
    <w:rsid w:val="00C618D2"/>
    <w:rsid w:val="00CA58A2"/>
    <w:rsid w:val="00CD7E6D"/>
    <w:rsid w:val="00D411BD"/>
    <w:rsid w:val="00D76DD2"/>
    <w:rsid w:val="00DF5502"/>
    <w:rsid w:val="00E6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AAE2FA-D84E-4768-AEA4-A06D5ED6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1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411B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8C5F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C5FFA"/>
    <w:rPr>
      <w:rFonts w:cs="Times New Roman"/>
    </w:rPr>
  </w:style>
  <w:style w:type="paragraph" w:styleId="a6">
    <w:name w:val="footer"/>
    <w:basedOn w:val="a"/>
    <w:link w:val="a7"/>
    <w:uiPriority w:val="99"/>
    <w:rsid w:val="00CD7E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3033</Words>
  <Characters>17290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пессимистического / оптимистического стиля объяснения успехов и неудач на успешность в учебной деятельности</vt:lpstr>
    </vt:vector>
  </TitlesOfParts>
  <Company>ussr</Company>
  <LinksUpToDate>false</LinksUpToDate>
  <CharactersWithSpaces>20283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пессимистического / оптимистического стиля объяснения успехов и неудач на успешность в учебной деятельности</dc:title>
  <dc:subject/>
  <dc:creator>user</dc:creator>
  <cp:keywords/>
  <dc:description/>
  <cp:lastModifiedBy>admin</cp:lastModifiedBy>
  <cp:revision>2</cp:revision>
  <dcterms:created xsi:type="dcterms:W3CDTF">2014-03-05T06:02:00Z</dcterms:created>
  <dcterms:modified xsi:type="dcterms:W3CDTF">2014-03-05T06:02:00Z</dcterms:modified>
</cp:coreProperties>
</file>