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6A" w:rsidRDefault="0020516A">
      <w:pPr>
        <w:jc w:val="center"/>
        <w:rPr>
          <w:sz w:val="20"/>
        </w:rPr>
      </w:pPr>
      <w:r>
        <w:rPr>
          <w:sz w:val="20"/>
        </w:rPr>
        <w:t>Санкт-Петербургский Государственный Университет</w:t>
      </w:r>
    </w:p>
    <w:p w:rsidR="0020516A" w:rsidRDefault="0020516A">
      <w:pPr>
        <w:jc w:val="center"/>
        <w:rPr>
          <w:sz w:val="20"/>
        </w:rPr>
      </w:pPr>
      <w:r>
        <w:rPr>
          <w:sz w:val="20"/>
        </w:rPr>
        <w:t>Математико-механический факультет</w:t>
      </w: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pStyle w:val="2"/>
        <w:rPr>
          <w:sz w:val="32"/>
        </w:rPr>
      </w:pPr>
      <w:r>
        <w:rPr>
          <w:sz w:val="32"/>
        </w:rPr>
        <w:t>Рабочее место технического дизайнера</w:t>
      </w: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ind w:left="6120"/>
        <w:rPr>
          <w:sz w:val="22"/>
        </w:rPr>
      </w:pPr>
      <w:r>
        <w:rPr>
          <w:sz w:val="22"/>
        </w:rPr>
        <w:t xml:space="preserve">Выполнил студент </w:t>
      </w:r>
      <w:r w:rsidR="00292F34">
        <w:rPr>
          <w:sz w:val="22"/>
          <w:lang w:val="en-US"/>
        </w:rPr>
        <w:t>666</w:t>
      </w:r>
      <w:r>
        <w:rPr>
          <w:sz w:val="22"/>
        </w:rPr>
        <w:t xml:space="preserve"> группы</w:t>
      </w:r>
    </w:p>
    <w:p w:rsidR="0020516A" w:rsidRDefault="00292F34">
      <w:pPr>
        <w:ind w:left="6120"/>
        <w:rPr>
          <w:sz w:val="20"/>
        </w:rPr>
      </w:pPr>
      <w:r>
        <w:rPr>
          <w:sz w:val="22"/>
        </w:rPr>
        <w:t>Иван Петрович Сидоров</w:t>
      </w: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sz w:val="20"/>
        </w:rPr>
      </w:pPr>
    </w:p>
    <w:p w:rsidR="0020516A" w:rsidRDefault="0020516A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Санкт-Петербург</w:t>
      </w:r>
    </w:p>
    <w:p w:rsidR="0020516A" w:rsidRDefault="0020516A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2003г</w:t>
      </w:r>
    </w:p>
    <w:p w:rsidR="0020516A" w:rsidRDefault="0020516A">
      <w:pPr>
        <w:pStyle w:val="3"/>
      </w:pPr>
      <w:r>
        <w:br w:type="page"/>
        <w:t>Введение</w:t>
      </w:r>
    </w:p>
    <w:p w:rsidR="0020516A" w:rsidRDefault="0020516A">
      <w:r>
        <w:t>В работе рассматривается рабочее место технического дизайнера в дизайнерской студии Артемия Лебедева®</w:t>
      </w:r>
      <w:r>
        <w:rPr>
          <w:rStyle w:val="a4"/>
        </w:rPr>
        <w:footnoteReference w:id="1"/>
      </w:r>
      <w:r>
        <w:t>. Приводятся некоторые характеристики рабочего места и их нормативные значения. В заключении даются выводы касательно отношения к охране труда в данной организации и предлагаются мероприятия по улучшению охраны труда.</w:t>
      </w:r>
    </w:p>
    <w:p w:rsidR="0020516A" w:rsidRDefault="0020516A">
      <w:pPr>
        <w:pStyle w:val="3"/>
      </w:pPr>
      <w:r>
        <w:t>О компании</w:t>
      </w:r>
    </w:p>
    <w:p w:rsidR="0020516A" w:rsidRDefault="0020516A">
      <w:r>
        <w:t>Основные направления деятельности Студии Артемия Лебедева — промышленный дизайн, графический дизайн, создание сайтов и проектирование интерфейсов.</w:t>
      </w:r>
    </w:p>
    <w:p w:rsidR="0020516A" w:rsidRDefault="0020516A">
      <w:pPr>
        <w:pStyle w:val="3"/>
      </w:pPr>
      <w:r>
        <w:t>О должности технического дизайнера в студии</w:t>
      </w:r>
    </w:p>
    <w:p w:rsidR="0020516A" w:rsidRDefault="0020516A">
      <w:r>
        <w:t>Основная задача технического дизайнера – создание страниц интернет-сайта по подготовленным информационными и графическими дизайнерами описаниям. Должность технического дизайнера требует внимательности. В студии Артемия Лебедева техническим дизайнерам дается большая свобода в исполнении технического задания, в частности, им приходится много рисовать. Деятельность таких сотрудников включает элементы творчества. Работа ведется по индивидуальному графику с возможной его коррекцией по ходу деятельности. Сенсорные нагрузки невелики. Технический дизайнер несет ответственность за выполнение отдельных элементов заданий. Интеллектуальная деятельность разнообразна. Фактическая продолжительность рабочего дня 9 часов. Основным инструментом технического дизайнера является персональный компьютер со специфическим набором программ, на нем установленных. Работа в основном сидячая. Много внимания уделяется эргономике рабочего места. Используются самые современные компьютеры и технические средства. Психологическая обстановка комфортна и для ее поддержания компания предпринимает соответствующие мероприятия. Регулярно проводимые корпоративные вечеринки призваны снизить нервно-эмоциональные перегрузки сотрудников.</w:t>
      </w:r>
    </w:p>
    <w:p w:rsidR="0020516A" w:rsidRDefault="0020516A">
      <w:pPr>
        <w:pStyle w:val="3"/>
      </w:pPr>
      <w:r>
        <w:t>Рабочее место технического дизайнера</w:t>
      </w:r>
    </w:p>
    <w:p w:rsidR="0020516A" w:rsidRDefault="0020516A">
      <w:r>
        <w:t>Рабочие места технических дизайнеров группы одного их ведущих дизайнеров студии располагаются в комнате с следующими параметрами:</w:t>
      </w:r>
    </w:p>
    <w:p w:rsidR="0020516A" w:rsidRDefault="0020516A">
      <w:pPr>
        <w:numPr>
          <w:ilvl w:val="0"/>
          <w:numId w:val="2"/>
        </w:numPr>
      </w:pPr>
      <w:r>
        <w:t>Площадь 7х10 = 70 м</w:t>
      </w:r>
      <w:r>
        <w:rPr>
          <w:vertAlign w:val="superscript"/>
        </w:rPr>
        <w:t>2</w:t>
      </w:r>
      <w:r>
        <w:t xml:space="preserve">. </w:t>
      </w:r>
    </w:p>
    <w:p w:rsidR="0020516A" w:rsidRDefault="0020516A">
      <w:pPr>
        <w:numPr>
          <w:ilvl w:val="0"/>
          <w:numId w:val="2"/>
        </w:numPr>
      </w:pPr>
      <w:r>
        <w:t xml:space="preserve">Высота потолка 3 м. </w:t>
      </w:r>
    </w:p>
    <w:p w:rsidR="0020516A" w:rsidRDefault="0020516A">
      <w:r>
        <w:t>В помещении работают 10 человек. На каждого работника приходится по 21 м</w:t>
      </w:r>
      <w:r>
        <w:rPr>
          <w:vertAlign w:val="superscript"/>
        </w:rPr>
        <w:t>3</w:t>
      </w:r>
      <w:r>
        <w:t>, нормативное значение данного параметра – 20м</w:t>
      </w:r>
      <w:r>
        <w:rPr>
          <w:vertAlign w:val="superscript"/>
        </w:rPr>
        <w:t>3</w:t>
      </w:r>
      <w:r>
        <w:t xml:space="preserve">.  </w:t>
      </w:r>
    </w:p>
    <w:p w:rsidR="0020516A" w:rsidRDefault="0020516A"/>
    <w:p w:rsidR="0020516A" w:rsidRDefault="0020516A">
      <w:r>
        <w:t>В помещении функционируют два кондиционера, за счет чего поддерживаются оптимальные значения микроклимата:</w:t>
      </w:r>
    </w:p>
    <w:p w:rsidR="0020516A" w:rsidRDefault="0020516A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5"/>
        <w:gridCol w:w="1802"/>
        <w:gridCol w:w="1802"/>
        <w:gridCol w:w="2114"/>
        <w:gridCol w:w="2180"/>
      </w:tblGrid>
      <w:tr w:rsidR="0020516A">
        <w:tc>
          <w:tcPr>
            <w:tcW w:w="1495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60" w:after="6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  <w:szCs w:val="16"/>
              </w:rPr>
              <w:t>Период года</w:t>
            </w:r>
          </w:p>
        </w:tc>
        <w:tc>
          <w:tcPr>
            <w:tcW w:w="1802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60" w:after="100" w:afterAutospacing="1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  <w:szCs w:val="16"/>
              </w:rPr>
              <w:t>Темпе</w:t>
            </w:r>
            <w:r>
              <w:rPr>
                <w:caps/>
                <w:sz w:val="20"/>
                <w:szCs w:val="16"/>
              </w:rPr>
              <w:softHyphen/>
              <w:t>ратура воздуха</w:t>
            </w:r>
          </w:p>
        </w:tc>
        <w:tc>
          <w:tcPr>
            <w:tcW w:w="1802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60" w:after="100" w:afterAutospacing="1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  <w:szCs w:val="16"/>
              </w:rPr>
              <w:t>Темпе</w:t>
            </w:r>
            <w:r>
              <w:rPr>
                <w:caps/>
                <w:sz w:val="20"/>
                <w:szCs w:val="16"/>
              </w:rPr>
              <w:softHyphen/>
              <w:t>ратура поверх</w:t>
            </w:r>
            <w:r>
              <w:rPr>
                <w:caps/>
                <w:sz w:val="20"/>
                <w:szCs w:val="16"/>
              </w:rPr>
              <w:softHyphen/>
              <w:t>ностей</w:t>
            </w:r>
          </w:p>
        </w:tc>
        <w:tc>
          <w:tcPr>
            <w:tcW w:w="211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60" w:after="100" w:afterAutospacing="1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  <w:szCs w:val="16"/>
              </w:rPr>
              <w:t>Относитель</w:t>
            </w:r>
            <w:r>
              <w:rPr>
                <w:caps/>
                <w:sz w:val="20"/>
                <w:szCs w:val="16"/>
              </w:rPr>
              <w:softHyphen/>
              <w:t>ная влаж</w:t>
            </w:r>
            <w:r>
              <w:rPr>
                <w:caps/>
                <w:sz w:val="20"/>
                <w:szCs w:val="16"/>
              </w:rPr>
              <w:softHyphen/>
              <w:t>ность воз</w:t>
            </w:r>
            <w:r>
              <w:rPr>
                <w:caps/>
                <w:sz w:val="20"/>
                <w:szCs w:val="16"/>
              </w:rPr>
              <w:softHyphen/>
              <w:t>духа</w:t>
            </w:r>
          </w:p>
        </w:tc>
        <w:tc>
          <w:tcPr>
            <w:tcW w:w="218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60" w:after="100" w:afterAutospacing="1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  <w:szCs w:val="16"/>
              </w:rPr>
              <w:t>Скорость движения воздуха</w:t>
            </w:r>
          </w:p>
        </w:tc>
      </w:tr>
      <w:tr w:rsidR="0020516A">
        <w:tc>
          <w:tcPr>
            <w:tcW w:w="1495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>Холодный</w:t>
            </w:r>
          </w:p>
        </w:tc>
        <w:tc>
          <w:tcPr>
            <w:tcW w:w="1802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22-24 </w:t>
            </w:r>
            <w:r>
              <w:rPr>
                <w:rFonts w:ascii="Symbol" w:hAnsi="Symbol"/>
                <w:caps/>
                <w:sz w:val="20"/>
                <w:szCs w:val="16"/>
              </w:rPr>
              <w:t></w:t>
            </w:r>
            <w:r>
              <w:rPr>
                <w:caps/>
                <w:sz w:val="20"/>
                <w:szCs w:val="16"/>
              </w:rPr>
              <w:t>С</w:t>
            </w:r>
          </w:p>
        </w:tc>
        <w:tc>
          <w:tcPr>
            <w:tcW w:w="1802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21-25 </w:t>
            </w:r>
            <w:r>
              <w:rPr>
                <w:rFonts w:ascii="Symbol" w:hAnsi="Symbol"/>
                <w:caps/>
                <w:sz w:val="20"/>
                <w:szCs w:val="16"/>
              </w:rPr>
              <w:t></w:t>
            </w:r>
            <w:r>
              <w:rPr>
                <w:caps/>
                <w:sz w:val="20"/>
                <w:szCs w:val="16"/>
              </w:rPr>
              <w:t>С</w:t>
            </w:r>
          </w:p>
        </w:tc>
        <w:tc>
          <w:tcPr>
            <w:tcW w:w="211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60-40 </w:t>
            </w:r>
            <w:r>
              <w:rPr>
                <w:caps/>
                <w:sz w:val="20"/>
                <w:szCs w:val="16"/>
              </w:rPr>
              <w:t>%</w:t>
            </w:r>
          </w:p>
        </w:tc>
        <w:tc>
          <w:tcPr>
            <w:tcW w:w="218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0,1 </w:t>
            </w:r>
            <w:r>
              <w:rPr>
                <w:caps/>
                <w:sz w:val="20"/>
                <w:szCs w:val="16"/>
              </w:rPr>
              <w:t>м/с</w:t>
            </w:r>
          </w:p>
        </w:tc>
      </w:tr>
      <w:tr w:rsidR="0020516A">
        <w:tc>
          <w:tcPr>
            <w:tcW w:w="1495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>Теплый</w:t>
            </w:r>
          </w:p>
        </w:tc>
        <w:tc>
          <w:tcPr>
            <w:tcW w:w="1802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23-25 </w:t>
            </w:r>
            <w:r>
              <w:rPr>
                <w:rFonts w:ascii="Symbol" w:hAnsi="Symbol"/>
                <w:caps/>
                <w:sz w:val="20"/>
                <w:szCs w:val="16"/>
              </w:rPr>
              <w:t></w:t>
            </w:r>
            <w:r>
              <w:rPr>
                <w:caps/>
                <w:sz w:val="20"/>
                <w:szCs w:val="16"/>
              </w:rPr>
              <w:t>С</w:t>
            </w:r>
          </w:p>
        </w:tc>
        <w:tc>
          <w:tcPr>
            <w:tcW w:w="1802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22-26 </w:t>
            </w:r>
            <w:r>
              <w:rPr>
                <w:rFonts w:ascii="Symbol" w:hAnsi="Symbol"/>
                <w:caps/>
                <w:sz w:val="20"/>
                <w:szCs w:val="16"/>
              </w:rPr>
              <w:t></w:t>
            </w:r>
            <w:r>
              <w:rPr>
                <w:caps/>
                <w:sz w:val="20"/>
                <w:szCs w:val="16"/>
              </w:rPr>
              <w:t>С</w:t>
            </w:r>
          </w:p>
        </w:tc>
        <w:tc>
          <w:tcPr>
            <w:tcW w:w="211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60-40 </w:t>
            </w:r>
            <w:r>
              <w:rPr>
                <w:caps/>
                <w:sz w:val="20"/>
                <w:szCs w:val="16"/>
              </w:rPr>
              <w:t>%</w:t>
            </w:r>
          </w:p>
        </w:tc>
        <w:tc>
          <w:tcPr>
            <w:tcW w:w="218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20516A" w:rsidRDefault="0020516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0,1 </w:t>
            </w:r>
            <w:r>
              <w:rPr>
                <w:caps/>
                <w:sz w:val="20"/>
                <w:szCs w:val="16"/>
              </w:rPr>
              <w:t>м/с</w:t>
            </w:r>
          </w:p>
        </w:tc>
      </w:tr>
    </w:tbl>
    <w:p w:rsidR="0020516A" w:rsidRDefault="0020516A"/>
    <w:p w:rsidR="0020516A" w:rsidRDefault="0020516A">
      <w:r>
        <w:t>Кроме того, современные кондиционеры производят качественную очистку уличного или внутреннего воздуха от пыли и загрязнений.</w:t>
      </w:r>
    </w:p>
    <w:p w:rsidR="0020516A" w:rsidRDefault="0020516A">
      <w:r>
        <w:br w:type="page"/>
      </w:r>
    </w:p>
    <w:p w:rsidR="0020516A" w:rsidRDefault="0020516A">
      <w:pPr>
        <w:rPr>
          <w:caps/>
          <w:sz w:val="20"/>
        </w:rPr>
      </w:pPr>
      <w:r>
        <w:t>Основным источником искусственного освещения в помещении являются равномерно распределенные по потолку 15 блоков по 4 компактные лампы дневного света. Цвет стен и перегородок светлый, коэффициент отражения ~ 0.3. Качество освещения соответствует нормативным данным: освещенность на поверхности стола в зоне размещения рабочего документа 400 лк, по норме же – 300-500 лк.</w:t>
      </w:r>
    </w:p>
    <w:p w:rsidR="0020516A" w:rsidRDefault="0020516A"/>
    <w:p w:rsidR="0020516A" w:rsidRDefault="0020516A">
      <w:r>
        <w:t>Три окна могут создавать равномерное естественное боковое освещение. Окна оборудованы жалюзи.</w:t>
      </w:r>
    </w:p>
    <w:p w:rsidR="0020516A" w:rsidRDefault="0020516A"/>
    <w:p w:rsidR="0020516A" w:rsidRDefault="0020516A">
      <w:r>
        <w:t xml:space="preserve">Лампы накаливания не применяются в рабочем помещении, поскольку спектр их излучения не соответствует естественному, что может повлечь ошибку художника при выборе цвета. </w:t>
      </w:r>
    </w:p>
    <w:p w:rsidR="0020516A" w:rsidRDefault="0020516A">
      <w:r>
        <w:t>Мониторы располагаются таким образом, чтобы предотвратить появление бликов.</w:t>
      </w:r>
    </w:p>
    <w:p w:rsidR="0020516A" w:rsidRDefault="0020516A"/>
    <w:p w:rsidR="0020516A" w:rsidRDefault="0020516A">
      <w:r>
        <w:t xml:space="preserve">Информационная нагрузка относительно велика. Расчетов не проводилось – специфика работы. </w:t>
      </w:r>
    </w:p>
    <w:p w:rsidR="0020516A" w:rsidRDefault="0020516A"/>
    <w:p w:rsidR="0020516A" w:rsidRDefault="0020516A">
      <w:r>
        <w:t xml:space="preserve">Измерения показали, что для всех компьютеров и периферийных устройств уровень звукового давления находится в пределах 60 дБА. Претензий по шуму в Студии Лебедева не было зафиксировано. В помещении используются перегородки высотой 1.5м из звукопоглощающего материала. </w:t>
      </w:r>
    </w:p>
    <w:p w:rsidR="0020516A" w:rsidRDefault="0020516A"/>
    <w:p w:rsidR="0020516A" w:rsidRDefault="0020516A">
      <w:r>
        <w:t>Компьютеры и периферийное оборудование имеют соответствующие сертификаты соответствия. Установка техники осуществляется по инструкциям производителей, благодаря чему сотрудники защищены от возможного поражения электрическим током и от вредного влияния электромагнитного излучения при выполнении элементарных норм обращения с техникой. Используется защитное зануление. Используются преимущественно жидкокристаллические дисплеи, что также ведет к существенному уменьшения электромагнитного излучения и ионизации.</w:t>
      </w:r>
    </w:p>
    <w:p w:rsidR="0020516A" w:rsidRDefault="0020516A"/>
    <w:p w:rsidR="0020516A" w:rsidRDefault="0020516A">
      <w:pPr>
        <w:pStyle w:val="3"/>
      </w:pPr>
      <w:r>
        <w:t>Заключение</w:t>
      </w:r>
    </w:p>
    <w:p w:rsidR="0020516A" w:rsidRDefault="0020516A">
      <w:pPr>
        <w:rPr>
          <w:lang w:val="en-US"/>
        </w:rPr>
      </w:pPr>
      <w:r>
        <w:t xml:space="preserve">Из приведенных данных можно заключить, что руководство студии Лебедева весьма внимательно относится к обеспечению комфорта работников и снижению влияния таких вредных физических производственных факторов, как повышенная/пониженная температура воздуха, запыленность, повышенная/пониженная влажность, недостаточная освещенность рабочего места или неправильное расположение светильников, высокий уровень шума, повышенный уровень электромагнитных полей, а также такого психофизического вредного производственного фактора, как нервно-эмоциональные перегрузки. Зрительное напряжение у технических дизайнеров неизбежно возникает из-за особенностей работы, не смотря даже на то, что используется самые современные технологии. </w:t>
      </w:r>
    </w:p>
    <w:p w:rsidR="0020516A" w:rsidRDefault="0020516A">
      <w:pPr>
        <w:pStyle w:val="3"/>
      </w:pPr>
      <w:r>
        <w:t>Рекомендации по улучшению охраны труда</w:t>
      </w:r>
    </w:p>
    <w:p w:rsidR="0020516A" w:rsidRDefault="0020516A">
      <w:r>
        <w:t xml:space="preserve">Проведенный в 2001 году опрос сотрудников показал, что никто из них не намерен добровольно и систематически выполнять нормы работы за персональным компьютером. На настоящее время никаких последствий зрительных перегрузок не зафиксировано – у абсолютного большинства сотрудников хорошее зрение, но если проблема будет актуализироваться, можно предложить такие мероприятия, как проведение сотрудниками гимнастики для глаз и ношение ими специальных перфорационных очков. </w:t>
      </w:r>
    </w:p>
    <w:p w:rsidR="0020516A" w:rsidRDefault="0020516A"/>
    <w:p w:rsidR="0020516A" w:rsidRDefault="0020516A"/>
    <w:p w:rsidR="0020516A" w:rsidRDefault="0020516A"/>
    <w:p w:rsidR="0020516A" w:rsidRDefault="0020516A"/>
    <w:p w:rsidR="0020516A" w:rsidRDefault="0020516A"/>
    <w:p w:rsidR="0020516A" w:rsidRDefault="0020516A">
      <w:r>
        <w:t>Вообще, перфорационные очки</w:t>
      </w:r>
    </w:p>
    <w:p w:rsidR="0020516A" w:rsidRDefault="0020516A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Положительно влияют на способность глаза рассматривать окружающие объекты на различном расстоянии</w:t>
      </w:r>
    </w:p>
    <w:p w:rsidR="0020516A" w:rsidRDefault="0020516A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Способствуют снятию перенапряжения и переутомления органа зрения, возникающих при длительной зрительной нагрузке у операторов ЭВМ</w:t>
      </w:r>
    </w:p>
    <w:p w:rsidR="0020516A" w:rsidRDefault="0020516A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Обеспечивают расслабление глазных мышц, благоприятствуют нормализации лимфо и кровообращения глаза, тем самым создавая условия для устранения общей утомляемости организма человека при сильной умственной нагрузке: рассеянности внимания, сонливости.</w:t>
      </w:r>
    </w:p>
    <w:p w:rsidR="0020516A" w:rsidRDefault="0020516A">
      <w:r>
        <w:t>Таким образом, их можно рекомендовать не только техническим дизайнерам, но и всем работникам, чья деятельность связана с интенсивным использованием персонального компьютера.</w:t>
      </w:r>
    </w:p>
    <w:p w:rsidR="0020516A" w:rsidRDefault="0020516A"/>
    <w:p w:rsidR="0020516A" w:rsidRDefault="0020516A">
      <w:r>
        <w:t>Методы гимнастики глаз для лиц, чья деятельность связана с использованием ЭВМ, давно разработаны и общедоступны (см., например, [1]).</w:t>
      </w:r>
    </w:p>
    <w:p w:rsidR="0020516A" w:rsidRDefault="0020516A"/>
    <w:p w:rsidR="0020516A" w:rsidRDefault="0020516A">
      <w:r>
        <w:t>Полезно было бы повесить у каждого рабочего места инструкцию по охране труда.</w:t>
      </w:r>
    </w:p>
    <w:p w:rsidR="0020516A" w:rsidRDefault="0020516A">
      <w:pPr>
        <w:pStyle w:val="3"/>
      </w:pPr>
      <w:r>
        <w:t>Литература</w:t>
      </w:r>
    </w:p>
    <w:p w:rsidR="0020516A" w:rsidRDefault="0020516A">
      <w:pPr>
        <w:numPr>
          <w:ilvl w:val="0"/>
          <w:numId w:val="1"/>
        </w:numPr>
      </w:pPr>
      <w:r>
        <w:t>Справочник медицинского центра Эксимер.</w:t>
      </w:r>
    </w:p>
    <w:p w:rsidR="0020516A" w:rsidRDefault="0020516A">
      <w:pPr>
        <w:numPr>
          <w:ilvl w:val="0"/>
          <w:numId w:val="1"/>
        </w:numPr>
      </w:pPr>
      <w:r>
        <w:t>Результаты внутреннего аудита по направлению охраны труда компании «Студия Артемия Лебедева» в 2001г.</w:t>
      </w:r>
    </w:p>
    <w:p w:rsidR="0020516A" w:rsidRDefault="0020516A">
      <w:pPr>
        <w:numPr>
          <w:ilvl w:val="0"/>
          <w:numId w:val="1"/>
        </w:numPr>
      </w:pPr>
      <w:r>
        <w:t>Результаты опроса сотрудников Студии Артемия Лебедева. 2001г.</w:t>
      </w:r>
    </w:p>
    <w:p w:rsidR="0020516A" w:rsidRDefault="0020516A">
      <w:pPr>
        <w:numPr>
          <w:ilvl w:val="0"/>
          <w:numId w:val="1"/>
        </w:numPr>
      </w:pPr>
      <w:r>
        <w:t>Руководство Р 2.2.755-99 «Гигиенические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процесса» (утв. и введено в действие Главным государственным санитарным врачом РФ 23 апреля 1999 г.)</w:t>
      </w:r>
    </w:p>
    <w:p w:rsidR="0020516A" w:rsidRDefault="0020516A">
      <w:pPr>
        <w:numPr>
          <w:ilvl w:val="0"/>
          <w:numId w:val="1"/>
        </w:numPr>
      </w:pPr>
      <w:r>
        <w:t>СанПиН 2.1.6.575-96  «АТМОСФЕРНЫЙ ВОЗДУХ И ВОЗДУХ ЗАКРЫТЫХ ПОМЕЩЕНИЙ, САНИТАРНАЯ ОХРАНА ВОЗДУХА»</w:t>
      </w:r>
    </w:p>
    <w:p w:rsidR="0020516A" w:rsidRDefault="0020516A">
      <w:pPr>
        <w:numPr>
          <w:ilvl w:val="0"/>
          <w:numId w:val="1"/>
        </w:numPr>
      </w:pPr>
      <w:r>
        <w:t>СанПиН 2.2.4.548-96 «Гигиенические требования к микроклимату производственных помещений»</w:t>
      </w:r>
    </w:p>
    <w:p w:rsidR="0020516A" w:rsidRDefault="0020516A">
      <w:pPr>
        <w:numPr>
          <w:ilvl w:val="0"/>
          <w:numId w:val="1"/>
        </w:numPr>
      </w:pPr>
      <w:r>
        <w:t>СанПиН 2.2.2/2.4.1340-03 «Гигиенические требования к персональным электронно-вычислительным машинам и организации работы».</w:t>
      </w:r>
    </w:p>
    <w:p w:rsidR="0020516A" w:rsidRDefault="0020516A">
      <w:bookmarkStart w:id="0" w:name="_GoBack"/>
      <w:bookmarkEnd w:id="0"/>
    </w:p>
    <w:sectPr w:rsidR="0020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FA" w:rsidRDefault="004634FA">
      <w:r>
        <w:separator/>
      </w:r>
    </w:p>
  </w:endnote>
  <w:endnote w:type="continuationSeparator" w:id="0">
    <w:p w:rsidR="004634FA" w:rsidRDefault="0046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FA" w:rsidRDefault="004634FA">
      <w:r>
        <w:separator/>
      </w:r>
    </w:p>
  </w:footnote>
  <w:footnote w:type="continuationSeparator" w:id="0">
    <w:p w:rsidR="004634FA" w:rsidRDefault="004634FA">
      <w:r>
        <w:continuationSeparator/>
      </w:r>
    </w:p>
  </w:footnote>
  <w:footnote w:id="1">
    <w:p w:rsidR="0020516A" w:rsidRDefault="0020516A">
      <w:pPr>
        <w:pStyle w:val="a3"/>
      </w:pPr>
      <w:r>
        <w:rPr>
          <w:rStyle w:val="a4"/>
        </w:rPr>
        <w:footnoteRef/>
      </w:r>
      <w:r>
        <w:t xml:space="preserve"> Артемий Лебедев – зарегистрированный товарный знак.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A50A1"/>
    <w:multiLevelType w:val="hybridMultilevel"/>
    <w:tmpl w:val="000E8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750AC4"/>
    <w:multiLevelType w:val="hybridMultilevel"/>
    <w:tmpl w:val="771A81CE"/>
    <w:lvl w:ilvl="0" w:tplc="4F2A5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826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92B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E489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EC21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E5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169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D010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10A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F2E83"/>
    <w:multiLevelType w:val="hybridMultilevel"/>
    <w:tmpl w:val="26282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F34"/>
    <w:rsid w:val="0020516A"/>
    <w:rsid w:val="0025154C"/>
    <w:rsid w:val="00292F34"/>
    <w:rsid w:val="004634FA"/>
    <w:rsid w:val="00491D68"/>
    <w:rsid w:val="0094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090E6-0247-4199-A43B-7D8FDFC0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компании</vt:lpstr>
    </vt:vector>
  </TitlesOfParts>
  <Company>Gubernatorov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компании</dc:title>
  <dc:subject/>
  <dc:creator>Iuri</dc:creator>
  <cp:keywords/>
  <dc:description/>
  <cp:lastModifiedBy>admin</cp:lastModifiedBy>
  <cp:revision>2</cp:revision>
  <dcterms:created xsi:type="dcterms:W3CDTF">2014-02-10T16:26:00Z</dcterms:created>
  <dcterms:modified xsi:type="dcterms:W3CDTF">2014-02-10T16:26:00Z</dcterms:modified>
</cp:coreProperties>
</file>