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FB" w:rsidRPr="00227E13" w:rsidRDefault="002708FB" w:rsidP="002708FB">
      <w:pPr>
        <w:spacing w:before="120"/>
        <w:jc w:val="center"/>
        <w:rPr>
          <w:b/>
          <w:sz w:val="32"/>
        </w:rPr>
      </w:pPr>
      <w:r w:rsidRPr="00227E13">
        <w:rPr>
          <w:b/>
          <w:sz w:val="32"/>
        </w:rPr>
        <w:t>Радиостанции дальней связи</w:t>
      </w:r>
    </w:p>
    <w:p w:rsidR="002708FB" w:rsidRPr="00227E13" w:rsidRDefault="002708FB" w:rsidP="002708FB">
      <w:pPr>
        <w:spacing w:before="120"/>
        <w:jc w:val="center"/>
        <w:rPr>
          <w:b/>
          <w:sz w:val="28"/>
        </w:rPr>
      </w:pPr>
      <w:bookmarkStart w:id="0" w:name="_Toc103004195"/>
      <w:r w:rsidRPr="00227E13">
        <w:rPr>
          <w:b/>
          <w:sz w:val="28"/>
        </w:rPr>
        <w:t>Введение</w:t>
      </w:r>
      <w:bookmarkEnd w:id="0"/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В данной курсовой работе рассматривается авиационное радиосвязное оборудование дальней связи. Оно предназначено для обеспечения двухсторонней радиосвязи между экипажем самолета и наземными пунктами управления</w:t>
      </w:r>
      <w:r>
        <w:t xml:space="preserve">, </w:t>
      </w:r>
      <w:r w:rsidRPr="002625B3">
        <w:t>а также между разными воздушными судами.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В настоящее время самолетные радиостанции дальней связи выполняются одноканальными</w:t>
      </w:r>
      <w:r>
        <w:t xml:space="preserve">, </w:t>
      </w:r>
      <w:r w:rsidRPr="002625B3">
        <w:t>т. е. используются для передачи только одного сообщения. Они обеспечивают оперативную</w:t>
      </w:r>
      <w:r>
        <w:t xml:space="preserve">, </w:t>
      </w:r>
      <w:r w:rsidRPr="002625B3">
        <w:t>беспоисковую</w:t>
      </w:r>
      <w:r>
        <w:t xml:space="preserve">, </w:t>
      </w:r>
      <w:r w:rsidRPr="002625B3">
        <w:t>бесподстроечную и двухстороннюю радиосвязь.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Данные радиотехнические устройства должны обладать малым энергопотреблением</w:t>
      </w:r>
      <w:r>
        <w:t xml:space="preserve">, </w:t>
      </w:r>
      <w:r w:rsidRPr="002625B3">
        <w:t>высоким качеством работы</w:t>
      </w:r>
      <w:r>
        <w:t xml:space="preserve">, </w:t>
      </w:r>
      <w:r w:rsidRPr="002625B3">
        <w:t>надежностью и малой стоимостью радиосистем передачи и приема информации.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В курсовой работе показаны и описаны структурные схемы комплекса связи</w:t>
      </w:r>
      <w:r>
        <w:t xml:space="preserve">, </w:t>
      </w:r>
      <w:r w:rsidRPr="002625B3">
        <w:t>передатчика и приемника радиостанции дальней связи</w:t>
      </w:r>
      <w:r>
        <w:t xml:space="preserve">, </w:t>
      </w:r>
      <w:r w:rsidRPr="002625B3">
        <w:t>а также описан принцип действия основных элементов радиостанции дальней связи.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КОМПЛЕКС СВЯЗИ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На рисунке 1 представлена структурная схема канала связи. Рассмотрим в отдельности каждый блок.</w:t>
      </w:r>
    </w:p>
    <w:p w:rsidR="002708FB" w:rsidRDefault="00B1550D" w:rsidP="002708F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188.25pt">
            <v:imagedata r:id="rId4" o:title=""/>
          </v:shape>
        </w:pict>
      </w:r>
    </w:p>
    <w:p w:rsidR="002708FB" w:rsidRDefault="002708FB" w:rsidP="002708FB">
      <w:pPr>
        <w:spacing w:before="120"/>
        <w:ind w:firstLine="567"/>
        <w:jc w:val="both"/>
      </w:pPr>
      <w:r w:rsidRPr="002625B3">
        <w:t>Рис. 1 Структурная схема комплекса связи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 xml:space="preserve">РСДС – радиостанция дальней связи; 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РСБС – радиостанция ближней связи;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Д УВД – диспетчерская управления воздушным движением;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АРИ – аппаратура регистрации информации;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АВС – аппаратура внутренней связи;</w:t>
      </w:r>
    </w:p>
    <w:p w:rsidR="002708FB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АСР – аварийно-спасательная радиостанция.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РСДС предназначена для обмена информацией между абонентами (воздушных судов и диспетчерами служб управления воздушным движением)</w:t>
      </w:r>
      <w:r>
        <w:t xml:space="preserve">, </w:t>
      </w:r>
      <w:r w:rsidRPr="002625B3">
        <w:t>находящимися на расстояниях</w:t>
      </w:r>
      <w:r>
        <w:t xml:space="preserve">, </w:t>
      </w:r>
      <w:r w:rsidRPr="002625B3">
        <w:t>превышающих дальность прямой видимости. Обычно РСДС рассчитываются на дальность более тысячи километров</w:t>
      </w:r>
      <w:r>
        <w:t xml:space="preserve">, </w:t>
      </w:r>
      <w:r w:rsidRPr="002625B3">
        <w:t>однако при малых высотах полета воздушных судов понятию “дальняя связь” соответствует расстояние в несколько сотен километров.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lastRenderedPageBreak/>
        <w:t xml:space="preserve">Для РСДС выделены диапазоны гектометровых (ГКМВ) и декаметровых (ДКМВ) волн с диапазоном длин λ = 100 … 1000 и 10 … </w:t>
      </w:r>
      <w:smartTag w:uri="urn:schemas-microsoft-com:office:smarttags" w:element="metricconverter">
        <w:smartTagPr>
          <w:attr w:name="ProductID" w:val="100 метров"/>
        </w:smartTagPr>
        <w:r w:rsidRPr="002625B3">
          <w:t>100 метров</w:t>
        </w:r>
      </w:smartTag>
      <w:r w:rsidRPr="002625B3">
        <w:t xml:space="preserve"> соответственно. РСДС</w:t>
      </w:r>
      <w:r>
        <w:t xml:space="preserve">, </w:t>
      </w:r>
      <w:r w:rsidRPr="002625B3">
        <w:t>как правило</w:t>
      </w:r>
      <w:r>
        <w:t xml:space="preserve">, </w:t>
      </w:r>
      <w:r w:rsidRPr="002625B3">
        <w:t>работают в режиме амплитудной модуляции (обычной или однополосной) и служат для передачи речевых сигналов (телефонный режим). На большие расстояния и при высоком уровне естественных помех используют телеграфный режим. В этом случае достигаются лучшие характеристики канала радиосвязи</w:t>
      </w:r>
      <w:r>
        <w:t xml:space="preserve">, </w:t>
      </w:r>
      <w:r w:rsidRPr="002625B3">
        <w:t>так как сужается требуемая полоса пропускания приемника</w:t>
      </w:r>
      <w:r>
        <w:t xml:space="preserve">, </w:t>
      </w:r>
      <w:r w:rsidRPr="002625B3">
        <w:t>а сигналы передаются при максимальной мощности передатчика.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Все РСДС работают</w:t>
      </w:r>
      <w:r>
        <w:t xml:space="preserve"> </w:t>
      </w:r>
      <w:r w:rsidRPr="002625B3">
        <w:t>в симплексном режиме</w:t>
      </w:r>
      <w:r>
        <w:t xml:space="preserve">, </w:t>
      </w:r>
      <w:r w:rsidRPr="002625B3">
        <w:t>т. е. обеспечивают двухстороннюю радиосвязь</w:t>
      </w:r>
      <w:r>
        <w:t xml:space="preserve">, </w:t>
      </w:r>
      <w:r w:rsidRPr="002625B3">
        <w:t>при которой передача и прием на каждой радиостанции осуществляются поочередно.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РСБС обеспечивает обмен информацией между абонентами</w:t>
      </w:r>
      <w:r>
        <w:t xml:space="preserve">, </w:t>
      </w:r>
      <w:r w:rsidRPr="002625B3">
        <w:t>находящимися в пределах прямой видимости (расстояние до тысячи метров)</w:t>
      </w:r>
      <w:r>
        <w:t xml:space="preserve">, </w:t>
      </w:r>
      <w:r w:rsidRPr="002625B3">
        <w:t>и работают в диапазонах метровых (МВ) и дециметровых (ДМВ) волн (длины волн λ = 1 … 10 и 0</w:t>
      </w:r>
      <w:r>
        <w:t xml:space="preserve">, </w:t>
      </w:r>
      <w:r w:rsidRPr="002625B3">
        <w:t xml:space="preserve">1 … </w:t>
      </w:r>
      <w:smartTag w:uri="urn:schemas-microsoft-com:office:smarttags" w:element="metricconverter">
        <w:smartTagPr>
          <w:attr w:name="ProductID" w:val="1 метра"/>
        </w:smartTagPr>
        <w:r w:rsidRPr="002625B3">
          <w:t>1 метра</w:t>
        </w:r>
      </w:smartTag>
      <w:r w:rsidRPr="002625B3">
        <w:t xml:space="preserve"> соответственно). В РСБС используются только телефонный режим и амплитудная модуляция.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Д УВД осуществляет контроль и управление</w:t>
      </w:r>
      <w:r>
        <w:t xml:space="preserve">, </w:t>
      </w:r>
      <w:r w:rsidRPr="002625B3">
        <w:t>при чрезвычайных ситуациях</w:t>
      </w:r>
      <w:r>
        <w:t xml:space="preserve">, </w:t>
      </w:r>
      <w:r w:rsidRPr="002625B3">
        <w:t>воздушным судном.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АРИ – “черный ящик” служит для регистрации всех переговоров между членами экипажа воздушного судна при использовании АВС</w:t>
      </w:r>
      <w:r>
        <w:t xml:space="preserve">, </w:t>
      </w:r>
      <w:r w:rsidRPr="002625B3">
        <w:t>а также для записи переговоров между экипажем воздушного судна и диспетчерами служб управления воздушным движением.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АРИ имеют несколько степеней защиты</w:t>
      </w:r>
      <w:r>
        <w:t xml:space="preserve">, </w:t>
      </w:r>
      <w:r w:rsidRPr="002625B3">
        <w:t>которые позволяют им оставаться целыми при аварии воздушного судна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АВС предназначена для ведения переговоров между членами экипажа воздушного судна</w:t>
      </w:r>
      <w:r>
        <w:t xml:space="preserve">, </w:t>
      </w:r>
      <w:r w:rsidRPr="002625B3">
        <w:t>а также оповещения пассажиров и трансляции развлекательных программ внутри салона воздушного судна.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АВС работают в сантиметровом диапазоне с длиной волн λ = 0</w:t>
      </w:r>
      <w:r>
        <w:t xml:space="preserve">, </w:t>
      </w:r>
      <w:r w:rsidRPr="002625B3">
        <w:t>1 … 0</w:t>
      </w:r>
      <w:r>
        <w:t xml:space="preserve">, </w:t>
      </w:r>
      <w:smartTag w:uri="urn:schemas-microsoft-com:office:smarttags" w:element="metricconverter">
        <w:smartTagPr>
          <w:attr w:name="ProductID" w:val="01 метров"/>
        </w:smartTagPr>
        <w:r w:rsidRPr="002625B3">
          <w:t>01 метров</w:t>
        </w:r>
      </w:smartTag>
      <w:r w:rsidRPr="002625B3">
        <w:t xml:space="preserve"> в режиме амплитудной модуляции и служит для передачи только речевых сигналов (телефонный режим) так как внутри воздушного судна нет значительных естественных помех которые могли бы повлиять на радиоволны на таких малых расстояниях передачи сигналов.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АСР предназначена для передачи сигналов бедствия и связи</w:t>
      </w:r>
      <w:r>
        <w:t xml:space="preserve">, </w:t>
      </w:r>
      <w:r w:rsidRPr="002625B3">
        <w:t>потерпевших аварию воздушных судов с наземными пунктами и со спасательными средствами. АСР работают в симплексном режиме. Данные радиостанции снабжены автономными источниками электропитания.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2 РАДИОСТАНЦИЯ ДАЛЬНЕЙ СВЯЗИ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На рисунке 2 показана структурная схема РСДС.</w: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26" type="#_x0000_t75" style="width:354.75pt;height:131.25pt">
            <v:imagedata r:id="rId5" o:title=""/>
          </v:shape>
        </w:pict>
      </w:r>
    </w:p>
    <w:p w:rsidR="002708FB" w:rsidRDefault="002708FB" w:rsidP="002708FB">
      <w:pPr>
        <w:spacing w:before="120"/>
        <w:ind w:firstLine="567"/>
        <w:jc w:val="both"/>
      </w:pPr>
      <w:r w:rsidRPr="002625B3">
        <w:t>Рис. 2 Структурная схема радиостанции дальней связи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Мф – микрофон;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УНЧ – усилитель низкой частоты;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ПРД – передатчик РСДС;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ППП – переключатель прием/передача;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ПРМ – приемник РСДС;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А – антенна;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Кл – ключ;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Тел – телефон.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Звуковой сигнал поступает на Мф</w:t>
      </w:r>
      <w:r>
        <w:t xml:space="preserve">, </w:t>
      </w:r>
      <w:r w:rsidRPr="002625B3">
        <w:t>затем с Мф попадает на вход УНЧ. В УНЧ радиосигнал низкой частоты усиливается и на выход УНЧ поступает радиосигнал высокой частоты и передается на ПРД. С выхода ПРД радиосигнал попадает в ППП. ППП переключает РСДС с режима передачи на режим приема и наоборот. В данном случае ППП переключает РСДС в режим передачи. Затем радиосигнал с выхода ППП попадает на А</w:t>
      </w:r>
      <w:r>
        <w:t xml:space="preserve">, </w:t>
      </w:r>
      <w:r w:rsidRPr="002625B3">
        <w:t>которая передает его на наземную радиостанцию диспетчерской службы управления воздушным движением или на другое воздушное судно. В свою очередь радиосигнал с радиостанции диспетчерской службы управления воздушным движением или с другого воздушного судна передается на летательный аппарат (в данном случае самолет). А</w:t>
      </w:r>
      <w:r>
        <w:t xml:space="preserve"> </w:t>
      </w:r>
      <w:r w:rsidRPr="002625B3">
        <w:t>принимает этот радиосигнал и передает его на ППП</w:t>
      </w:r>
      <w:r>
        <w:t xml:space="preserve">, </w:t>
      </w:r>
      <w:r w:rsidRPr="002625B3">
        <w:t>который переключает РСДС в режим приема. После этого сигнал поступает на ПРМ. В ПРМ этот сигнал преобразуется в форму позволяющую воспринять передаваемую информацию человеку и после этого радиосигнал поступает на Тел.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Особые трудности в РСДС связаны с созданием высокоэффективных передающих (приемных) антенн на воздушных судах</w:t>
      </w:r>
      <w:r>
        <w:t xml:space="preserve">, </w:t>
      </w:r>
      <w:r w:rsidRPr="002625B3">
        <w:t>а также высокими требованиями к стабильности несущей частоты (особенно при однополосной модуляции) и к избирательности приемных устройств. Эти факторы проявляются в особенностях схем РСДС</w:t>
      </w:r>
      <w:r>
        <w:t xml:space="preserve">, </w:t>
      </w:r>
      <w:r w:rsidRPr="002625B3">
        <w:t>требованиях и характеристиках применяемых антенн и в использовании генератора высоких частот в качестве единого источника всех частот передатчика и приемника.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Схема РСДС предусматривает использование одних и тех же элементов как в передающем</w:t>
      </w:r>
      <w:r>
        <w:t xml:space="preserve">, </w:t>
      </w:r>
      <w:r w:rsidRPr="002625B3">
        <w:t>так и в приемном трактах. Применение трансиверной схемы приводит к снижению массовых и габаритных характеристик радиостанции ценой усложнения коммутационной схемы. Для достижения требуемой избирательности в приемнике применяют многократное преобразование частоты принятого сигнала и электромеханические фильтры сосредоточенной селекции с высоким коэффициентом прямоугольности амплитудно-частотных характеристик. Эти же фильтры сосредоточенной селекции используются для формирования излучаемого сигнала.</w:t>
      </w:r>
    </w:p>
    <w:p w:rsidR="002708FB" w:rsidRPr="002625B3" w:rsidRDefault="002708FB" w:rsidP="002708FB">
      <w:pPr>
        <w:spacing w:before="120"/>
        <w:ind w:firstLine="567"/>
        <w:jc w:val="both"/>
      </w:pPr>
      <w:bookmarkStart w:id="1" w:name="_Toc103004198"/>
      <w:r w:rsidRPr="002625B3">
        <w:t>2.1 Передатчик РСДС</w:t>
      </w:r>
      <w:bookmarkEnd w:id="1"/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На рисунке 3 приведена структурная схема передатчика РСДС с однополосной модуляцией</w:t>
      </w:r>
      <w:r>
        <w:t xml:space="preserve">, </w:t>
      </w:r>
      <w:r w:rsidRPr="002625B3">
        <w:t>в которой используется один из простейших способов формирования однополосного сигнала – способ последовательных преобразований с фильтрацией.</w: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27" type="#_x0000_t75" style="width:431.25pt;height:229.5pt">
            <v:imagedata r:id="rId6" o:title=""/>
          </v:shape>
        </w:pict>
      </w:r>
    </w:p>
    <w:p w:rsidR="002708FB" w:rsidRDefault="002708FB" w:rsidP="002708FB">
      <w:pPr>
        <w:spacing w:before="120"/>
        <w:ind w:firstLine="567"/>
        <w:jc w:val="both"/>
      </w:pPr>
      <w:r w:rsidRPr="002625B3">
        <w:t>Рис. 3 Структурная схема передатчика РСДС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Мф – микрофон;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УНЧ – усилитель низкой частоты;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БМ1</w:t>
      </w:r>
      <w:r>
        <w:t xml:space="preserve">, </w:t>
      </w:r>
      <w:r w:rsidRPr="002625B3">
        <w:t>БМ2 – балансный модулятор;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ПФ1</w:t>
      </w:r>
      <w:r>
        <w:t xml:space="preserve">, </w:t>
      </w:r>
      <w:r w:rsidRPr="002625B3">
        <w:t>ПФ2 – полосовой фильтр;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УМ – усилитель мощности;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ГВЧ – генератор высокой частоты;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А1 – антенна;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Сигнал с Мф проходит через УНЧ и поступает на БМ1. При балансной модуляции образуется такой же сигнал</w:t>
      </w:r>
      <w:r>
        <w:t xml:space="preserve">, </w:t>
      </w:r>
      <w:r w:rsidRPr="002625B3">
        <w:t>как и при амплитудной модуляции</w:t>
      </w:r>
      <w:r>
        <w:t xml:space="preserve">, </w:t>
      </w:r>
      <w:r w:rsidRPr="002625B3">
        <w:t>но с подавленной частотой f1. Частота f1 поступает с ГВЧ. ПФ1 выделяет из спектра этого сигнала верхнюю боковую полосу частот. БМ2 и ПФ2 служат для формирования излучаемого однополосной модуляцией сигнала на частотах от fн + Fmin до fн + Fmax</w:t>
      </w:r>
      <w:r>
        <w:t xml:space="preserve">, </w:t>
      </w:r>
      <w:r w:rsidRPr="002625B3">
        <w:t>где fн = f1+ f2. Полученный сигнал с однополосной модуляцией подается на УМ и излучается А1. На рисунке 4 показано преобразование спектров в передатчике РСДС.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Передатчик РСДС с однополосной модуляцией позволяет всю мощность передатчика (или большую ее долю) переносить на информационную часть спектра</w:t>
      </w:r>
      <w:r>
        <w:t xml:space="preserve">, </w:t>
      </w:r>
      <w:r w:rsidRPr="002625B3">
        <w:t>что позволяет либо увеличить дальность связи при данной мощности передатчика</w:t>
      </w:r>
      <w:r>
        <w:t xml:space="preserve">, </w:t>
      </w:r>
      <w:r w:rsidRPr="002625B3">
        <w:t>либо применить для обеспечения той же дальности действия</w:t>
      </w:r>
      <w:r>
        <w:t xml:space="preserve">, </w:t>
      </w:r>
      <w:r w:rsidRPr="002625B3">
        <w:t>но менее мощным передатчиком.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Кроме повышения эффективности использования мощности передатчика</w:t>
      </w:r>
      <w:r>
        <w:t xml:space="preserve">, </w:t>
      </w:r>
      <w:r w:rsidRPr="002625B3">
        <w:t>при однополосной модуляции в два раза увеличивается чувствительность приемника</w:t>
      </w:r>
      <w:r>
        <w:t xml:space="preserve">, </w:t>
      </w:r>
      <w:r w:rsidRPr="002625B3">
        <w:t>так как в два раза сужается спектр сигнала</w:t>
      </w:r>
      <w:r>
        <w:t xml:space="preserve">, </w:t>
      </w:r>
      <w:r w:rsidRPr="002625B3">
        <w:t>а следовательно</w:t>
      </w:r>
      <w:r>
        <w:t xml:space="preserve">, </w:t>
      </w:r>
      <w:r w:rsidRPr="002625B3">
        <w:t>и полоса пропускания приемника. Оба эти фактора приводят к тому</w:t>
      </w:r>
      <w:r>
        <w:t xml:space="preserve">, </w:t>
      </w:r>
      <w:r w:rsidRPr="002625B3">
        <w:t>что энергетический потенциал канала однополосной модуляции увеличивается в восемь раз и при одинаковой средней мощности передатчика дальность связи при однополосной модуляции увеличивается в 2</w:t>
      </w:r>
      <w:r>
        <w:t xml:space="preserve">, </w:t>
      </w:r>
      <w:r w:rsidRPr="002625B3">
        <w:t>8 раза.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Недостатком передатчика РСДС с однополосной модуляцией является сложность передающих устройств</w:t>
      </w:r>
      <w:r>
        <w:t xml:space="preserve">, </w:t>
      </w:r>
      <w:r w:rsidRPr="002625B3">
        <w:t>связанная с подавлением несущих колебаний в передатчике</w:t>
      </w:r>
      <w:r>
        <w:t xml:space="preserve">, </w:t>
      </w:r>
      <w:r w:rsidRPr="002625B3">
        <w:t>а также с допустимым уровнем внеполосных излучений</w:t>
      </w:r>
      <w:r>
        <w:t xml:space="preserve">, </w:t>
      </w:r>
      <w:r w:rsidRPr="002625B3">
        <w:t>которые создаются при недостаточном подавлении в передатчике спектральных составляющих (несущая частота</w:t>
      </w:r>
      <w:r>
        <w:t xml:space="preserve">, </w:t>
      </w:r>
      <w:r w:rsidRPr="002625B3">
        <w:t>вторая боковая полоса и т. п.).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 xml:space="preserve">Далее на рисунке 5 показаны временные диаграммы преобразования сигналов в передатчике РСДС. </w: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28" type="#_x0000_t75" style="width:369.75pt;height:99pt">
            <v:imagedata r:id="rId7" o:title=""/>
          </v:shap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29" type="#_x0000_t75" style="width:330.75pt;height:111.75pt">
            <v:imagedata r:id="rId8" o:title=""/>
          </v:shap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30" type="#_x0000_t75" style="width:309pt;height:146.25pt">
            <v:imagedata r:id="rId9" o:title=""/>
          </v:shap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31" type="#_x0000_t75" style="width:336pt;height:134.25pt">
            <v:imagedata r:id="rId10" o:title=""/>
          </v:shap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32" type="#_x0000_t75" style="width:347.25pt;height:146.25pt">
            <v:imagedata r:id="rId11" o:title=""/>
          </v:shap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33" type="#_x0000_t75" style="width:303.75pt;height:152.25pt">
            <v:imagedata r:id="rId12" o:title=""/>
          </v:shap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34" type="#_x0000_t75" style="width:315.75pt;height:134.25pt">
            <v:imagedata r:id="rId13" o:title=""/>
          </v:shape>
        </w:pict>
      </w:r>
    </w:p>
    <w:p w:rsidR="002708FB" w:rsidRDefault="002708FB" w:rsidP="002708FB">
      <w:pPr>
        <w:spacing w:before="120"/>
        <w:ind w:firstLine="567"/>
        <w:jc w:val="both"/>
      </w:pPr>
      <w:r w:rsidRPr="002625B3">
        <w:t>Рис. 5 Временные диаграммы преобразования радиосигнала в передатчике РСДС</w:t>
      </w:r>
    </w:p>
    <w:p w:rsidR="002708FB" w:rsidRDefault="00B1550D" w:rsidP="002708FB">
      <w:pPr>
        <w:spacing w:before="120"/>
        <w:ind w:firstLine="567"/>
        <w:jc w:val="both"/>
      </w:pPr>
      <w:r>
        <w:pict>
          <v:shape id="_x0000_i1035" type="#_x0000_t75" style="width:189.75pt;height:360.75pt">
            <v:imagedata r:id="rId14" o:title=""/>
          </v:shape>
        </w:pict>
      </w:r>
    </w:p>
    <w:p w:rsidR="002708FB" w:rsidRDefault="002708FB" w:rsidP="002708FB">
      <w:pPr>
        <w:spacing w:before="120"/>
        <w:ind w:firstLine="567"/>
        <w:jc w:val="both"/>
      </w:pPr>
      <w:r w:rsidRPr="002625B3">
        <w:t>Рис. 6 Преобразование спектров в передатчике РСДС</w:t>
      </w:r>
    </w:p>
    <w:p w:rsidR="002708FB" w:rsidRPr="002625B3" w:rsidRDefault="002708FB" w:rsidP="002708FB">
      <w:pPr>
        <w:spacing w:before="120"/>
        <w:ind w:firstLine="567"/>
        <w:jc w:val="both"/>
      </w:pPr>
      <w:bookmarkStart w:id="2" w:name="_Toc103004199"/>
      <w:r w:rsidRPr="002625B3">
        <w:t>2.2 Приемник РСДС</w:t>
      </w:r>
      <w:bookmarkEnd w:id="2"/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 xml:space="preserve">На рисунке 7 показана структурная схема приемника РСДС. </w: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36" type="#_x0000_t75" style="width:417pt;height:184.5pt">
            <v:imagedata r:id="rId15" o:title=""/>
          </v:shape>
        </w:pict>
      </w:r>
    </w:p>
    <w:p w:rsidR="002708FB" w:rsidRDefault="002708FB" w:rsidP="002708FB">
      <w:pPr>
        <w:spacing w:before="120"/>
        <w:ind w:firstLine="567"/>
        <w:jc w:val="both"/>
      </w:pPr>
      <w:r w:rsidRPr="002625B3">
        <w:t>Рис. 7 Структурная схема приемника РСДС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УВЧ – усилитель высокой частоты;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См1</w:t>
      </w:r>
      <w:r>
        <w:t xml:space="preserve">, </w:t>
      </w:r>
      <w:r w:rsidRPr="002625B3">
        <w:t>См2 – смеситель;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УПЧ – усилитель промежуточной частоты;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УНЧ – усилитель низкой частоты;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Гет1</w:t>
      </w:r>
      <w:r>
        <w:t xml:space="preserve">, </w:t>
      </w:r>
      <w:r w:rsidRPr="002625B3">
        <w:t>Гет2 – гетеродин;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ПФ – полосовой фильтр;</w:t>
      </w:r>
    </w:p>
    <w:p w:rsidR="002708FB" w:rsidRPr="002625B3" w:rsidRDefault="002708FB" w:rsidP="002708FB">
      <w:pPr>
        <w:spacing w:before="120"/>
        <w:ind w:firstLine="567"/>
        <w:jc w:val="both"/>
        <w:rPr>
          <w:rFonts w:eastAsia="Batang"/>
        </w:rPr>
      </w:pPr>
      <w:r w:rsidRPr="002625B3">
        <w:t>А2 – антенна;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Тел – телефон.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В приемном устройстве путем гетеродинирования осуществляется перенос спектра сигнала из высокочастотной области в область звуковых частот. С этой целью принятый А2 сигнал и усиленный в УВЧ подается на См1 вместе с частотой f2 от ГВЧ 1. После усиления в УПЧ однополосный сигнал подается на См2</w:t>
      </w:r>
      <w:r>
        <w:t xml:space="preserve">, </w:t>
      </w:r>
      <w:r w:rsidRPr="002625B3">
        <w:t>в котором с помощью частоты f1 производится преобразование сигнала в область звуковых частот. Затем этот сигнал усиливается в УНЧ и выдается потребителям.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На рисунке 8 показано преобразование спектров в приемнике РСДС.</w:t>
      </w:r>
    </w:p>
    <w:p w:rsidR="002708FB" w:rsidRDefault="00B1550D" w:rsidP="002708FB">
      <w:pPr>
        <w:spacing w:before="120"/>
        <w:ind w:firstLine="567"/>
        <w:jc w:val="both"/>
      </w:pPr>
      <w:r>
        <w:pict>
          <v:shape id="_x0000_i1037" type="#_x0000_t75" style="width:189pt;height:250.5pt">
            <v:imagedata r:id="rId16" o:title=""/>
          </v:shape>
        </w:pict>
      </w:r>
    </w:p>
    <w:p w:rsidR="002708FB" w:rsidRDefault="002708FB" w:rsidP="002708FB">
      <w:pPr>
        <w:spacing w:before="120"/>
        <w:ind w:firstLine="567"/>
        <w:jc w:val="both"/>
      </w:pPr>
      <w:r w:rsidRPr="002625B3">
        <w:t>Рис. 8 Преобразование спектров в приемнике РСДС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При однополосной модуляции чувствительность приемника увеличивается в два раза.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Недостатком приемника с однополосной модуляцией является сложность схемы устройства</w:t>
      </w:r>
      <w:r>
        <w:t xml:space="preserve">, </w:t>
      </w:r>
      <w:r w:rsidRPr="002625B3">
        <w:t>связанная с последующим восстановлением несущих колебаний в приемнике.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Далее на рисунке 8 показаны временные диаграммы преобразования сигналов в приемнике РСДС.</w: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38" type="#_x0000_t75" style="width:315.75pt;height:134.25pt">
            <v:imagedata r:id="rId17" o:title=""/>
          </v:shap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39" type="#_x0000_t75" style="width:323.25pt;height:134.25pt">
            <v:imagedata r:id="rId18" o:title=""/>
          </v:shap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40" type="#_x0000_t75" style="width:336pt;height:134.25pt">
            <v:imagedata r:id="rId19" o:title=""/>
          </v:shap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41" type="#_x0000_t75" style="width:341.25pt;height:134.25pt">
            <v:imagedata r:id="rId20" o:title=""/>
          </v:shap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42" type="#_x0000_t75" style="width:375pt;height:128.25pt">
            <v:imagedata r:id="rId21" o:title=""/>
          </v:shape>
        </w:pic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Рис. 9 Временные диаграммы преобразования радиосигнала в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приемнике РСДС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Рассмотренный процесс соответствует полному подавлению несущей частоты и требует для воспроизведения сигнала с допустимым уровнем разборчивости взаимной расстройки частот fн в передатчике и приемнике</w:t>
      </w:r>
      <w:r>
        <w:t xml:space="preserve">, </w:t>
      </w:r>
      <w:r w:rsidRPr="002625B3">
        <w:t>не превышает ± (150 … 250) Гц</w:t>
      </w:r>
      <w:r>
        <w:t xml:space="preserve">, </w:t>
      </w:r>
      <w:r w:rsidRPr="002625B3">
        <w:t>а при наличии помех (обычных в каналах радиосвязи на ДКМВ) не более ± (50 … 100) Гц. Если считать</w:t>
      </w:r>
      <w:r>
        <w:t xml:space="preserve">, </w:t>
      </w:r>
      <w:r w:rsidRPr="002625B3">
        <w:t>что нестабильность поровну распределяет между передатчиком и приемником</w:t>
      </w:r>
      <w:r>
        <w:t xml:space="preserve">, </w:t>
      </w:r>
      <w:r w:rsidRPr="002625B3">
        <w:t>то относительная нестабильность ГВЧ передатчика и приемника должна на наибольшей частоте (30 МГц) быть не хуже 10-6. Если невозможно обеспечить такое качество ГВЧ</w:t>
      </w:r>
      <w:r>
        <w:t xml:space="preserve">, </w:t>
      </w:r>
      <w:r w:rsidRPr="002625B3">
        <w:t>то применяют неполное подавление не сущей частоты в передатчике и автоподстройки частоты в приемнике.</w:t>
      </w:r>
      <w:r>
        <w:t xml:space="preserve"> 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3 ФИЗИЧЕСКИЙ ПРИНЦИП ДЕЙСТВИЯ БЛОКОВ РСДС</w:t>
      </w:r>
    </w:p>
    <w:p w:rsidR="002708FB" w:rsidRPr="002625B3" w:rsidRDefault="002708FB" w:rsidP="002708FB">
      <w:pPr>
        <w:spacing w:before="120"/>
        <w:ind w:firstLine="567"/>
        <w:jc w:val="both"/>
      </w:pPr>
      <w:bookmarkStart w:id="3" w:name="_Toc103004201"/>
      <w:r w:rsidRPr="002625B3">
        <w:t>3.1 Балансный модулятор</w:t>
      </w:r>
      <w:bookmarkEnd w:id="3"/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Балансно-модулированным колебанием называется амплитудно-модулированное колебание</w:t>
      </w:r>
      <w:r>
        <w:t xml:space="preserve">, </w:t>
      </w:r>
      <w:r w:rsidRPr="002625B3">
        <w:t>в котором отсутствует колебание несущей частоты.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При модуляции гармонических колебаний балансно-модулированное колебание определяется уравнением</w: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43" type="#_x0000_t75" style="width:350.25pt;height:41.25pt">
            <v:imagedata r:id="rId22" o:title=""/>
          </v:shape>
        </w:pict>
      </w:r>
      <w:r w:rsidR="002708FB">
        <w:t xml:space="preserve"> </w:t>
      </w:r>
      <w:r w:rsidR="002708FB" w:rsidRPr="002625B3">
        <w:t>(1)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Для осуществления балансной модуляции применяется балансный модулятор (БМ) электрическая схема которого показана на рисунке 10.</w: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44" type="#_x0000_t75" style="width:176.25pt;height:196.5pt">
            <v:imagedata r:id="rId23" o:title=""/>
          </v:shape>
        </w:pict>
      </w:r>
    </w:p>
    <w:p w:rsidR="002708FB" w:rsidRDefault="002708FB" w:rsidP="002708FB">
      <w:pPr>
        <w:spacing w:before="120"/>
        <w:ind w:firstLine="567"/>
        <w:jc w:val="both"/>
      </w:pPr>
      <w:r w:rsidRPr="002625B3">
        <w:t>Рис. 10 Электрическая схема диодного балансного модулятора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БМ принято называть само устройство</w:t>
      </w:r>
      <w:r>
        <w:t xml:space="preserve">, </w:t>
      </w:r>
      <w:r w:rsidRPr="002625B3">
        <w:t>в котором осуществляется модуляция</w:t>
      </w:r>
      <w:r>
        <w:t xml:space="preserve">, </w:t>
      </w:r>
      <w:r w:rsidRPr="002625B3">
        <w:t>тогда как при обычной амплитудной модуляции модулятором называют усилитель звуковой частоты</w:t>
      </w:r>
      <w:r>
        <w:t xml:space="preserve">, </w:t>
      </w:r>
      <w:r w:rsidRPr="002625B3">
        <w:t>применяемый для амплитудной модуляции.</w: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45" type="#_x0000_t75" style="width:383.25pt;height:139.5pt">
            <v:imagedata r:id="rId24" o:title=""/>
          </v:shape>
        </w:pict>
      </w:r>
    </w:p>
    <w:p w:rsidR="002708FB" w:rsidRDefault="00B1550D" w:rsidP="002708FB">
      <w:pPr>
        <w:spacing w:before="120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85pt;margin-top:3.05pt;width:27pt;height:27pt;z-index:-251670016;mso-wrap-edited:f" wrapcoords="-600 0 -600 21600 22200 21600 22200 0 -600 0" strokecolor="white">
            <v:textbox>
              <w:txbxContent>
                <w:p w:rsidR="002708FB" w:rsidRPr="00F81DF0" w:rsidRDefault="002708FB" w:rsidP="002708FB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91.85pt;margin-top:17.6pt;width:20pt;height:26pt;z-index:-251668992;mso-wrap-edited:f" wrapcoords="-600 0 -600 21600 22200 21600 22200 0 -600 0" strokecolor="white">
            <v:textbox>
              <w:txbxContent>
                <w:p w:rsidR="002708FB" w:rsidRPr="00F81DF0" w:rsidRDefault="002708FB" w:rsidP="002708FB"/>
              </w:txbxContent>
            </v:textbox>
          </v:shape>
        </w:pict>
      </w:r>
      <w:r w:rsidR="002708FB" w:rsidRPr="002625B3">
        <w:t>Рис. 11 Напряжение на выходе балансного модулятора в режиме линейной модуляции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В БМ можно осуществить либо режим линейной модуляции</w:t>
      </w:r>
      <w:r>
        <w:t xml:space="preserve">, </w:t>
      </w:r>
      <w:r w:rsidRPr="002625B3">
        <w:t xml:space="preserve">либо режим коммутации (переключений). 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На рис. 12 показана структурная схема устройства</w:t>
      </w:r>
      <w:r>
        <w:t xml:space="preserve">, </w:t>
      </w:r>
      <w:r w:rsidRPr="002625B3">
        <w:t>позволяющего выделить одну боковую составляющую. На вход 2 подается радиочастотное</w:t>
      </w:r>
      <w:r>
        <w:t xml:space="preserve">, </w:t>
      </w:r>
      <w:r w:rsidRPr="002625B3">
        <w:t>а на вход 1 – модулирующее колебания.</w:t>
      </w:r>
    </w:p>
    <w:p w:rsidR="002708FB" w:rsidRPr="002625B3" w:rsidRDefault="00B1550D" w:rsidP="002708FB">
      <w:pPr>
        <w:spacing w:before="120"/>
        <w:ind w:firstLine="567"/>
        <w:jc w:val="both"/>
      </w:pPr>
      <w:r>
        <w:rPr>
          <w:noProof/>
        </w:rPr>
        <w:pict>
          <v:shape id="_x0000_s1028" type="#_x0000_t202" style="position:absolute;left:0;text-align:left;margin-left:123.85pt;margin-top:9.75pt;width:1in;height:27pt;z-index:251658752" strokecolor="white">
            <v:textbox style="mso-next-textbox:#_x0000_s1028">
              <w:txbxContent>
                <w:p w:rsidR="002708FB" w:rsidRPr="004179A0" w:rsidRDefault="002708FB" w:rsidP="002708FB">
                  <w:pPr>
                    <w:pStyle w:val="3"/>
                    <w:rPr>
                      <w:sz w:val="28"/>
                      <w:szCs w:val="28"/>
                    </w:rPr>
                  </w:pPr>
                  <w:r w:rsidRPr="004179A0">
                    <w:rPr>
                      <w:sz w:val="28"/>
                      <w:szCs w:val="28"/>
                    </w:rPr>
                    <w:t>Вх. РЧ 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6.85pt;margin-top:-.25pt;width:1in;height:27pt;z-index:251652608" strokecolor="white">
            <v:textbox style="mso-next-textbox:#_x0000_s1029">
              <w:txbxContent>
                <w:p w:rsidR="002708FB" w:rsidRPr="004179A0" w:rsidRDefault="002708FB" w:rsidP="002708FB">
                  <w:pPr>
                    <w:pStyle w:val="3"/>
                    <w:rPr>
                      <w:sz w:val="28"/>
                      <w:szCs w:val="28"/>
                    </w:rPr>
                  </w:pPr>
                  <w:r w:rsidRPr="004179A0">
                    <w:rPr>
                      <w:sz w:val="28"/>
                      <w:szCs w:val="28"/>
                    </w:rPr>
                    <w:t>Вх. ЗЧ 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251649536" from="74.85pt,28.75pt" to="74.85pt,136.75pt">
            <v:stroke endarrow="block"/>
          </v:lin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rPr>
          <w:noProof/>
        </w:rPr>
        <w:pict>
          <v:line id="_x0000_s1031" style="position:absolute;left:0;text-align:left;z-index:251656704" from="164.85pt,9.3pt" to="164.85pt,90.3pt">
            <v:stroke endarrow="block"/>
          </v:line>
        </w:pict>
      </w:r>
      <w:r>
        <w:rPr>
          <w:noProof/>
        </w:rPr>
        <w:pict>
          <v:rect id="_x0000_s1032" style="position:absolute;left:0;text-align:left;margin-left:232.85pt;margin-top:26.3pt;width:108pt;height:63pt;z-index:-251661824;mso-wrap-edited:f" wrapcoords="-150 0 -150 21600 21750 21600 21750 0 -150 0"/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rPr>
          <w:noProof/>
        </w:rPr>
        <w:pict>
          <v:line id="_x0000_s1033" style="position:absolute;left:0;text-align:left;z-index:251660800" from="342.6pt,3.55pt" to="378.6pt,3.55pt">
            <v:stroke endarrow="block"/>
          </v:line>
        </w:pict>
      </w:r>
      <w:r>
        <w:rPr>
          <w:noProof/>
        </w:rPr>
        <w:pict>
          <v:shape id="_x0000_s1034" type="#_x0000_t202" style="position:absolute;left:0;text-align:left;margin-left:388.85pt;margin-top:7.4pt;width:1in;height:32pt;z-index:-251648512;mso-wrap-edited:f" wrapcoords="-225 0 -225 21600 21825 21600 21825 0 -225 0" strokecolor="white">
            <v:textbox style="mso-next-textbox:#_x0000_s1034">
              <w:txbxContent>
                <w:p w:rsidR="002708FB" w:rsidRDefault="002708FB" w:rsidP="002708FB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Вых.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z-index:251661824" from="377.85pt,5.55pt" to="377.85pt,86.55pt"/>
        </w:pict>
      </w:r>
      <w:r>
        <w:rPr>
          <w:noProof/>
        </w:rPr>
        <w:pict>
          <v:shape id="_x0000_s1036" type="#_x0000_t202" style="position:absolute;left:0;text-align:left;margin-left:243.85pt;margin-top:8.55pt;width:90pt;height:27pt;z-index:251659776" strokecolor="white">
            <v:textbox>
              <w:txbxContent>
                <w:p w:rsidR="002708FB" w:rsidRPr="004179A0" w:rsidRDefault="002708FB" w:rsidP="002708FB">
                  <w:pPr>
                    <w:pStyle w:val="3"/>
                    <w:rPr>
                      <w:sz w:val="28"/>
                      <w:szCs w:val="28"/>
                    </w:rPr>
                  </w:pPr>
                  <w:r w:rsidRPr="004179A0">
                    <w:rPr>
                      <w:sz w:val="28"/>
                      <w:szCs w:val="28"/>
                    </w:rPr>
                    <w:t>БМ 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left:0;text-align:left;z-index:251655680" from="168.85pt,7.4pt" to="231.85pt,7.4pt">
            <v:stroke startarrow="oval" endarrow="block"/>
          </v:lin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rPr>
          <w:noProof/>
        </w:rPr>
        <w:pict>
          <v:shape id="_x0000_s1038" type="#_x0000_t202" style="position:absolute;left:0;text-align:left;margin-left:143.35pt;margin-top:29.55pt;width:63.75pt;height:28.8pt;z-index:251668992" strokecolor="white">
            <v:textbox style="mso-next-textbox:#_x0000_s1038">
              <w:txbxContent>
                <w:p w:rsidR="002708FB" w:rsidRPr="004179A0" w:rsidRDefault="002708FB" w:rsidP="002708FB">
                  <w:pPr>
                    <w:pStyle w:val="3"/>
                    <w:rPr>
                      <w:b w:val="0"/>
                      <w:sz w:val="28"/>
                      <w:szCs w:val="28"/>
                      <w:vertAlign w:val="superscript"/>
                    </w:rPr>
                  </w:pPr>
                  <w:r w:rsidRPr="004179A0">
                    <w:rPr>
                      <w:b w:val="0"/>
                      <w:i/>
                      <w:sz w:val="28"/>
                      <w:szCs w:val="28"/>
                    </w:rPr>
                    <w:t>φ = 90</w:t>
                  </w:r>
                  <w:r w:rsidRPr="004179A0">
                    <w:rPr>
                      <w:b w:val="0"/>
                      <w:sz w:val="28"/>
                      <w:szCs w:val="28"/>
                      <w:vertAlign w:val="superscript"/>
                    </w:rPr>
                    <w:t>○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9" style="position:absolute;left:0;text-align:left;margin-left:132.6pt;margin-top:20.85pt;width:81pt;height:45pt;z-index:251657728"/>
        </w:pict>
      </w:r>
      <w:r>
        <w:rPr>
          <w:noProof/>
        </w:rPr>
        <w:pict>
          <v:line id="_x0000_s1040" style="position:absolute;left:0;text-align:left;z-index:251666944" from="380.85pt,13.85pt" to="434.85pt,13.85pt">
            <v:stroke startarrow="oval" endarrow="block"/>
          </v:line>
        </w:pict>
      </w:r>
      <w:r>
        <w:rPr>
          <w:noProof/>
        </w:rPr>
        <w:pict>
          <v:line id="_x0000_s1041" style="position:absolute;left:0;text-align:left;flip:y;z-index:251653632" from="77.85pt,4.7pt" to="230.85pt,4.7pt">
            <v:stroke startarrow="oval"/>
          </v:line>
        </w:pict>
      </w:r>
    </w:p>
    <w:p w:rsidR="002708FB" w:rsidRDefault="00B1550D" w:rsidP="002708FB">
      <w:pPr>
        <w:spacing w:before="120"/>
        <w:ind w:firstLine="567"/>
        <w:jc w:val="both"/>
      </w:pPr>
      <w:r>
        <w:rPr>
          <w:noProof/>
        </w:rPr>
        <w:pict>
          <v:line id="_x0000_s1042" style="position:absolute;left:0;text-align:left;flip:y;z-index:251664896" from="216.1pt,11.2pt" to="234.1pt,11.2pt"/>
        </w:pict>
      </w:r>
      <w:r>
        <w:rPr>
          <w:noProof/>
        </w:rPr>
        <w:pict>
          <v:rect id="_x0000_s1043" style="position:absolute;left:0;text-align:left;margin-left:235.1pt;margin-top:2.85pt;width:108pt;height:63pt;z-index:251663872"/>
        </w:pict>
      </w:r>
      <w:r>
        <w:rPr>
          <w:noProof/>
        </w:rPr>
        <w:pict>
          <v:shape id="_x0000_s1044" type="#_x0000_t202" style="position:absolute;left:0;text-align:left;margin-left:238.85pt;margin-top:16.1pt;width:90pt;height:36pt;z-index:251665920" strokecolor="white">
            <v:textbox>
              <w:txbxContent>
                <w:p w:rsidR="002708FB" w:rsidRPr="004179A0" w:rsidRDefault="002708FB" w:rsidP="002708FB">
                  <w:pPr>
                    <w:pStyle w:val="3"/>
                    <w:rPr>
                      <w:sz w:val="28"/>
                      <w:szCs w:val="28"/>
                    </w:rPr>
                  </w:pPr>
                  <w:r w:rsidRPr="004179A0">
                    <w:rPr>
                      <w:sz w:val="28"/>
                      <w:szCs w:val="28"/>
                    </w:rPr>
                    <w:t>БМ 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5" style="position:absolute;left:0;text-align:left;z-index:251662848" from="342.85pt,19.1pt" to="378.85pt,19.1pt">
            <v:stroke endarrow="block"/>
          </v:line>
        </w:pict>
      </w:r>
      <w:r>
        <w:rPr>
          <w:noProof/>
        </w:rPr>
        <w:pict>
          <v:shape id="_x0000_s1046" type="#_x0000_t202" style="position:absolute;left:0;text-align:left;margin-left:40.85pt;margin-top:10.65pt;width:63pt;height:27pt;z-index:251651584" strokecolor="white">
            <v:textbox style="mso-next-textbox:#_x0000_s1046">
              <w:txbxContent>
                <w:p w:rsidR="002708FB" w:rsidRDefault="002708FB" w:rsidP="002708FB">
                  <w:pPr>
                    <w:jc w:val="center"/>
                    <w:rPr>
                      <w:b/>
                      <w:bCs/>
                      <w:sz w:val="28"/>
                      <w:vertAlign w:val="superscript"/>
                    </w:rPr>
                  </w:pPr>
                  <w:r>
                    <w:rPr>
                      <w:b/>
                      <w:bCs/>
                      <w:sz w:val="28"/>
                    </w:rPr>
                    <w:t>φ = 90</w:t>
                  </w:r>
                  <w:r>
                    <w:rPr>
                      <w:b/>
                      <w:bCs/>
                      <w:sz w:val="28"/>
                      <w:vertAlign w:val="superscript"/>
                    </w:rPr>
                    <w:t>○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7" style="position:absolute;left:0;text-align:left;margin-left:32.85pt;margin-top:2.65pt;width:81pt;height:45pt;z-index:-251665920;mso-wrap-edited:f" wrapcoords="-225 0 -225 21600 21825 21600 21825 0 -225 0"/>
        </w:pic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Рис. 12 Структурная схема устройства для получения колебания с одной боковой частотой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На выходе БМ 1 напряжение</w:t>
      </w:r>
    </w:p>
    <w:p w:rsidR="002708FB" w:rsidRDefault="00B1550D" w:rsidP="002708FB">
      <w:pPr>
        <w:spacing w:before="120"/>
        <w:ind w:firstLine="567"/>
        <w:jc w:val="both"/>
      </w:pPr>
      <w:r>
        <w:pict>
          <v:shape id="_x0000_i1046" type="#_x0000_t75" style="width:327.75pt;height:41.25pt">
            <v:imagedata r:id="rId25" o:title=""/>
          </v:shape>
        </w:pict>
      </w:r>
      <w:r w:rsidR="002708FB">
        <w:t xml:space="preserve"> </w:t>
      </w:r>
      <w:r w:rsidR="002708FB" w:rsidRPr="002625B3">
        <w:t>(2)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На выходе БМ</w:t>
      </w:r>
    </w:p>
    <w:p w:rsidR="002708FB" w:rsidRDefault="00B1550D" w:rsidP="002708FB">
      <w:pPr>
        <w:spacing w:before="120"/>
        <w:ind w:firstLine="567"/>
        <w:jc w:val="both"/>
      </w:pPr>
      <w:r>
        <w:pict>
          <v:shape id="_x0000_i1047" type="#_x0000_t75" style="width:336pt;height:41.25pt">
            <v:imagedata r:id="rId26" o:title=""/>
          </v:shape>
        </w:pict>
      </w:r>
      <w:r w:rsidR="002708FB">
        <w:t xml:space="preserve"> </w:t>
      </w:r>
      <w:r w:rsidR="002708FB" w:rsidRPr="002625B3">
        <w:t>(3)</w:t>
      </w:r>
    </w:p>
    <w:p w:rsidR="002708FB" w:rsidRDefault="002708FB" w:rsidP="002708FB">
      <w:pPr>
        <w:spacing w:before="120"/>
        <w:ind w:firstLine="567"/>
        <w:jc w:val="both"/>
      </w:pPr>
      <w:r w:rsidRPr="002625B3">
        <w:t xml:space="preserve">Сложение напряжений от двух модуляторов дает результирующее напряжение </w:t>
      </w:r>
    </w:p>
    <w:p w:rsidR="002708FB" w:rsidRDefault="00B1550D" w:rsidP="002708FB">
      <w:pPr>
        <w:spacing w:before="120"/>
        <w:ind w:firstLine="567"/>
        <w:jc w:val="both"/>
      </w:pPr>
      <w:r>
        <w:pict>
          <v:shape id="_x0000_i1048" type="#_x0000_t75" style="width:189pt;height:20.25pt">
            <v:imagedata r:id="rId27" o:title=""/>
          </v:shape>
        </w:pict>
      </w:r>
      <w:r w:rsidR="002708FB">
        <w:t xml:space="preserve"> </w:t>
      </w:r>
      <w:r w:rsidR="002708FB" w:rsidRPr="002625B3">
        <w:t>(4)</w:t>
      </w:r>
      <w:r w:rsidR="002708FB">
        <w:t xml:space="preserve"> 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Аналогично можно осуществить выделение колебаний разностной частоты.</w:t>
      </w:r>
    </w:p>
    <w:p w:rsidR="002708FB" w:rsidRDefault="002708FB" w:rsidP="002708FB">
      <w:pPr>
        <w:spacing w:before="120"/>
        <w:ind w:firstLine="567"/>
        <w:jc w:val="both"/>
      </w:pPr>
    </w:p>
    <w:p w:rsidR="002708FB" w:rsidRPr="002625B3" w:rsidRDefault="002708FB" w:rsidP="002708FB">
      <w:pPr>
        <w:spacing w:before="120"/>
        <w:ind w:firstLine="567"/>
        <w:jc w:val="both"/>
      </w:pPr>
      <w:bookmarkStart w:id="4" w:name="_Toc103004202"/>
      <w:r w:rsidRPr="002625B3">
        <w:t>3.2 Смеситель</w:t>
      </w:r>
      <w:bookmarkEnd w:id="4"/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Смеситель (См) является нелинейным элементом и служит для преобразования принятого сигнала в другой</w:t>
      </w:r>
      <w:r>
        <w:t xml:space="preserve">, </w:t>
      </w:r>
      <w:r w:rsidRPr="002625B3">
        <w:t xml:space="preserve">более удобный для усиления и обеспечения хорошей избирательности. 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Электрическая схема простейшего См показана на рисунке 13.</w: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49" type="#_x0000_t75" style="width:213pt;height:228.75pt">
            <v:imagedata r:id="rId28" o:title=""/>
          </v:shape>
        </w:pic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Рис. 13</w:t>
      </w:r>
      <w:r>
        <w:t xml:space="preserve"> </w:t>
      </w:r>
      <w:r w:rsidRPr="002625B3">
        <w:t>Электрическая схема смесителя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Преобразование состоит в изменении частоты несущей при сохранении закона модуляции сигнала. На рисунке 14 показан входной сигнал См с несущей частотой fc и гармоническим законом модуляции с частотой F. Спектр этого сигнала будет иметь вид</w:t>
      </w:r>
      <w:r>
        <w:t xml:space="preserve">, </w:t>
      </w:r>
      <w:r w:rsidRPr="002625B3">
        <w:t xml:space="preserve">изображенный на рисунке 15. </w: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50" type="#_x0000_t75" style="width:378pt;height:163.5pt">
            <v:imagedata r:id="rId29" o:title=""/>
          </v:shape>
        </w:pic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51" type="#_x0000_t75" style="width:386.25pt;height:163.5pt">
            <v:imagedata r:id="rId30" o:title=""/>
          </v:shape>
        </w:pict>
      </w:r>
    </w:p>
    <w:p w:rsidR="002708FB" w:rsidRDefault="00B1550D" w:rsidP="002708FB">
      <w:pPr>
        <w:spacing w:before="120"/>
        <w:ind w:firstLine="567"/>
        <w:jc w:val="both"/>
      </w:pPr>
      <w:r>
        <w:rPr>
          <w:noProof/>
        </w:rPr>
        <w:pict>
          <v:shape id="_x0000_s1048" type="#_x0000_t202" style="position:absolute;left:0;text-align:left;margin-left:342.85pt;margin-top:5.65pt;width:45pt;height:27pt;z-index:-251667968;mso-wrap-edited:f" wrapcoords="-360 0 -360 21600 21960 21600 21960 0 -360 0" strokecolor="white">
            <v:textbox style="mso-next-textbox:#_x0000_s1048">
              <w:txbxContent>
                <w:p w:rsidR="002708FB" w:rsidRPr="004E6C4E" w:rsidRDefault="002708FB" w:rsidP="002708FB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2708FB" w:rsidRPr="002625B3">
        <w:t>Рис. 14 Входной сигнал смесителя с несущей частотой fc и гармоническим законом модуляции с частотой F</w:t>
      </w:r>
    </w:p>
    <w:p w:rsidR="002708FB" w:rsidRPr="002625B3" w:rsidRDefault="00B1550D" w:rsidP="002708FB">
      <w:pPr>
        <w:spacing w:before="120"/>
        <w:ind w:firstLine="567"/>
        <w:jc w:val="both"/>
      </w:pPr>
      <w:r>
        <w:pict>
          <v:shape id="_x0000_i1052" type="#_x0000_t75" style="width:276pt;height:125.25pt">
            <v:imagedata r:id="rId31" o:title=""/>
          </v:shape>
        </w:pic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Рис. 15 Спектр входного сигнала смесителя с несущей частотой fc и гармоническим законом модуляции с частотой F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В качестве нелинейных элементов в См используют транзисторы</w:t>
      </w:r>
      <w:r>
        <w:t xml:space="preserve">, </w:t>
      </w:r>
      <w:r w:rsidRPr="002625B3">
        <w:t>лампы</w:t>
      </w:r>
      <w:r>
        <w:t xml:space="preserve">, </w:t>
      </w:r>
      <w:r w:rsidRPr="002625B3">
        <w:t>диоды. Для более подробного объяснения работы См воспользуемся графической зависимостью коллекторного тока транзистора от напряжения между базой и эмиттером показанном на рисунке 16.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Проводимость прямой передачи транзистора</w:t>
      </w:r>
      <w:r>
        <w:t xml:space="preserve">, </w:t>
      </w:r>
      <w:r w:rsidRPr="002625B3">
        <w:t>связывающая изменение коллекторного тока с изменениями входного напряжения</w:t>
      </w:r>
      <w:r>
        <w:t xml:space="preserve">, </w:t>
      </w:r>
      <w:r w:rsidRPr="002625B3">
        <w:t>приложенного между базой и эмиттером (Uбэ)</w:t>
      </w:r>
      <w:r>
        <w:t xml:space="preserve">, </w:t>
      </w:r>
      <w:r w:rsidRPr="002625B3">
        <w:t>определяется отношением приращения этих величин при постоянном напряжении на коллекторе Uкэ: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Y21 = ΔIк / ΔUбэ</w:t>
      </w:r>
      <w:r>
        <w:t xml:space="preserve"> </w:t>
      </w:r>
      <w:r w:rsidRPr="002625B3">
        <w:t>(5)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Штриховой линией на рис. 16 показана зависимость проводимости Y21 от напряжений Uбэ. При большом отрицательном напряжении Uбэ зависимость коллекторного тока от этого напряжения приближается к линейной</w:t>
      </w:r>
      <w:r>
        <w:t xml:space="preserve">, </w:t>
      </w:r>
      <w:r w:rsidRPr="002625B3">
        <w:t>а проводимость прямой передачи почти достигает своего наибольшего значения. Именно в этой области выбирают рабочую точку транзистора Y при использовании его в усилительном режиме</w:t>
      </w:r>
      <w:r>
        <w:t xml:space="preserve">, </w:t>
      </w:r>
      <w:r w:rsidRPr="002625B3">
        <w:t>так как при этом обеспечивается наибольшее усиление при малом уровне нелинейных искажений. Обозначим проводимость</w:t>
      </w:r>
      <w:r>
        <w:t xml:space="preserve">, </w:t>
      </w:r>
      <w:r w:rsidRPr="002625B3">
        <w:t>соответствующую этой точке</w:t>
      </w:r>
      <w:r>
        <w:t xml:space="preserve">, </w:t>
      </w:r>
      <w:r w:rsidRPr="002625B3">
        <w:t>Y21y. По мере снижения отрицательного напряжения Uбэ крутизна характеристики коллекторного тока уменьшается</w:t>
      </w:r>
      <w:r>
        <w:t xml:space="preserve">, </w:t>
      </w:r>
      <w:r w:rsidRPr="002625B3">
        <w:t>что приводит к соответствующему уменьшению проводимости Y21. Для высокочастотных дрейфовых транзисторов в интервале входных напряжений от 0</w:t>
      </w:r>
      <w:r>
        <w:t xml:space="preserve">, </w:t>
      </w:r>
      <w:r w:rsidRPr="002625B3">
        <w:t>2 до 0</w:t>
      </w:r>
      <w:r>
        <w:t xml:space="preserve">, </w:t>
      </w:r>
      <w:r w:rsidRPr="002625B3">
        <w:t>4 В проводимость прямой передачи практически линейно увеличивается с ростом входного напряжения. При выборе рабочей точки в середине этого участка (точка П на рис. 20) изменение проводимости прямой передачи будет почти линейно зависеть от входного напряжения</w:t>
      </w:r>
      <w:r>
        <w:t xml:space="preserve">, </w:t>
      </w:r>
      <w:r w:rsidRPr="002625B3">
        <w:t>если оно не выходит за пределы отмеченного интервала. В этом случае действующее между базой и эмиттером переменное напряжение гетеродина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uг = Uгm · sinωг · t</w:t>
      </w:r>
      <w:r>
        <w:t xml:space="preserve"> </w:t>
      </w:r>
      <w:r w:rsidRPr="002625B3">
        <w:t>(6)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будет изменять проводимость прямой передачи по закону</w:t>
      </w:r>
    </w:p>
    <w:p w:rsidR="002708FB" w:rsidRPr="00FD177A" w:rsidRDefault="002708FB" w:rsidP="002708FB">
      <w:pPr>
        <w:spacing w:before="120"/>
        <w:ind w:firstLine="567"/>
        <w:jc w:val="both"/>
        <w:rPr>
          <w:lang w:val="en-US"/>
        </w:rPr>
      </w:pPr>
      <w:r w:rsidRPr="00FD177A">
        <w:rPr>
          <w:lang w:val="en-US"/>
        </w:rPr>
        <w:t>Y21(t) ≈ Y21n + Y21m · sin</w:t>
      </w:r>
      <w:r w:rsidRPr="002625B3">
        <w:t>ωг</w:t>
      </w:r>
      <w:r w:rsidRPr="00FD177A">
        <w:rPr>
          <w:lang w:val="en-US"/>
        </w:rPr>
        <w:t xml:space="preserve"> · t</w:t>
      </w:r>
      <w:r>
        <w:rPr>
          <w:lang w:val="en-US"/>
        </w:rPr>
        <w:t xml:space="preserve"> </w:t>
      </w:r>
      <w:r w:rsidRPr="00FD177A">
        <w:rPr>
          <w:lang w:val="en-US"/>
        </w:rPr>
        <w:t>(7)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Графически эта зависимость показана в правой части рис. 18.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 xml:space="preserve">Включим в ту же цепь база – эмиттер источник сигнала с напряжением 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uс = Uсm · sinωс · t</w:t>
      </w:r>
      <w:r>
        <w:t xml:space="preserve"> </w:t>
      </w:r>
      <w:r w:rsidRPr="002625B3">
        <w:t>(8)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Будем полагать</w:t>
      </w:r>
      <w:r>
        <w:t xml:space="preserve">, </w:t>
      </w:r>
      <w:r w:rsidRPr="002625B3">
        <w:t>что амплитуда сигнала гораздо меньше амплитуды напряжения гетеродина: Uсm &lt;&lt; Uгm. Под действием обоих напряжений положение рабочей точки не выйдет за пределы линейного участка графика</w:t>
      </w:r>
      <w:r>
        <w:t xml:space="preserve">, </w:t>
      </w:r>
      <w:r w:rsidRPr="002625B3">
        <w:t>характеризующего изменение Y21 от напряжения Uбэ. На основании общего уравнения для коллекторного тока получим: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Ik = Y21 · Uбэ = (Y21n + Y21m · sinωг · t) · (Uбэ. п + Uсm · sinωс · t)</w:t>
      </w:r>
      <w:r>
        <w:t xml:space="preserve"> </w:t>
      </w:r>
      <w:r w:rsidRPr="002625B3">
        <w:t>(9)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После несложных тригонометрических преобразований формулу (9) можно переписать так: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Ik = Y21n · Uбэ. п + Y21m · Uбэ. п · sinωг · t</w:t>
      </w:r>
      <w:r>
        <w:t xml:space="preserve"> </w:t>
      </w:r>
      <w:r w:rsidRPr="002625B3">
        <w:t>+ Uсm · Y21n · sinωс · t</w:t>
      </w:r>
      <w:r>
        <w:t xml:space="preserve"> </w:t>
      </w:r>
      <w:r w:rsidRPr="002625B3">
        <w:t>–</w:t>
      </w:r>
      <w:r>
        <w:t xml:space="preserve"> </w:t>
      </w:r>
      <w:r w:rsidRPr="002625B3">
        <w:t>0</w:t>
      </w:r>
      <w:r>
        <w:t xml:space="preserve">, </w:t>
      </w:r>
      <w:r w:rsidRPr="002625B3">
        <w:t>5 · Y21m · Uсm · соs(ωг – ωс) · t + 0</w:t>
      </w:r>
      <w:r>
        <w:t xml:space="preserve">, </w:t>
      </w:r>
      <w:r w:rsidRPr="002625B3">
        <w:t>5 · Y21m · Uсm · соs(ωг + ωс) · t</w:t>
      </w:r>
      <w:r>
        <w:t xml:space="preserve"> </w:t>
      </w:r>
      <w:r w:rsidRPr="002625B3">
        <w:t>(10)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Следовательно</w:t>
      </w:r>
      <w:r>
        <w:t xml:space="preserve">, </w:t>
      </w:r>
      <w:r w:rsidRPr="002625B3">
        <w:t>при выборе рабочей точки на криволинейном участке вольт – амперной характеристики (точка П на рис. 16) и подведении к транзистору двух переменных напряжений (гетеродина и сигнала) коллекторный ток будет иметь постоянную составляющую Y21 · Uбэ</w:t>
      </w:r>
      <w:r>
        <w:t xml:space="preserve">, </w:t>
      </w:r>
      <w:r w:rsidRPr="002625B3">
        <w:t>составляющие с частотами гетеродина и сигнала</w:t>
      </w:r>
      <w:r>
        <w:t xml:space="preserve">, </w:t>
      </w:r>
      <w:r w:rsidRPr="002625B3">
        <w:t>а также составляющие с разностной и суммарной частотами. Две последние составляющие в радиотехнике называют комбинационными</w:t>
      </w:r>
      <w:r>
        <w:t xml:space="preserve">, </w:t>
      </w:r>
      <w:r w:rsidRPr="002625B3">
        <w:t>поскольку их частоты определяются комбинациями (суммарной и разностной) частот входных сигналов нелинейного элемента</w:t>
      </w:r>
      <w:r>
        <w:t xml:space="preserve">, </w:t>
      </w:r>
      <w:r w:rsidRPr="002625B3">
        <w:t>каковым являются См.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При постоянной амплитуде напряжения гетеродина амплитуда Y21m будет неизменной (рис. 18). Поэтому амплитуды разностной и суммарной составляющих прямо пропорциональны амплитуде сигнала.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Нагрузку См делают избирательной и настраивают ее на разностную или на суммарную частоту. Благодаря этому на выходе См выделяется напряжение только одной составляющей тока</w:t>
      </w:r>
      <w:r>
        <w:t xml:space="preserve">, </w:t>
      </w:r>
      <w:r w:rsidRPr="002625B3">
        <w:t>называемой полезной составляющей промежуточной частоты.</w:t>
      </w:r>
      <w:r>
        <w:t xml:space="preserve"> </w:t>
      </w:r>
    </w:p>
    <w:p w:rsidR="002708FB" w:rsidRDefault="002708FB" w:rsidP="002708FB">
      <w:pPr>
        <w:spacing w:before="120"/>
        <w:ind w:firstLine="567"/>
        <w:jc w:val="both"/>
      </w:pP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Заключение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В данной курсовой работе</w:t>
      </w:r>
      <w:r>
        <w:t xml:space="preserve">, </w:t>
      </w:r>
      <w:r w:rsidRPr="002625B3">
        <w:t>в соответствии с поставленным заданием</w:t>
      </w:r>
      <w:r>
        <w:t xml:space="preserve">, </w:t>
      </w:r>
      <w:r w:rsidRPr="002625B3">
        <w:t>была рассмотрена радиостанция дальней связи</w:t>
      </w:r>
      <w:r>
        <w:t xml:space="preserve">, </w:t>
      </w:r>
      <w:r w:rsidRPr="002625B3">
        <w:t>ее принцип работы и назначение.</w:t>
      </w:r>
      <w:r>
        <w:t xml:space="preserve"> </w:t>
      </w:r>
      <w:r w:rsidRPr="002625B3">
        <w:t>Построены временные диаграммы и частотные характеристики сигналов и проведен их анализ. Также были описаны основные блоки</w:t>
      </w:r>
      <w:r>
        <w:t xml:space="preserve">, </w:t>
      </w:r>
      <w:r w:rsidRPr="002625B3">
        <w:t>входящие в состав РСДС</w:t>
      </w:r>
      <w:r>
        <w:t xml:space="preserve">, </w:t>
      </w:r>
      <w:r w:rsidRPr="002625B3">
        <w:t xml:space="preserve">такие как: балансный модулятор и смеситель. </w:t>
      </w:r>
    </w:p>
    <w:p w:rsidR="002708FB" w:rsidRPr="00227E13" w:rsidRDefault="002708FB" w:rsidP="002708FB">
      <w:pPr>
        <w:spacing w:before="120"/>
        <w:jc w:val="center"/>
        <w:rPr>
          <w:b/>
          <w:sz w:val="28"/>
        </w:rPr>
      </w:pPr>
      <w:r w:rsidRPr="00227E13">
        <w:rPr>
          <w:b/>
          <w:sz w:val="28"/>
        </w:rPr>
        <w:t>Список литературы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Айсберг Е. Радио и телевидение?… это очень просто – М.: Энергия</w:t>
      </w:r>
      <w:r>
        <w:t xml:space="preserve">, </w:t>
      </w:r>
      <w:r w:rsidRPr="002625B3">
        <w:t>1975.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Богданович Б.М. Радиоприемные устройства – Минск: Высшая школа</w:t>
      </w:r>
      <w:r>
        <w:t xml:space="preserve">, </w:t>
      </w:r>
      <w:r w:rsidRPr="002625B3">
        <w:t>1991</w:t>
      </w:r>
      <w:r>
        <w:t xml:space="preserve">, 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Болдин В.А.</w:t>
      </w:r>
      <w:r>
        <w:t xml:space="preserve">, </w:t>
      </w:r>
      <w:r w:rsidRPr="002625B3">
        <w:t>Горгонов Г.И. и др. Радиоэлектронное оборудование – М.: Воениздат</w:t>
      </w:r>
      <w:r>
        <w:t xml:space="preserve">, </w:t>
      </w:r>
      <w:r w:rsidRPr="002625B3">
        <w:t>1990.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Жеребцов И. П. Радиотехника – М.: Связь</w:t>
      </w:r>
      <w:r>
        <w:t xml:space="preserve">, </w:t>
      </w:r>
      <w:r w:rsidRPr="002625B3">
        <w:t>1965.</w:t>
      </w:r>
    </w:p>
    <w:p w:rsidR="002708FB" w:rsidRPr="002625B3" w:rsidRDefault="002708FB" w:rsidP="002708FB">
      <w:pPr>
        <w:spacing w:before="120"/>
        <w:ind w:firstLine="567"/>
        <w:jc w:val="both"/>
      </w:pPr>
      <w:r w:rsidRPr="002625B3">
        <w:t>Каплун В.А.</w:t>
      </w:r>
      <w:r>
        <w:t xml:space="preserve">, </w:t>
      </w:r>
      <w:r w:rsidRPr="002625B3">
        <w:t>Браммер Ю.А. и др. Радиотехнические устройства и элементы радиосистем – ФГУП «Издательсво «Высшая школа»</w:t>
      </w:r>
      <w:r>
        <w:t xml:space="preserve">, </w:t>
      </w:r>
      <w:r w:rsidRPr="002625B3">
        <w:t>2002.</w:t>
      </w:r>
    </w:p>
    <w:p w:rsidR="002708FB" w:rsidRDefault="002708FB" w:rsidP="002708FB">
      <w:pPr>
        <w:spacing w:before="120"/>
        <w:ind w:firstLine="567"/>
        <w:jc w:val="both"/>
      </w:pPr>
      <w:r w:rsidRPr="002625B3">
        <w:t>Семенов К. А. Радиоприемные и усилительные устройства – М.: Советское радио</w:t>
      </w:r>
      <w:r>
        <w:t xml:space="preserve">, </w:t>
      </w:r>
      <w:r w:rsidRPr="002625B3">
        <w:t>1965.</w:t>
      </w:r>
    </w:p>
    <w:p w:rsidR="00811DD4" w:rsidRDefault="00811DD4">
      <w:bookmarkStart w:id="5" w:name="_GoBack"/>
      <w:bookmarkEnd w:id="5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8FB"/>
    <w:rsid w:val="00046C14"/>
    <w:rsid w:val="001A35F6"/>
    <w:rsid w:val="00227E13"/>
    <w:rsid w:val="002625B3"/>
    <w:rsid w:val="002708FB"/>
    <w:rsid w:val="004179A0"/>
    <w:rsid w:val="004E6C4E"/>
    <w:rsid w:val="005F0851"/>
    <w:rsid w:val="00811DD4"/>
    <w:rsid w:val="00867636"/>
    <w:rsid w:val="00B1550D"/>
    <w:rsid w:val="00C01C70"/>
    <w:rsid w:val="00F81DF0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028E084D-1440-4ADB-B9FA-B48ECD22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FB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2708FB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2708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png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emf"/><Relationship Id="rId4" Type="http://schemas.openxmlformats.org/officeDocument/2006/relationships/image" Target="media/image1.emf"/><Relationship Id="rId9" Type="http://schemas.openxmlformats.org/officeDocument/2006/relationships/image" Target="media/image6.wmf"/><Relationship Id="rId14" Type="http://schemas.openxmlformats.org/officeDocument/2006/relationships/image" Target="media/image11.png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Радиостанции дальней связи</vt:lpstr>
    </vt:vector>
  </TitlesOfParts>
  <Company>Home</Company>
  <LinksUpToDate>false</LinksUpToDate>
  <CharactersWithSpaces>17091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Радиостанции дальней связи</dc:title>
  <dc:subject/>
  <dc:creator>User</dc:creator>
  <cp:keywords/>
  <dc:description/>
  <cp:lastModifiedBy>admin</cp:lastModifiedBy>
  <cp:revision>2</cp:revision>
  <dcterms:created xsi:type="dcterms:W3CDTF">2014-03-28T16:47:00Z</dcterms:created>
  <dcterms:modified xsi:type="dcterms:W3CDTF">2014-03-28T16:47:00Z</dcterms:modified>
</cp:coreProperties>
</file>