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8"/>
        </w:rPr>
      </w:pPr>
    </w:p>
    <w:p w:rsidR="004F23CB" w:rsidRP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ТЕМА</w:t>
      </w: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center"/>
        <w:rPr>
          <w:rFonts w:cs="Arial"/>
          <w:color w:val="auto"/>
          <w:sz w:val="28"/>
          <w:szCs w:val="28"/>
        </w:rPr>
      </w:pP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center"/>
        <w:rPr>
          <w:rFonts w:cs="Arial"/>
          <w:color w:val="auto"/>
          <w:sz w:val="28"/>
          <w:szCs w:val="28"/>
        </w:rPr>
      </w:pPr>
      <w:r w:rsidRPr="004F23CB">
        <w:rPr>
          <w:rFonts w:cs="Arial"/>
          <w:color w:val="auto"/>
          <w:sz w:val="28"/>
          <w:szCs w:val="28"/>
        </w:rPr>
        <w:t>РАННЕВЕСЕННЕЕ БОРОНОВАНИЕ</w:t>
      </w: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br w:type="page"/>
        <w:t>ВВЕДЕНИЕ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Ранневесеннее боронование является одной из технологических операций, входящей практически во все технологические процессы по выращиванию сельскохозяйственных культур.</w:t>
      </w: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После схода снежного покрова на почве образуется почвенная корка, которая работает как насос, подводя влагу из более низких почвенных горизонтов к поверхности. Влага, оказавшаяся на поверхности, быстро испаряется солнечными лучами и ветром, за один солнечный день может испариться до 100 литров воды с 1 квадратного метра поля.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Для предотвращения этого необходимо разрушить капилляры, по которым вода поднимается. С наступлением теплой погоды вредители и болезни активизируются, начинают расти и размножаться.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Сорная растительность также начинает усиленно расти и развиваться. Таяние снежного покрова часто вызывает появление ручьев, которые образуют бороздки и наносы.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Для борьбы с этими явлениями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и проводится технологическая операция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- ранневесеннее боронование. Кроме того небольшой болевой шок заставляет организм усилить защитные функции.</w:t>
      </w: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br w:type="page"/>
      </w:r>
      <w:r w:rsidR="000C0854" w:rsidRPr="004F23CB">
        <w:rPr>
          <w:rFonts w:cs="Arial"/>
          <w:color w:val="auto"/>
          <w:sz w:val="28"/>
          <w:szCs w:val="24"/>
        </w:rPr>
        <w:t>ЦЕЛЬ ОПЕРАЦИИ</w:t>
      </w: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Ранневесеннее боронование проводится с несколькими целями: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3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Разрушение почвенной корки.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3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Рыхление верхнего слоя почвы.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3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Уничтожение сорняков.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3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Уничтожение вредных организмов.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3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Активизация роста озимых.</w:t>
      </w: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РАЗРУШЕНИЕ ПОЧВЕННОЙ КОРКИ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Почвенная корка состоит из слипшихся мелких комков почвы, между этими комочками много пустот, которые образуют густую цепь капилляров. Вода поднимается по этим капиллярам 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испаряется, а снизу подходит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следующая порция влаги. Процесс идет непрерывно, и таким образом с одного квадратного метра в солнечный день испаряется до ста литров воды. Разрушение почвенной корки предотвращает испарение и операцию ранневесеннее боронование называют - задержка влаги.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РЫХЛЕНИЕ ВЕРХНЕГО СЛОЯ ПОЧВЫ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Плотный верхний слой почвы ухудшает поступление воды, воздуха и тепла к подземным частям растений, что приводит к ухудшению роста и развития, или даже к гибели. При рыхлении верхнего слоя улучшается подвод воздуха и воды к подземным частям растений.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УНИЧТОЖЕНИЕ СОРНЯКОВ.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Бороны проходя по полю, вырывают сорняки. Сорняков на поле остаётся меньше, а значит, питательных веществ и солнечного света культурным растениям достанется больше. Кроме того сорняки являются разносчиками болезней, домом для вредителей и ухудшают качество продукции.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УНИЧТОЖЕНИЕ ВРЕДНЫХ ОРГАНИЗМОВ</w:t>
      </w:r>
    </w:p>
    <w:p w:rsidR="004F23CB" w:rsidRDefault="004F23CB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 результате рыхления разрушаются сами вредители и их жилища. Вредители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после прохода борон часто оказываются на поверхности и становятся легкой добычей для птиц. Кроме того рыхлая почва облегчает деятельность хищных насекомых, которые питаются вредителями.</w:t>
      </w:r>
    </w:p>
    <w:p w:rsid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АКТИВИЗАЦИЯ РОСТА.</w:t>
      </w:r>
    </w:p>
    <w:p w:rsidR="004F23CB" w:rsidRDefault="004F23CB" w:rsidP="004F23CB">
      <w:pPr>
        <w:widowControl w:val="0"/>
        <w:tabs>
          <w:tab w:val="left" w:pos="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Из опыта человечества известно, что небольшое болевое воздействие на живой организм усиливает его защитные функции, вызывает более быстрый рост и развитие. Так еще в древнем Китае крестьяне ходили по полю и «секли» молодые ростки риса.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В данном случае зубья бороны наносят молодым растениям небольшие травмы, заставляя их, лучше расти и развиваться.</w:t>
      </w:r>
    </w:p>
    <w:p w:rsidR="000C0854" w:rsidRPr="004F23CB" w:rsidRDefault="000C0854" w:rsidP="004F23CB">
      <w:pPr>
        <w:widowControl w:val="0"/>
        <w:tabs>
          <w:tab w:val="left" w:pos="15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АГРОТЕХНИЧЕСКИЕ ТРЕБОВАНИЯ</w:t>
      </w:r>
    </w:p>
    <w:p w:rsidR="004F23CB" w:rsidRDefault="004F23CB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Боронование проводят после схода снежного покрова и просыхания почвы, так чтобы не происходило буксования машин-тракторного агрегата.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 xml:space="preserve">МТА состоит из гусеничного трактора, сцепки и комплекта борон. Гусеничный трактор выбирается из расчета: 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2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Высокая проходимость, благодаря которой операцию проводят раньше по срокам.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2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Меньшая пробуксовка движителей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2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Меньшее давление на почву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За счет меньшего давления гусениц трактора на почву проходимость гусеничного трактора больше и приступить к выполнению операции можно раньше, кроме того гусеничный трактор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гораздо меньше травмирует растения. Пробуксовка колесных движителей также сильно травмирует и уничтожает посевы.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Боронуют посевы поперек рядков, если производить боронование вдоль рядков, то зуб, бороны, попавший на рядок растений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 xml:space="preserve">может его уничтожить. 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 xml:space="preserve">Производят боронование озимых в один след, то есть за сцепкой идет один ряд борон. 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Бороны выбирают средние, например БЗСС-1.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Для боронования по тяжелым почвам возможно боронование в два следа или применение тяжелых зубовых борон,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например БЗТС-1.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Изреженные озимые,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меньше 300 растений на квадратный метр, не боронуют.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Скорость движения МТА выбирают в пределах 4 – 6 км/ч.</w:t>
      </w: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Default="000C0854" w:rsidP="004F23CB">
      <w:pPr>
        <w:pStyle w:val="af5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СОСТАВЛЕНИЕ МАШИНОТРАКТОРНОГО АГРЕГАТА</w:t>
      </w:r>
    </w:p>
    <w:p w:rsidR="004F23CB" w:rsidRPr="004F23CB" w:rsidRDefault="004F23CB" w:rsidP="004F23CB">
      <w:pPr>
        <w:pStyle w:val="af5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pStyle w:val="af3"/>
        <w:widowControl w:val="0"/>
        <w:numPr>
          <w:ilvl w:val="0"/>
          <w:numId w:val="4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Подготовка сцепа борон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4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Подготовка трактора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4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Составление МТА</w:t>
      </w:r>
    </w:p>
    <w:p w:rsid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Default="000C0854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ПОДГОТОВКА</w:t>
      </w:r>
      <w:r w:rsidR="004F23CB">
        <w:rPr>
          <w:rFonts w:cs="Arial"/>
          <w:color w:val="auto"/>
          <w:sz w:val="28"/>
          <w:szCs w:val="24"/>
        </w:rPr>
        <w:t xml:space="preserve"> СЦЕПА БОРОН И ТРАКТОРА</w:t>
      </w:r>
    </w:p>
    <w:p w:rsidR="004F23CB" w:rsidRP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pStyle w:val="af3"/>
        <w:widowControl w:val="0"/>
        <w:numPr>
          <w:ilvl w:val="0"/>
          <w:numId w:val="5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Выбрать тип борон в зависимости от типа почвы и состояния посевов.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5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 предполагаемому трактору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(по классу тяги) подобрать сцепку, ваги, промежуточные сцепки на 3-4 бороны и определиться с количеством борон.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5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Проверить комплектность и исправность борон, сцепки, ваг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и транспортировать их на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поле. Бороны проверяют по следующим параметрам: толщина заостренной части не более 2мм, разница по длине зубьев не более 1 см, отклонение от вертикали не более 5мм, скосы зубьев направлены в одну сторону, планки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прямолинейны.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5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Укомплектовать трактор прицепным устройством, установить на навесную систему трактора скобу с серьгой.</w:t>
      </w:r>
    </w:p>
    <w:p w:rsid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СОСТАВЛЕНИЕ МТА</w:t>
      </w:r>
    </w:p>
    <w:p w:rsidR="004F23CB" w:rsidRP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pStyle w:val="af3"/>
        <w:widowControl w:val="0"/>
        <w:numPr>
          <w:ilvl w:val="0"/>
          <w:numId w:val="7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Расставить ваги, так чтобы трактор со сцепкой мог к ним подъехать и присоединить ваги с боронами к сцепке.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7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Соединить бороны к вагам.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7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Перевести сцепку в рабочее положение. Для этого выставить брус в рабочее положение, установить растяжки.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7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 xml:space="preserve"> Соединить сцепку с трактором.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7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Подъехать сцепкой к вагам и соединить ваги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со сцепкой.</w:t>
      </w: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ПОДГОТОВКА ПОЛЯ</w:t>
      </w:r>
    </w:p>
    <w:p w:rsidR="000C0854" w:rsidRPr="004F23CB" w:rsidRDefault="000C0854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0C0854" w:rsidP="004F23CB">
      <w:pPr>
        <w:pStyle w:val="af3"/>
        <w:widowControl w:val="0"/>
        <w:numPr>
          <w:ilvl w:val="0"/>
          <w:numId w:val="6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Сделать подъезды и выезды с поля. Ширина проездов должна быть больше ширины захвата сцепа борон, чтобы при переезде на другое поле не разбирать сцеп.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6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Выбор способа движения МТА. При бороновании озимых применить гоновый, челночный способ движения, поперек направления рядков.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6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Обозначить опасные места вешками (столбы, переувлажненные низины).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6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Отбить поворотные полосы и линию первого прохода. Ширину поворотной полосы выбираем примерно две ширины захвата сцепки при челночном способе движения МТА.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Линию первого прохода отбить, отступив от края поля половину ширины захвата МТА.</w:t>
      </w:r>
    </w:p>
    <w:p w:rsidR="000C0854" w:rsidRPr="004F23CB" w:rsidRDefault="000C0854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t>РАБОТА</w:t>
      </w:r>
    </w:p>
    <w:p w:rsidR="004F23CB" w:rsidRDefault="004F23CB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При первом проходе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производят настрой</w:t>
      </w:r>
      <w:r w:rsidR="004F23CB">
        <w:rPr>
          <w:rFonts w:cs="Arial"/>
          <w:color w:val="auto"/>
          <w:sz w:val="28"/>
          <w:szCs w:val="24"/>
        </w:rPr>
        <w:t xml:space="preserve">ку МТА. Для этого проехать 30 </w:t>
      </w:r>
      <w:r w:rsidRPr="004F23CB">
        <w:rPr>
          <w:rFonts w:cs="Arial"/>
          <w:color w:val="auto"/>
          <w:sz w:val="28"/>
          <w:szCs w:val="24"/>
        </w:rPr>
        <w:t>50 метров остановить трактор и проверить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глубину обработки, отсутствие огрехов, количество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уничтоженных растений.</w:t>
      </w: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Глубина обработки не соответствует заданной, если бороны установлены скосами зубьев не в ту сторону – переставить борону. Или если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передний край борон приподнят. В этом случае увеличивают длину прицепного устройства сцепки и ваги. Если приподнят передний край одной из борон, то увеличивают длину цепей, соединяющих вагу с бороной.</w:t>
      </w: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Огрехи устраняют перестановкой ваг по брусу сцепки. Если отдельные бороны на ваге перекошены, изменяют длину цепи соединяющей борону и вагу.</w:t>
      </w:r>
      <w:r w:rsidR="004F23CB">
        <w:rPr>
          <w:rFonts w:cs="Arial"/>
          <w:color w:val="auto"/>
          <w:sz w:val="28"/>
          <w:szCs w:val="24"/>
        </w:rPr>
        <w:t xml:space="preserve"> </w:t>
      </w: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 xml:space="preserve">Количество уничтоженных культурных растений не должно превышать 3 %. </w:t>
      </w: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После устранения недостатков проехать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еще раз 30 – 50 метров и повторить проверку МТА. Если недостатков не обнаружено, начать основную работу. Двигаться челночным способом, развороты выполнять на разворотной полосе. Двигаться с перекрытием 20 -40 см. После обработки загона обработать поворотные полосы.</w:t>
      </w:r>
    </w:p>
    <w:p w:rsidR="000C0854" w:rsidRPr="004F23CB" w:rsidRDefault="000C0854" w:rsidP="004F23CB">
      <w:pPr>
        <w:pStyle w:val="af3"/>
        <w:widowControl w:val="0"/>
        <w:tabs>
          <w:tab w:val="left" w:pos="-15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К</w:t>
      </w:r>
      <w:r>
        <w:rPr>
          <w:rFonts w:cs="Arial"/>
          <w:color w:val="auto"/>
          <w:sz w:val="28"/>
          <w:szCs w:val="24"/>
        </w:rPr>
        <w:t>ОНТРОЛЬ И ОЦЕНКА КАЧЕСТВА</w:t>
      </w:r>
    </w:p>
    <w:p w:rsidR="004F23CB" w:rsidRDefault="004F23CB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Контроль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работы выполняется в два этапа.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 xml:space="preserve">Первый этап - производится постоянно во время работы. Его осуществляет тракторист и проверяет работу бригадир. </w:t>
      </w:r>
    </w:p>
    <w:p w:rsidR="000C0854" w:rsidRPr="004F23CB" w:rsidRDefault="000C0854" w:rsidP="004F23CB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Тракторист при каждом проходе смотрит, как идет сцепка за трактором и осматривает предыдущий проход.</w:t>
      </w:r>
      <w:r w:rsidR="004F23CB">
        <w:rPr>
          <w:rFonts w:cs="Arial"/>
          <w:color w:val="auto"/>
          <w:sz w:val="28"/>
          <w:szCs w:val="24"/>
        </w:rPr>
        <w:t xml:space="preserve"> </w:t>
      </w: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Контролируются следующие параметры: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Отсутствие огрехов.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Не допускаются большие перекрытия (более 0,5 метра).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Не превышается установленная скорость.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Прямолинейность движения.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Направление движения.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8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Отсутствие наволоков.</w:t>
      </w:r>
    </w:p>
    <w:p w:rsidR="000C0854" w:rsidRPr="004F23CB" w:rsidRDefault="000C0854" w:rsidP="004F23CB">
      <w:pPr>
        <w:pStyle w:val="af3"/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Второй этап – производит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агроном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и бригадир.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9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Глубина обработки, проверяется в 10 – 12 местах по диагонали поля.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9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Выровненность поверхности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высота гребней и глубина впадин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- визуально.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9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Наличие комков размером более 4 см. проверяется рамкой со стороной квадрата 1 метр или 0,5 метра. Накладывается рамка в 10 – 12 местах по диагонали поля и подсчитывается число комков.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9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Отсутствие наволоков.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9"/>
        </w:numPr>
        <w:tabs>
          <w:tab w:val="left" w:pos="870"/>
        </w:tabs>
        <w:spacing w:before="0" w:after="0" w:line="360" w:lineRule="auto"/>
        <w:ind w:left="0" w:firstLine="709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Качество обработки поворотных полос.</w:t>
      </w:r>
    </w:p>
    <w:p w:rsidR="000C0854" w:rsidRPr="004F23CB" w:rsidRDefault="000C0854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color w:val="auto"/>
          <w:sz w:val="28"/>
        </w:rPr>
      </w:pPr>
    </w:p>
    <w:p w:rsidR="000C0854" w:rsidRPr="004F23CB" w:rsidRDefault="004F23CB" w:rsidP="004F23CB">
      <w:pPr>
        <w:widowControl w:val="0"/>
        <w:tabs>
          <w:tab w:val="left" w:pos="870"/>
        </w:tabs>
        <w:spacing w:before="0" w:after="0" w:line="360" w:lineRule="auto"/>
        <w:ind w:firstLine="709"/>
        <w:jc w:val="both"/>
        <w:rPr>
          <w:rFonts w:cs="Arial"/>
          <w:color w:val="auto"/>
          <w:sz w:val="28"/>
          <w:szCs w:val="24"/>
        </w:rPr>
      </w:pPr>
      <w:r>
        <w:rPr>
          <w:rFonts w:cs="Arial"/>
          <w:color w:val="auto"/>
          <w:sz w:val="28"/>
          <w:szCs w:val="24"/>
        </w:rPr>
        <w:br w:type="page"/>
      </w:r>
      <w:r w:rsidR="000C0854" w:rsidRPr="004F23CB">
        <w:rPr>
          <w:rFonts w:cs="Arial"/>
          <w:color w:val="auto"/>
          <w:sz w:val="28"/>
          <w:szCs w:val="24"/>
        </w:rPr>
        <w:t>СПИСОК ИСПОЛЬЗОВАННЫХ ИСТОЧНИКОВ И ЛИТЕРАТУРЫ.</w:t>
      </w:r>
    </w:p>
    <w:p w:rsidR="004F23CB" w:rsidRDefault="004F23CB" w:rsidP="004F23CB">
      <w:pPr>
        <w:pStyle w:val="af3"/>
        <w:widowControl w:val="0"/>
        <w:tabs>
          <w:tab w:val="left" w:pos="870"/>
        </w:tabs>
        <w:spacing w:before="0" w:after="0" w:line="360" w:lineRule="auto"/>
        <w:ind w:left="709"/>
        <w:jc w:val="both"/>
        <w:rPr>
          <w:rFonts w:cs="Arial"/>
          <w:color w:val="auto"/>
          <w:sz w:val="28"/>
          <w:szCs w:val="24"/>
        </w:rPr>
      </w:pPr>
    </w:p>
    <w:p w:rsidR="000C0854" w:rsidRPr="004F23CB" w:rsidRDefault="000C0854" w:rsidP="004F23CB">
      <w:pPr>
        <w:pStyle w:val="af3"/>
        <w:widowControl w:val="0"/>
        <w:numPr>
          <w:ilvl w:val="0"/>
          <w:numId w:val="11"/>
        </w:numPr>
        <w:tabs>
          <w:tab w:val="clear" w:pos="709"/>
          <w:tab w:val="left" w:pos="426"/>
          <w:tab w:val="left" w:pos="870"/>
        </w:tabs>
        <w:spacing w:before="0" w:after="0" w:line="360" w:lineRule="auto"/>
        <w:ind w:left="0" w:firstLine="0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Верещагин Н.И. Организация и технология механизированных работ в растениеводстве. – 2 изд., стер. – Москва: Издательский центр «Академия», 2003. – 416 стр.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11"/>
        </w:numPr>
        <w:tabs>
          <w:tab w:val="clear" w:pos="709"/>
          <w:tab w:val="left" w:pos="426"/>
          <w:tab w:val="left" w:pos="870"/>
        </w:tabs>
        <w:spacing w:before="0" w:after="0" w:line="360" w:lineRule="auto"/>
        <w:ind w:left="0" w:firstLine="0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Посыпанов Г.С., Долгодворов В.Е., Коренев Г.В.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и др.; Под ред. Г.С. Посыпанова.</w:t>
      </w:r>
      <w:r w:rsidR="004F23CB">
        <w:rPr>
          <w:rFonts w:cs="Arial"/>
          <w:color w:val="auto"/>
          <w:sz w:val="28"/>
          <w:szCs w:val="24"/>
        </w:rPr>
        <w:t xml:space="preserve"> </w:t>
      </w:r>
      <w:r w:rsidRPr="004F23CB">
        <w:rPr>
          <w:rFonts w:cs="Arial"/>
          <w:color w:val="auto"/>
          <w:sz w:val="28"/>
          <w:szCs w:val="24"/>
        </w:rPr>
        <w:t>Растениеводство – Москва: Колос, 1997.– 238 с.: ил.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11"/>
        </w:numPr>
        <w:tabs>
          <w:tab w:val="clear" w:pos="709"/>
          <w:tab w:val="left" w:pos="426"/>
          <w:tab w:val="left" w:pos="870"/>
        </w:tabs>
        <w:spacing w:before="0" w:after="0" w:line="360" w:lineRule="auto"/>
        <w:ind w:left="0" w:firstLine="0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Третьяков Н.Н. Основы агрономии. – Москва: Издательский центр «Академия», 1998. – 360 стр.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11"/>
        </w:numPr>
        <w:tabs>
          <w:tab w:val="clear" w:pos="709"/>
          <w:tab w:val="left" w:pos="426"/>
          <w:tab w:val="left" w:pos="870"/>
        </w:tabs>
        <w:spacing w:before="0" w:after="0" w:line="360" w:lineRule="auto"/>
        <w:ind w:left="0" w:firstLine="0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Устинов А.Н. Сельскохозяйственные машины. – Москва: Издательский центр «Академия», 2000. – 264 стр.</w:t>
      </w:r>
    </w:p>
    <w:p w:rsidR="000C0854" w:rsidRPr="004F23CB" w:rsidRDefault="000C0854" w:rsidP="004F23CB">
      <w:pPr>
        <w:pStyle w:val="af3"/>
        <w:widowControl w:val="0"/>
        <w:numPr>
          <w:ilvl w:val="0"/>
          <w:numId w:val="11"/>
        </w:numPr>
        <w:tabs>
          <w:tab w:val="clear" w:pos="709"/>
          <w:tab w:val="left" w:pos="426"/>
          <w:tab w:val="left" w:pos="870"/>
        </w:tabs>
        <w:spacing w:before="0" w:after="0" w:line="360" w:lineRule="auto"/>
        <w:ind w:left="0" w:firstLine="0"/>
        <w:jc w:val="both"/>
        <w:rPr>
          <w:rFonts w:cs="Arial"/>
          <w:color w:val="auto"/>
          <w:sz w:val="28"/>
          <w:szCs w:val="24"/>
        </w:rPr>
      </w:pPr>
      <w:r w:rsidRPr="004F23CB">
        <w:rPr>
          <w:rFonts w:cs="Arial"/>
          <w:color w:val="auto"/>
          <w:sz w:val="28"/>
          <w:szCs w:val="24"/>
        </w:rPr>
        <w:t>Ягодин Б.А., Жуков Ю.П., Кобзаренко В.И. Агрохимия / Под ред. Б.А. Ягодина. – Москва: Мир, 2003.</w:t>
      </w:r>
      <w:bookmarkStart w:id="0" w:name="_GoBack"/>
      <w:bookmarkEnd w:id="0"/>
    </w:p>
    <w:sectPr w:rsidR="000C0854" w:rsidRPr="004F23CB" w:rsidSect="004F23CB">
      <w:pgSz w:w="11906" w:h="16838" w:code="9"/>
      <w:pgMar w:top="1134" w:right="851" w:bottom="1134" w:left="1701" w:header="720" w:footer="720" w:gutter="0"/>
      <w:cols w:space="72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6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8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96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6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8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965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3CB"/>
    <w:rsid w:val="000C0854"/>
    <w:rsid w:val="00476AEC"/>
    <w:rsid w:val="004F23CB"/>
    <w:rsid w:val="0070099E"/>
    <w:rsid w:val="00B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3ADAFC-8A55-463C-8980-F0435AED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9"/>
      </w:tabs>
      <w:suppressAutoHyphens/>
      <w:spacing w:before="200" w:after="200" w:line="276" w:lineRule="atLeast"/>
    </w:pPr>
    <w:rPr>
      <w:rFonts w:eastAsia="Arial Unicode MS"/>
      <w:color w:val="00000A"/>
      <w:kern w:val="1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pBdr>
        <w:top w:val="single" w:sz="20" w:space="0" w:color="808080"/>
        <w:left w:val="single" w:sz="20" w:space="0" w:color="808080"/>
        <w:bottom w:val="single" w:sz="20" w:space="0" w:color="808080"/>
        <w:right w:val="single" w:sz="20" w:space="0" w:color="808080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8"/>
    </w:rPr>
  </w:style>
  <w:style w:type="paragraph" w:styleId="2">
    <w:name w:val="heading 2"/>
    <w:basedOn w:val="a"/>
    <w:next w:val="a0"/>
    <w:link w:val="20"/>
    <w:uiPriority w:val="9"/>
    <w:qFormat/>
    <w:pPr>
      <w:numPr>
        <w:ilvl w:val="1"/>
        <w:numId w:val="1"/>
      </w:numPr>
      <w:pBdr>
        <w:top w:val="single" w:sz="20" w:space="0" w:color="FFFFFF"/>
        <w:left w:val="single" w:sz="20" w:space="0" w:color="FFFFFF"/>
        <w:bottom w:val="single" w:sz="20" w:space="0" w:color="FFFFFF"/>
        <w:right w:val="single" w:sz="20" w:space="0" w:color="FFFFFF"/>
      </w:pBdr>
      <w:shd w:val="clear" w:color="auto" w:fill="DBE5F1"/>
      <w:spacing w:after="0"/>
      <w:outlineLvl w:val="1"/>
    </w:pPr>
    <w:rPr>
      <w:b/>
      <w:bCs/>
      <w:i/>
      <w:iCs/>
      <w:caps/>
      <w:spacing w:val="15"/>
      <w:sz w:val="22"/>
      <w:szCs w:val="22"/>
    </w:rPr>
  </w:style>
  <w:style w:type="paragraph" w:styleId="3">
    <w:name w:val="heading 3"/>
    <w:basedOn w:val="a"/>
    <w:next w:val="a0"/>
    <w:link w:val="30"/>
    <w:uiPriority w:val="9"/>
    <w:qFormat/>
    <w:pPr>
      <w:numPr>
        <w:ilvl w:val="2"/>
        <w:numId w:val="1"/>
      </w:numPr>
      <w:pBdr>
        <w:top w:val="single" w:sz="4" w:space="0" w:color="808080"/>
        <w:left w:val="single" w:sz="4" w:space="0" w:color="808080"/>
      </w:pBdr>
      <w:spacing w:before="300" w:after="0"/>
      <w:outlineLvl w:val="2"/>
    </w:pPr>
    <w:rPr>
      <w:b/>
      <w:bCs/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0"/>
    <w:link w:val="40"/>
    <w:uiPriority w:val="9"/>
    <w:qFormat/>
    <w:pPr>
      <w:numPr>
        <w:ilvl w:val="3"/>
        <w:numId w:val="1"/>
      </w:numPr>
      <w:pBdr>
        <w:top w:val="dotted" w:sz="4" w:space="0" w:color="808080"/>
        <w:left w:val="dotted" w:sz="4" w:space="0" w:color="808080"/>
      </w:pBdr>
      <w:spacing w:before="300" w:after="0"/>
      <w:outlineLvl w:val="3"/>
    </w:pPr>
    <w:rPr>
      <w:b/>
      <w:bCs/>
      <w:i/>
      <w:iCs/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0"/>
    <w:link w:val="50"/>
    <w:uiPriority w:val="9"/>
    <w:qFormat/>
    <w:pPr>
      <w:numPr>
        <w:ilvl w:val="4"/>
        <w:numId w:val="1"/>
      </w:numPr>
      <w:pBdr>
        <w:bottom w:val="single" w:sz="4" w:space="0" w:color="808080"/>
      </w:pBdr>
      <w:spacing w:before="300" w:after="0"/>
      <w:outlineLvl w:val="4"/>
    </w:pPr>
    <w:rPr>
      <w:b/>
      <w:bCs/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0"/>
    <w:link w:val="60"/>
    <w:uiPriority w:val="9"/>
    <w:qFormat/>
    <w:pPr>
      <w:numPr>
        <w:ilvl w:val="5"/>
        <w:numId w:val="1"/>
      </w:numPr>
      <w:pBdr>
        <w:bottom w:val="dotted" w:sz="4" w:space="0" w:color="808080"/>
      </w:pBdr>
      <w:spacing w:before="300" w:after="0"/>
      <w:outlineLvl w:val="5"/>
    </w:pPr>
    <w:rPr>
      <w:b/>
      <w:bCs/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0"/>
    <w:link w:val="70"/>
    <w:uiPriority w:val="9"/>
    <w:qFormat/>
    <w:pPr>
      <w:numPr>
        <w:ilvl w:val="6"/>
        <w:numId w:val="1"/>
      </w:numPr>
      <w:spacing w:before="300" w:after="0"/>
      <w:outlineLvl w:val="6"/>
    </w:pPr>
    <w:rPr>
      <w:b/>
      <w:bCs/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0"/>
    <w:link w:val="80"/>
    <w:uiPriority w:val="9"/>
    <w:qFormat/>
    <w:pPr>
      <w:numPr>
        <w:ilvl w:val="7"/>
        <w:numId w:val="1"/>
      </w:numPr>
      <w:spacing w:before="300" w:after="0"/>
      <w:outlineLvl w:val="7"/>
    </w:pPr>
    <w:rPr>
      <w:b/>
      <w:bCs/>
      <w:caps/>
      <w:spacing w:val="10"/>
      <w:sz w:val="18"/>
      <w:szCs w:val="18"/>
    </w:rPr>
  </w:style>
  <w:style w:type="paragraph" w:styleId="9">
    <w:name w:val="heading 9"/>
    <w:basedOn w:val="a"/>
    <w:next w:val="a0"/>
    <w:link w:val="90"/>
    <w:uiPriority w:val="9"/>
    <w:qFormat/>
    <w:pPr>
      <w:numPr>
        <w:ilvl w:val="8"/>
        <w:numId w:val="1"/>
      </w:numPr>
      <w:spacing w:before="300" w:after="0"/>
      <w:outlineLvl w:val="8"/>
    </w:pPr>
    <w:rPr>
      <w:b/>
      <w:bCs/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cs="Times New Roman"/>
    </w:rPr>
  </w:style>
  <w:style w:type="character" w:customStyle="1" w:styleId="20">
    <w:name w:val="Заголовок 2 Знак"/>
    <w:link w:val="2"/>
    <w:uiPriority w:val="9"/>
    <w:rPr>
      <w:rFonts w:cs="Times New Roman"/>
    </w:rPr>
  </w:style>
  <w:style w:type="character" w:customStyle="1" w:styleId="30">
    <w:name w:val="Заголовок 3 Знак"/>
    <w:link w:val="3"/>
    <w:uiPriority w:val="9"/>
    <w:rPr>
      <w:rFonts w:cs="Times New Roman"/>
    </w:rPr>
  </w:style>
  <w:style w:type="character" w:customStyle="1" w:styleId="40">
    <w:name w:val="Заголовок 4 Знак"/>
    <w:link w:val="4"/>
    <w:uiPriority w:val="9"/>
    <w:rPr>
      <w:rFonts w:cs="Times New Roman"/>
    </w:rPr>
  </w:style>
  <w:style w:type="character" w:customStyle="1" w:styleId="50">
    <w:name w:val="Заголовок 5 Знак"/>
    <w:link w:val="5"/>
    <w:uiPriority w:val="9"/>
    <w:rPr>
      <w:rFonts w:cs="Times New Roman"/>
    </w:rPr>
  </w:style>
  <w:style w:type="character" w:customStyle="1" w:styleId="60">
    <w:name w:val="Заголовок 6 Знак"/>
    <w:link w:val="6"/>
    <w:uiPriority w:val="9"/>
    <w:rPr>
      <w:rFonts w:cs="Times New Roman"/>
    </w:rPr>
  </w:style>
  <w:style w:type="character" w:customStyle="1" w:styleId="70">
    <w:name w:val="Заголовок 7 Знак"/>
    <w:link w:val="7"/>
    <w:uiPriority w:val="9"/>
    <w:rPr>
      <w:rFonts w:cs="Times New Roman"/>
    </w:rPr>
  </w:style>
  <w:style w:type="character" w:customStyle="1" w:styleId="80">
    <w:name w:val="Заголовок 8 Знак"/>
    <w:link w:val="8"/>
    <w:uiPriority w:val="9"/>
    <w:rPr>
      <w:rFonts w:cs="Times New Roman"/>
    </w:rPr>
  </w:style>
  <w:style w:type="character" w:customStyle="1" w:styleId="90">
    <w:name w:val="Заголовок 9 Знак"/>
    <w:link w:val="9"/>
    <w:uiPriority w:val="9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a4">
    <w:name w:val="Название Знак"/>
    <w:rPr>
      <w:rFonts w:cs="Times New Roman"/>
    </w:rPr>
  </w:style>
  <w:style w:type="character" w:customStyle="1" w:styleId="a5">
    <w:name w:val="Подзаголовок Знак"/>
    <w:rPr>
      <w:rFonts w:cs="Times New Roman"/>
    </w:rPr>
  </w:style>
  <w:style w:type="character" w:styleId="a6">
    <w:name w:val="Strong"/>
    <w:uiPriority w:val="22"/>
    <w:qFormat/>
    <w:rPr>
      <w:b/>
    </w:rPr>
  </w:style>
  <w:style w:type="character" w:styleId="a7">
    <w:name w:val="Emphasis"/>
    <w:uiPriority w:val="20"/>
    <w:qFormat/>
    <w:rPr>
      <w:i/>
      <w:caps/>
      <w:color w:val="243F60"/>
      <w:spacing w:val="5"/>
    </w:rPr>
  </w:style>
  <w:style w:type="character" w:customStyle="1" w:styleId="21">
    <w:name w:val="Цитата 2 Знак"/>
    <w:rPr>
      <w:rFonts w:cs="Times New Roman"/>
    </w:rPr>
  </w:style>
  <w:style w:type="character" w:customStyle="1" w:styleId="a8">
    <w:name w:val="Выделенная цитата Знак"/>
    <w:rPr>
      <w:rFonts w:cs="Times New Roman"/>
    </w:rPr>
  </w:style>
  <w:style w:type="character" w:styleId="a9">
    <w:name w:val="Subtle Emphasis"/>
    <w:uiPriority w:val="19"/>
  </w:style>
  <w:style w:type="character" w:styleId="aa">
    <w:name w:val="Intense Emphasis"/>
    <w:uiPriority w:val="21"/>
  </w:style>
  <w:style w:type="character" w:styleId="ab">
    <w:name w:val="Subtle Reference"/>
    <w:uiPriority w:val="31"/>
  </w:style>
  <w:style w:type="character" w:styleId="ac">
    <w:name w:val="Intense Reference"/>
    <w:uiPriority w:val="32"/>
  </w:style>
  <w:style w:type="character" w:styleId="ad">
    <w:name w:val="Book Title"/>
    <w:uiPriority w:val="33"/>
  </w:style>
  <w:style w:type="character" w:customStyle="1" w:styleId="ae">
    <w:name w:val="Без интервала Знак"/>
    <w:rPr>
      <w:rFonts w:cs="Times New Roman"/>
    </w:rPr>
  </w:style>
  <w:style w:type="character" w:styleId="af">
    <w:name w:val="Hyperlink"/>
    <w:uiPriority w:val="99"/>
    <w:rPr>
      <w:rFonts w:cs="Times New Roman"/>
      <w:color w:val="0000FF"/>
      <w:u w:val="single"/>
      <w:lang w:val="ru-RU" w:eastAsia="ru-RU"/>
    </w:rPr>
  </w:style>
  <w:style w:type="paragraph" w:customStyle="1" w:styleId="af0">
    <w:name w:val="Заголовок"/>
    <w:basedOn w:val="a"/>
    <w:next w:val="a0"/>
    <w:pPr>
      <w:keepNext/>
      <w:spacing w:before="720" w:after="120"/>
    </w:pPr>
    <w:rPr>
      <w:rFonts w:ascii="Arial" w:hAnsi="Arial" w:cs="Mangal"/>
      <w:caps/>
      <w:color w:val="4F81BD"/>
      <w:spacing w:val="10"/>
      <w:sz w:val="52"/>
      <w:szCs w:val="52"/>
    </w:rPr>
  </w:style>
  <w:style w:type="paragraph" w:styleId="a0">
    <w:name w:val="Body Text"/>
    <w:basedOn w:val="a"/>
    <w:link w:val="af1"/>
    <w:uiPriority w:val="99"/>
    <w:pPr>
      <w:spacing w:before="0" w:after="120"/>
    </w:pPr>
  </w:style>
  <w:style w:type="character" w:customStyle="1" w:styleId="af1">
    <w:name w:val="Основной текст Знак"/>
    <w:link w:val="a0"/>
    <w:uiPriority w:val="99"/>
    <w:semiHidden/>
    <w:rPr>
      <w:rFonts w:eastAsia="Arial Unicode MS"/>
      <w:color w:val="00000A"/>
      <w:kern w:val="1"/>
      <w:lang w:eastAsia="en-US"/>
    </w:rPr>
  </w:style>
  <w:style w:type="paragraph" w:styleId="af2">
    <w:name w:val="List"/>
    <w:basedOn w:val="a0"/>
    <w:uiPriority w:val="9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f3">
    <w:name w:val="List Paragraph"/>
    <w:basedOn w:val="a"/>
    <w:uiPriority w:val="34"/>
  </w:style>
  <w:style w:type="paragraph" w:styleId="af4">
    <w:name w:val="Subtitle"/>
    <w:basedOn w:val="a"/>
    <w:next w:val="a0"/>
    <w:link w:val="13"/>
    <w:uiPriority w:val="11"/>
    <w:qFormat/>
    <w:pPr>
      <w:spacing w:after="1000" w:line="100" w:lineRule="atLeast"/>
      <w:jc w:val="center"/>
    </w:pPr>
    <w:rPr>
      <w:i/>
      <w:iCs/>
      <w:caps/>
      <w:color w:val="595959"/>
      <w:spacing w:val="10"/>
      <w:sz w:val="24"/>
      <w:szCs w:val="24"/>
    </w:rPr>
  </w:style>
  <w:style w:type="character" w:customStyle="1" w:styleId="13">
    <w:name w:val="Подзаголовок Знак1"/>
    <w:link w:val="af4"/>
    <w:uiPriority w:val="11"/>
    <w:rPr>
      <w:rFonts w:ascii="Cambria" w:eastAsia="Times New Roman" w:hAnsi="Cambria" w:cs="Times New Roman"/>
      <w:color w:val="00000A"/>
      <w:kern w:val="1"/>
      <w:sz w:val="24"/>
      <w:szCs w:val="24"/>
      <w:lang w:eastAsia="en-US"/>
    </w:rPr>
  </w:style>
  <w:style w:type="paragraph" w:styleId="af5">
    <w:name w:val="No Spacing"/>
    <w:basedOn w:val="a"/>
    <w:uiPriority w:val="1"/>
  </w:style>
  <w:style w:type="paragraph" w:styleId="22">
    <w:name w:val="Quote"/>
    <w:basedOn w:val="a"/>
    <w:link w:val="210"/>
    <w:uiPriority w:val="29"/>
  </w:style>
  <w:style w:type="character" w:customStyle="1" w:styleId="210">
    <w:name w:val="Цитата 2 Знак1"/>
    <w:link w:val="22"/>
    <w:uiPriority w:val="29"/>
    <w:rPr>
      <w:rFonts w:eastAsia="Arial Unicode MS"/>
      <w:i/>
      <w:iCs/>
      <w:color w:val="000000"/>
      <w:kern w:val="1"/>
      <w:lang w:eastAsia="en-US"/>
    </w:rPr>
  </w:style>
  <w:style w:type="paragraph" w:styleId="af6">
    <w:name w:val="Intense Quote"/>
    <w:basedOn w:val="a"/>
    <w:link w:val="14"/>
    <w:uiPriority w:val="30"/>
  </w:style>
  <w:style w:type="character" w:customStyle="1" w:styleId="14">
    <w:name w:val="Выделенная цитата Знак1"/>
    <w:link w:val="af6"/>
    <w:uiPriority w:val="30"/>
    <w:rPr>
      <w:rFonts w:eastAsia="Arial Unicode MS"/>
      <w:b/>
      <w:bCs/>
      <w:i/>
      <w:iCs/>
      <w:color w:val="4F81BD"/>
      <w:kern w:val="1"/>
      <w:lang w:eastAsia="en-US"/>
    </w:rPr>
  </w:style>
  <w:style w:type="paragraph" w:styleId="af7">
    <w:name w:val="TOC Heading"/>
    <w:basedOn w:val="1"/>
    <w:uiPriority w:val="39"/>
    <w:qFormat/>
    <w:pPr>
      <w:numPr>
        <w:numId w:val="0"/>
      </w:numPr>
      <w:suppressLineNumbers/>
    </w:pPr>
    <w:rPr>
      <w:sz w:val="32"/>
      <w:szCs w:val="32"/>
    </w:rPr>
  </w:style>
  <w:style w:type="paragraph" w:styleId="af8">
    <w:name w:val="caption"/>
    <w:basedOn w:val="a"/>
    <w:uiPriority w:val="35"/>
  </w:style>
  <w:style w:type="paragraph" w:styleId="15">
    <w:name w:val="toc 1"/>
    <w:basedOn w:val="a"/>
    <w:uiPriority w:val="39"/>
    <w:pPr>
      <w:tabs>
        <w:tab w:val="clear" w:pos="709"/>
        <w:tab w:val="right" w:leader="dot" w:pos="9638"/>
      </w:tabs>
      <w:spacing w:after="100"/>
    </w:pPr>
  </w:style>
  <w:style w:type="paragraph" w:styleId="23">
    <w:name w:val="toc 2"/>
    <w:basedOn w:val="a"/>
    <w:uiPriority w:val="39"/>
    <w:pPr>
      <w:tabs>
        <w:tab w:val="clear" w:pos="709"/>
        <w:tab w:val="right" w:leader="dot" w:pos="9555"/>
      </w:tabs>
      <w:spacing w:after="100"/>
      <w:ind w:left="20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2014-03-22T06:25:00Z</dcterms:created>
  <dcterms:modified xsi:type="dcterms:W3CDTF">2014-03-22T06:25:00Z</dcterms:modified>
</cp:coreProperties>
</file>