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27" w:rsidRDefault="00EB5127" w:rsidP="00990EE8">
      <w:pPr>
        <w:pStyle w:val="1"/>
      </w:pPr>
    </w:p>
    <w:p w:rsidR="00990EE8" w:rsidRDefault="00990EE8" w:rsidP="00990EE8">
      <w:pPr>
        <w:pStyle w:val="1"/>
      </w:pPr>
      <w:r>
        <w:t>Задание 13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Тема: Расчет технологического процесса перегрузки тарно-штучных  грузов.</w:t>
      </w:r>
    </w:p>
    <w:p w:rsidR="00990EE8" w:rsidRDefault="00990EE8" w:rsidP="00990EE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Исходные данные.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1.1 Род груза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Мука в мешках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1.2 Варианты работ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вагон-судно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вагон-склад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склад-судно</w:t>
      </w:r>
    </w:p>
    <w:p w:rsidR="00990EE8" w:rsidRDefault="00990EE8" w:rsidP="00990EE8">
      <w:pPr>
        <w:tabs>
          <w:tab w:val="left" w:pos="6331"/>
        </w:tabs>
        <w:rPr>
          <w:sz w:val="24"/>
        </w:rPr>
      </w:pPr>
      <w:r>
        <w:rPr>
          <w:sz w:val="24"/>
        </w:rPr>
        <w:t>1.3 Технологические схемы                                     вагон-кран-.судно(г.п.)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вагон-погр.-склад(г.п.)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склад(г.п.)-погр.-кран- судно(г.п)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1.4 Грузооборот причала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тыс.т</w:t>
      </w:r>
      <w:r>
        <w:rPr>
          <w:sz w:val="24"/>
        </w:rPr>
        <w:tab/>
        <w:t>100</w:t>
      </w:r>
      <w:r>
        <w:rPr>
          <w:sz w:val="24"/>
        </w:rPr>
        <w:tab/>
      </w:r>
    </w:p>
    <w:p w:rsidR="00990EE8" w:rsidRDefault="00990EE8" w:rsidP="00990EE8">
      <w:pPr>
        <w:rPr>
          <w:sz w:val="24"/>
        </w:rPr>
      </w:pPr>
      <w:r>
        <w:rPr>
          <w:sz w:val="24"/>
        </w:rPr>
        <w:t>1.5 Длительность эксплуатационного периода</w:t>
      </w:r>
      <w:r>
        <w:rPr>
          <w:sz w:val="24"/>
        </w:rPr>
        <w:tab/>
        <w:t>193 сут.</w:t>
      </w:r>
    </w:p>
    <w:p w:rsidR="00990EE8" w:rsidRDefault="00990EE8" w:rsidP="00990EE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Технические характеристики машин и устройств: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Кран: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Абус 10-32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Грузоподъемность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10 т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Вылет стрелы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smartTag w:uri="urn:schemas-microsoft-com:office:smarttags" w:element="metricconverter">
        <w:smartTagPr>
          <w:attr w:name="ProductID" w:val="32 м"/>
        </w:smartTagPr>
        <w:r>
          <w:rPr>
            <w:sz w:val="24"/>
          </w:rPr>
          <w:t>32 м</w:t>
        </w:r>
      </w:smartTag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Скорость передвижения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 м/мин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Скорость подъема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63 м/мин  </w:t>
      </w:r>
      <w:r>
        <w:rPr>
          <w:sz w:val="24"/>
        </w:rPr>
        <w:tab/>
      </w:r>
    </w:p>
    <w:p w:rsidR="00990EE8" w:rsidRDefault="00990EE8" w:rsidP="00990EE8">
      <w:pPr>
        <w:rPr>
          <w:sz w:val="24"/>
        </w:rPr>
      </w:pPr>
      <w:r>
        <w:rPr>
          <w:sz w:val="24"/>
        </w:rPr>
        <w:t>Скорость поворота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1,5 м/мин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Группа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Грузозахватное устройство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стропо-балочный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Погрузчик :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Марка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4081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Грузоподъемность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т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Высота подъема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 м</w:t>
        </w:r>
      </w:smartTag>
    </w:p>
    <w:p w:rsidR="00990EE8" w:rsidRDefault="00990EE8" w:rsidP="00990EE8">
      <w:pPr>
        <w:rPr>
          <w:sz w:val="24"/>
        </w:rPr>
      </w:pPr>
      <w:r>
        <w:rPr>
          <w:sz w:val="24"/>
        </w:rPr>
        <w:t>Скорость подъема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24,4 м</w:t>
      </w:r>
      <w:r w:rsidRPr="00990EE8">
        <w:rPr>
          <w:sz w:val="24"/>
        </w:rPr>
        <w:t>/</w:t>
      </w:r>
      <w:r>
        <w:rPr>
          <w:sz w:val="24"/>
        </w:rPr>
        <w:t>мин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Скорость передвижения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28 км/ч"/>
        </w:smartTagPr>
        <w:r>
          <w:rPr>
            <w:sz w:val="24"/>
          </w:rPr>
          <w:t>28 км</w:t>
        </w:r>
        <w:r w:rsidRPr="00990EE8">
          <w:rPr>
            <w:sz w:val="24"/>
          </w:rPr>
          <w:t>/</w:t>
        </w:r>
        <w:r>
          <w:rPr>
            <w:sz w:val="24"/>
          </w:rPr>
          <w:t>ч</w:t>
        </w:r>
      </w:smartTag>
    </w:p>
    <w:p w:rsidR="00990EE8" w:rsidRDefault="00990EE8" w:rsidP="00990EE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Суммарная высота подъема и опускания груза краном</w:t>
      </w:r>
    </w:p>
    <w:p w:rsidR="00990EE8" w:rsidRDefault="00990EE8" w:rsidP="00990EE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Суммарная высота подъема и опускания порожних поддонов из штабеля</w:t>
      </w:r>
    </w:p>
    <w:p w:rsidR="00990EE8" w:rsidRDefault="00990EE8" w:rsidP="00990EE8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Угол поворота крана с грузом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180</w:t>
      </w:r>
      <w:r>
        <w:rPr>
          <w:sz w:val="24"/>
        </w:rPr>
        <w:sym w:font="Symbol" w:char="F0B0"/>
      </w:r>
    </w:p>
    <w:p w:rsidR="00990EE8" w:rsidRDefault="00990EE8" w:rsidP="00990EE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При перемещении порожних поддонов из штабеля к вагону угол поворота крана 90</w:t>
      </w:r>
      <w:r>
        <w:rPr>
          <w:sz w:val="24"/>
        </w:rPr>
        <w:sym w:font="Symbol" w:char="F0B0"/>
      </w:r>
    </w:p>
    <w:p w:rsidR="00990EE8" w:rsidRDefault="00990EE8" w:rsidP="00990EE8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Пробег погрузчика с грузом  </w:t>
      </w:r>
    </w:p>
    <w:bookmarkStart w:id="0" w:name="_MON_1001782441"/>
    <w:bookmarkEnd w:id="0"/>
    <w:p w:rsidR="00990EE8" w:rsidRDefault="00990EE8" w:rsidP="00990EE8">
      <w:pPr>
        <w:rPr>
          <w:sz w:val="24"/>
        </w:rPr>
      </w:pPr>
      <w:r>
        <w:rPr>
          <w:sz w:val="24"/>
        </w:rPr>
        <w:object w:dxaOrig="181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3.5pt" o:ole="" fillcolor="window">
            <v:imagedata r:id="rId5" o:title=""/>
          </v:shape>
          <o:OLEObject Type="Embed" ProgID="Excel.Sheet.8" ShapeID="_x0000_i1025" DrawAspect="Content" ObjectID="_1469688744" r:id="rId6"/>
        </w:object>
      </w:r>
      <w:r w:rsidR="00A46468">
        <w:object w:dxaOrig="1440" w:dyaOrig="1440">
          <v:shape id="_x0000_s1026" type="#_x0000_t75" style="position:absolute;margin-left:8.3pt;margin-top:11.3pt;width:201pt;height:40pt;z-index:251656192;mso-position-horizontal-relative:text;mso-position-vertical-relative:text" o:allowincell="f">
            <v:imagedata r:id="rId7" o:title=""/>
            <w10:wrap type="topAndBottom"/>
          </v:shape>
          <o:OLEObject Type="Embed" ProgID="Equation.3" ShapeID="_x0000_s1026" DrawAspect="Content" ObjectID="_1469688746" r:id="rId8"/>
        </w:object>
      </w:r>
    </w:p>
    <w:p w:rsidR="00990EE8" w:rsidRDefault="00990EE8" w:rsidP="00990EE8">
      <w:pPr>
        <w:rPr>
          <w:sz w:val="24"/>
        </w:rPr>
      </w:pPr>
    </w:p>
    <w:bookmarkStart w:id="1" w:name="_MON_1001938942"/>
    <w:bookmarkEnd w:id="1"/>
    <w:p w:rsidR="00990EE8" w:rsidRDefault="00990EE8" w:rsidP="00990EE8">
      <w:pPr>
        <w:rPr>
          <w:sz w:val="24"/>
        </w:rPr>
      </w:pPr>
      <w:r>
        <w:rPr>
          <w:sz w:val="24"/>
        </w:rPr>
        <w:object w:dxaOrig="1913" w:dyaOrig="1428">
          <v:shape id="_x0000_i1027" type="#_x0000_t75" style="width:96pt;height:71.25pt" o:ole="" fillcolor="window">
            <v:imagedata r:id="rId9" o:title=""/>
          </v:shape>
          <o:OLEObject Type="Embed" ProgID="Excel.Sheet.8" ShapeID="_x0000_i1027" DrawAspect="Content" ObjectID="_1469688745" r:id="rId10"/>
        </w:object>
      </w:r>
      <w:r>
        <w:rPr>
          <w:sz w:val="24"/>
        </w:rPr>
        <w:t xml:space="preserve">    </w:t>
      </w:r>
    </w:p>
    <w:p w:rsidR="00990EE8" w:rsidRDefault="00990EE8" w:rsidP="00990EE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Пробег погрузчика с порожними поддонами</w:t>
      </w:r>
    </w:p>
    <w:p w:rsidR="00990EE8" w:rsidRDefault="00990EE8" w:rsidP="00990EE8">
      <w:pPr>
        <w:rPr>
          <w:sz w:val="24"/>
        </w:rPr>
      </w:pPr>
    </w:p>
    <w:p w:rsidR="00990EE8" w:rsidRDefault="00990EE8" w:rsidP="00990EE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Состав работы.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2.1 Разработать нормативы технологического процесса перегрузки тарно-штучных грузов и составить местные нормы.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2.2 Результаты расчетов, полученные в пункте 2.1, сопоставить с нормами ЕКНВ.</w:t>
      </w:r>
    </w:p>
    <w:p w:rsidR="00990EE8" w:rsidRDefault="00990EE8" w:rsidP="00990EE8">
      <w:pPr>
        <w:rPr>
          <w:sz w:val="24"/>
        </w:rPr>
      </w:pPr>
    </w:p>
    <w:p w:rsidR="00990EE8" w:rsidRDefault="00990EE8" w:rsidP="00990EE8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Выполнение работы.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Расчет комплексной нормы выработки и времени по нормативам.</w:t>
      </w:r>
    </w:p>
    <w:p w:rsidR="00990EE8" w:rsidRDefault="00A46468" w:rsidP="00990EE8">
      <w:pPr>
        <w:rPr>
          <w:sz w:val="24"/>
        </w:rPr>
      </w:pPr>
      <w:r>
        <w:rPr>
          <w:noProof/>
          <w:sz w:val="24"/>
        </w:rPr>
        <w:object w:dxaOrig="1440" w:dyaOrig="1440">
          <v:shape id="_x0000_s1027" type="#_x0000_t75" style="position:absolute;margin-left:0;margin-top:0;width:408.85pt;height:83.75pt;z-index:251657216" o:allowincell="f">
            <v:imagedata r:id="rId11" o:title=""/>
            <w10:wrap type="topAndBottom"/>
          </v:shape>
          <o:OLEObject Type="Embed" ProgID="Excel.Sheet.8" ShapeID="_x0000_s1027" DrawAspect="Content" ObjectID="_1469688747" r:id="rId12"/>
        </w:object>
      </w:r>
    </w:p>
    <w:p w:rsidR="00990EE8" w:rsidRDefault="00990EE8" w:rsidP="00990EE8">
      <w:pPr>
        <w:rPr>
          <w:sz w:val="24"/>
        </w:rPr>
      </w:pPr>
      <w:r>
        <w:rPr>
          <w:sz w:val="24"/>
        </w:rPr>
        <w:br w:type="page"/>
        <w:t>Вариант  вагон – судно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Технологическая схема   в –кр 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 w:rsidRPr="00990EE8">
        <w:rPr>
          <w:sz w:val="24"/>
        </w:rPr>
        <w:t xml:space="preserve">– </w:t>
      </w:r>
      <w:r>
        <w:rPr>
          <w:sz w:val="24"/>
          <w:lang w:val="en-US"/>
        </w:rPr>
        <w:t>c</w:t>
      </w:r>
      <w:r w:rsidRPr="00990EE8">
        <w:rPr>
          <w:sz w:val="24"/>
        </w:rPr>
        <w:t xml:space="preserve"> </w:t>
      </w:r>
      <w:r>
        <w:rPr>
          <w:sz w:val="24"/>
          <w:lang w:val="en-US"/>
        </w:rPr>
        <w:t>III</w:t>
      </w:r>
      <w:r>
        <w:rPr>
          <w:sz w:val="24"/>
        </w:rPr>
        <w:t xml:space="preserve"> (г.п.)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85"/>
        <w:gridCol w:w="1585"/>
        <w:gridCol w:w="1585"/>
        <w:gridCol w:w="65"/>
        <w:gridCol w:w="1520"/>
      </w:tblGrid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Наименование операций, элементов операций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Номер карты, позиция норматива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Число исполнителей, чел.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Норматив времени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Трудоемкость, чел – с.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 Вагонная операция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 Дополнительные работы Т</w:t>
            </w:r>
            <w:r>
              <w:rPr>
                <w:sz w:val="24"/>
                <w:vertAlign w:val="subscript"/>
              </w:rPr>
              <w:t>опв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1.1.1 Снятие закруток с дверей вагонов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76; 5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70х 3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1.1.2 Открытие дверей вагонов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76; 6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25х3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1.1.3 Переход от одного вагона к другому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76; 3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60х3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 Итого Т</w:t>
            </w:r>
            <w:r>
              <w:rPr>
                <w:sz w:val="24"/>
                <w:vertAlign w:val="subscript"/>
              </w:rPr>
              <w:t>опв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 Основная работа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1.2.1 Активное наблюдение за опусканием порожнего поддона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80; 8а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1.2.2 Установка, отстропка порожнего поддона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19; 14б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1.2.3 Формирование пакета на поддоне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1; 5в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390х1,5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1.2.4 Застропка груженого поддона 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19; 6а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1.2.5 Активное наблюдение за подъемом груженного поддона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80; 8б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90EE8">
        <w:trPr>
          <w:cantSplit/>
        </w:trPr>
        <w:tc>
          <w:tcPr>
            <w:tcW w:w="8330" w:type="dxa"/>
            <w:gridSpan w:val="5"/>
          </w:tcPr>
          <w:p w:rsidR="00990EE8" w:rsidRP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Итого трудоемкость вагонной операции ( основной работы ), </w:t>
            </w:r>
            <w:r>
              <w:rPr>
                <w:rFonts w:ascii="Symbol" w:hAnsi="Symbol"/>
                <w:sz w:val="24"/>
                <w:lang w:val="en-US"/>
              </w:rPr>
              <w:t>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 Кордонная и судовая операция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 Подача порожних поддонов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2.1.1 Застропка шести поддонов из штабеля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19; 5а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2.1.2 Перемещение поддонов краном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71; 3б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2.1.3 Отстропка поддонов у вагонов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19; 6б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2.1.4 Ход крана от вагона к штабелю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72; 5а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Итого на шесть поддонов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2.2 Продолжительность цикла работы крана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ц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2.2.1Застропка груженого поддона 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19; 6а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2.2.2 Ход крана с грузом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71; 4г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1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2.2.3 Прием, отстропка груженого поддона в трюме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19; 18б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с</w:t>
            </w:r>
            <w:r>
              <w:rPr>
                <w:sz w:val="24"/>
              </w:rPr>
              <w:t xml:space="preserve"> = 2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2.2.4 Ход крана без груза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71; 36г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1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2.2.5 Подача одного порожнего поддона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87 : 6 = 14,5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51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ц</w:t>
            </w: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175</w:t>
            </w:r>
            <w:r>
              <w:rPr>
                <w:sz w:val="24"/>
              </w:rPr>
              <w:t>,5</w:t>
            </w:r>
          </w:p>
        </w:tc>
        <w:tc>
          <w:tcPr>
            <w:tcW w:w="1585" w:type="dxa"/>
            <w:gridSpan w:val="2"/>
          </w:tcPr>
          <w:p w:rsidR="00990EE8" w:rsidRDefault="00990EE8" w:rsidP="002E0A35">
            <w:pPr>
              <w:rPr>
                <w:sz w:val="24"/>
              </w:rPr>
            </w:pPr>
          </w:p>
        </w:tc>
      </w:tr>
    </w:tbl>
    <w:p w:rsidR="00990EE8" w:rsidRDefault="00990EE8" w:rsidP="00990EE8">
      <w:pPr>
        <w:rPr>
          <w:sz w:val="24"/>
          <w:lang w:val="en-US"/>
        </w:rPr>
      </w:pPr>
    </w:p>
    <w:p w:rsidR="00E120B0" w:rsidRDefault="00E120B0" w:rsidP="00990EE8">
      <w:pPr>
        <w:rPr>
          <w:sz w:val="24"/>
          <w:lang w:val="en-US"/>
        </w:rPr>
      </w:pPr>
    </w:p>
    <w:p w:rsidR="00E120B0" w:rsidRDefault="00E120B0" w:rsidP="00990EE8">
      <w:pPr>
        <w:rPr>
          <w:sz w:val="24"/>
          <w:lang w:val="en-US"/>
        </w:rPr>
      </w:pPr>
    </w:p>
    <w:p w:rsidR="00E120B0" w:rsidRDefault="00E120B0" w:rsidP="00990EE8">
      <w:pPr>
        <w:rPr>
          <w:sz w:val="24"/>
          <w:lang w:val="en-US"/>
        </w:rPr>
      </w:pPr>
    </w:p>
    <w:p w:rsidR="00E120B0" w:rsidRDefault="00A46468" w:rsidP="00990EE8">
      <w:pPr>
        <w:rPr>
          <w:sz w:val="24"/>
          <w:lang w:val="en-US"/>
        </w:rPr>
      </w:pPr>
      <w:r>
        <w:rPr>
          <w:noProof/>
          <w:sz w:val="24"/>
        </w:rPr>
        <w:object w:dxaOrig="1440" w:dyaOrig="1440">
          <v:shape id="_x0000_s1028" type="#_x0000_t75" style="position:absolute;margin-left:-36pt;margin-top:27pt;width:541pt;height:265pt;z-index:251658240" fillcolor="window">
            <v:imagedata r:id="rId13" o:title=""/>
            <w10:wrap type="topAndBottom"/>
          </v:shape>
          <o:OLEObject Type="Embed" ProgID="Excel.Sheet.8" ShapeID="_x0000_s1028" DrawAspect="Content" ObjectID="_1469688748" r:id="rId14"/>
        </w:object>
      </w:r>
    </w:p>
    <w:p w:rsidR="00E120B0" w:rsidRPr="00E120B0" w:rsidRDefault="00E120B0" w:rsidP="00990EE8">
      <w:pPr>
        <w:rPr>
          <w:sz w:val="24"/>
          <w:lang w:val="en-US"/>
        </w:rPr>
      </w:pPr>
    </w:p>
    <w:p w:rsidR="00990EE8" w:rsidRDefault="00990EE8" w:rsidP="00990EE8">
      <w:pPr>
        <w:rPr>
          <w:sz w:val="24"/>
        </w:rPr>
      </w:pPr>
      <w:r>
        <w:rPr>
          <w:sz w:val="24"/>
        </w:rPr>
        <w:br w:type="page"/>
        <w:t>Вариант склад – судно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 xml:space="preserve">Технологическая схема ск ( г.п. ) – погр. – кр </w:t>
      </w:r>
      <w:r>
        <w:rPr>
          <w:sz w:val="24"/>
          <w:lang w:val="en-US"/>
        </w:rPr>
        <w:t>II</w:t>
      </w:r>
      <w:r>
        <w:rPr>
          <w:sz w:val="24"/>
        </w:rPr>
        <w:t xml:space="preserve"> – с </w:t>
      </w:r>
      <w:r>
        <w:rPr>
          <w:sz w:val="24"/>
          <w:lang w:val="en-US"/>
        </w:rPr>
        <w:t>III</w:t>
      </w:r>
      <w:r>
        <w:rPr>
          <w:sz w:val="24"/>
        </w:rPr>
        <w:t xml:space="preserve"> ( г.п.)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019"/>
        <w:gridCol w:w="2019"/>
        <w:gridCol w:w="2020"/>
      </w:tblGrid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Номер карты, позиция норматива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Число исполнителей, чел.</w:t>
            </w: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Норматив времени, с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 Кордонная, передаточная и судовая операция ( продолжительность цикла работы крана )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1.1 Застропка груза на площадке 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; 5а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п</w:t>
            </w:r>
            <w:r>
              <w:rPr>
                <w:sz w:val="24"/>
              </w:rPr>
              <w:t xml:space="preserve"> = 2</w:t>
            </w: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1.2 Перемещение груза краном 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71; 8г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1</w:t>
            </w: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</w:tr>
      <w:tr w:rsidR="00990EE8">
        <w:tc>
          <w:tcPr>
            <w:tcW w:w="3794" w:type="dxa"/>
          </w:tcPr>
          <w:p w:rsidR="00990EE8" w:rsidRPr="00E120B0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1.3 Установка и отстропка груза в трюме </w:t>
            </w: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19; 3б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  <w:lang w:val="en-US"/>
              </w:rPr>
              <w:t>п</w:t>
            </w:r>
            <w:r>
              <w:rPr>
                <w:sz w:val="24"/>
              </w:rPr>
              <w:t xml:space="preserve"> = 2</w:t>
            </w: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.4 Ход крана без груза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71; 40г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</w:rPr>
              <w:t xml:space="preserve"> = 1</w:t>
            </w: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ц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=SUM([d3];[d4];[d5];[d6])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150</w:t>
            </w:r>
            <w:r>
              <w:rPr>
                <w:sz w:val="24"/>
              </w:rPr>
              <w:fldChar w:fldCharType="end"/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 Внутрипортовая транспортная операция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 Захват груза из штабеля на складе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54</w:t>
            </w:r>
            <w:r>
              <w:rPr>
                <w:sz w:val="24"/>
              </w:rPr>
              <w:t>; 3б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2.2 Разворот погрузчика с грузом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54; 30б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2.3 Ход погрузчика с грузом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74; 8б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2.4 Установка груза у крана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54; 15 б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2.5 Разворот погрузчика без груза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54; 31б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2.6 Ход погрузчика без груза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74; 8д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990EE8">
        <w:tc>
          <w:tcPr>
            <w:tcW w:w="3794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вп</w:t>
            </w: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19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=SUM([d9];[d10];[d11];[d12];[d13];[d14])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177</w:t>
            </w:r>
            <w:r>
              <w:rPr>
                <w:sz w:val="24"/>
              </w:rPr>
              <w:fldChar w:fldCharType="end"/>
            </w:r>
          </w:p>
        </w:tc>
      </w:tr>
    </w:tbl>
    <w:p w:rsidR="00990EE8" w:rsidRDefault="00990EE8" w:rsidP="00990EE8">
      <w:pPr>
        <w:rPr>
          <w:sz w:val="24"/>
        </w:rPr>
      </w:pPr>
    </w:p>
    <w:p w:rsidR="00990EE8" w:rsidRDefault="00A46468" w:rsidP="00990EE8">
      <w:pPr>
        <w:pStyle w:val="3"/>
        <w:spacing w:before="0" w:after="0"/>
        <w:rPr>
          <w:rFonts w:ascii="Times New Roman" w:hAnsi="Times New Roman"/>
        </w:rPr>
      </w:pPr>
      <w:r>
        <w:rPr>
          <w:noProof/>
        </w:rPr>
        <w:object w:dxaOrig="1440" w:dyaOrig="1440">
          <v:shape id="_x0000_s1029" type="#_x0000_t75" style="position:absolute;margin-left:-20.5pt;margin-top:.9pt;width:540.9pt;height:276.4pt;z-index:251659264" o:allowincell="f" fillcolor="window">
            <v:imagedata r:id="rId15" o:title=""/>
            <w10:wrap type="topAndBottom"/>
          </v:shape>
          <o:OLEObject Type="Embed" ProgID="Excel.Sheet.8" ShapeID="_x0000_s1029" DrawAspect="Content" ObjectID="_1469688749" r:id="rId16"/>
        </w:object>
      </w:r>
      <w:r w:rsidR="00990EE8">
        <w:rPr>
          <w:rFonts w:ascii="Times New Roman" w:hAnsi="Times New Roman"/>
        </w:rPr>
        <w:br w:type="page"/>
        <w:t>Вариант  вагон – склад</w:t>
      </w:r>
    </w:p>
    <w:p w:rsidR="00990EE8" w:rsidRDefault="00990EE8" w:rsidP="00990EE8">
      <w:pPr>
        <w:rPr>
          <w:sz w:val="24"/>
        </w:rPr>
      </w:pPr>
      <w:r>
        <w:rPr>
          <w:sz w:val="24"/>
        </w:rPr>
        <w:t>Технологическая схема в – погр. – ск.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372"/>
        <w:gridCol w:w="1372"/>
        <w:gridCol w:w="1372"/>
        <w:gridCol w:w="1378"/>
      </w:tblGrid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Наименование операции , элементов операций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Номер карты, позиция норматива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Число исполнителей, чел.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Норматив времени, с .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Трудоемкость, чел. – с</w:t>
            </w: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 Вагонная операция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 Дополнительные работы, Т</w:t>
            </w:r>
            <w:r>
              <w:rPr>
                <w:sz w:val="24"/>
                <w:vertAlign w:val="subscript"/>
              </w:rPr>
              <w:t>опв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1.1.1 Снятие закруток с дверей вагона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76</w:t>
            </w:r>
            <w:r>
              <w:rPr>
                <w:sz w:val="24"/>
              </w:rPr>
              <w:t>; 5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70х3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1.1.2 Открытие дверей вагона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76; 6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25х3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1.1.3 Переход от одного вагона к другому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76; 3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60х3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Итого Т</w:t>
            </w:r>
            <w:r>
              <w:rPr>
                <w:sz w:val="24"/>
                <w:vertAlign w:val="subscript"/>
              </w:rPr>
              <w:t>опв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 Основная работа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1.2.1 Активное наблюдение за установкой порожнего поддона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80; 5а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1.2.2 Установка порожнего поддона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54; 15б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1.2.3 Формирование пакета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1; 5в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390х1,5</w:t>
            </w: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1.2.4 Активное наблюдение за захватом груженного поддона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80; 5б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90EE8">
        <w:trPr>
          <w:cantSplit/>
        </w:trPr>
        <w:tc>
          <w:tcPr>
            <w:tcW w:w="8472" w:type="dxa"/>
            <w:gridSpan w:val="4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Итого трудоемкость вагонной операции </w:t>
            </w:r>
            <w:r>
              <w:rPr>
                <w:rFonts w:ascii="Symbol" w:hAnsi="Symbol"/>
                <w:sz w:val="24"/>
                <w:lang w:val="en-US"/>
              </w:rPr>
              <w:t>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</w:t>
            </w:r>
          </w:p>
        </w:tc>
        <w:tc>
          <w:tcPr>
            <w:tcW w:w="1378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 Внутри портовая транспортная операция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 Захват порожнего поддона погрузчиком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2.2 Разворот погрузчика с порожним поддоном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2.3 Пробег погрузчика с порожним поддоном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2.4 Установка поддона у штабеля ( на рампе )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2.5 Разворот погрузчика от порожнего поддона к груженому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2.6 Захват погрузчиком груженного поддона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2.7 Пробег погрузчика с грузом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2.8 Установка пакета на поддоне в штабель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2.9 Разворот погрузчика без груза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c>
          <w:tcPr>
            <w:tcW w:w="4361" w:type="dxa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>2.10 Пробег погрузчика без груза</w:t>
            </w: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2" w:type="dxa"/>
          </w:tcPr>
          <w:p w:rsidR="00990EE8" w:rsidRDefault="00990EE8" w:rsidP="002E0A35">
            <w:pPr>
              <w:rPr>
                <w:sz w:val="24"/>
              </w:rPr>
            </w:pPr>
          </w:p>
        </w:tc>
        <w:tc>
          <w:tcPr>
            <w:tcW w:w="1373" w:type="dxa"/>
          </w:tcPr>
          <w:p w:rsidR="00990EE8" w:rsidRDefault="00990EE8" w:rsidP="002E0A35">
            <w:pPr>
              <w:rPr>
                <w:sz w:val="24"/>
              </w:rPr>
            </w:pPr>
          </w:p>
        </w:tc>
      </w:tr>
      <w:tr w:rsidR="00990EE8">
        <w:trPr>
          <w:cantSplit/>
        </w:trPr>
        <w:tc>
          <w:tcPr>
            <w:tcW w:w="9850" w:type="dxa"/>
            <w:gridSpan w:val="5"/>
          </w:tcPr>
          <w:p w:rsidR="00990EE8" w:rsidRDefault="00990EE8" w:rsidP="002E0A35">
            <w:pPr>
              <w:rPr>
                <w:sz w:val="24"/>
              </w:rPr>
            </w:pPr>
            <w:r>
              <w:rPr>
                <w:sz w:val="24"/>
              </w:rPr>
              <w:t xml:space="preserve">Итого продолжительность цикла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</w:rPr>
              <w:t>ц</w:t>
            </w:r>
          </w:p>
        </w:tc>
      </w:tr>
    </w:tbl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/>
      </w:r>
      <w:r>
        <w:instrText xml:space="preserve"> </w:instrText>
      </w:r>
    </w:p>
    <w:p w:rsidR="00990EE8" w:rsidRDefault="00990EE8" w:rsidP="00990EE8"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</w:r>
      <w:r>
        <w:br w:type="page"/>
      </w:r>
      <w:r>
        <w:fldChar w:fldCharType="begin" w:fldLock="1"/>
      </w:r>
      <w:r>
        <w:instrText xml:space="preserve"> </w:instrText>
      </w:r>
    </w:p>
    <w:p w:rsidR="00990EE8" w:rsidRDefault="00990EE8" w:rsidP="00990EE8">
      <w:r>
        <w:br w:type="page"/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  <w:r>
        <w:instrText xml:space="preserve"> </w:instrText>
      </w:r>
      <w:r>
        <w:fldChar w:fldCharType="end"/>
      </w:r>
    </w:p>
    <w:p w:rsidR="00990EE8" w:rsidRDefault="00990EE8" w:rsidP="00990EE8">
      <w:pPr>
        <w:rPr>
          <w:sz w:val="24"/>
        </w:rPr>
      </w:pPr>
    </w:p>
    <w:p w:rsidR="00990EE8" w:rsidRDefault="00990EE8" w:rsidP="00990EE8">
      <w:pPr>
        <w:rPr>
          <w:sz w:val="24"/>
        </w:rPr>
      </w:pPr>
    </w:p>
    <w:p w:rsidR="00990EE8" w:rsidRDefault="00990EE8" w:rsidP="00990EE8">
      <w:pPr>
        <w:rPr>
          <w:sz w:val="24"/>
        </w:rPr>
      </w:pPr>
    </w:p>
    <w:p w:rsidR="00990EE8" w:rsidRDefault="00990EE8" w:rsidP="00990EE8">
      <w:pPr>
        <w:rPr>
          <w:sz w:val="24"/>
        </w:rPr>
      </w:pPr>
    </w:p>
    <w:p w:rsidR="0073033E" w:rsidRDefault="0073033E">
      <w:bookmarkStart w:id="2" w:name="_GoBack"/>
      <w:bookmarkEnd w:id="2"/>
    </w:p>
    <w:sectPr w:rsidR="0073033E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0A75"/>
    <w:multiLevelType w:val="multilevel"/>
    <w:tmpl w:val="9B06C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E8"/>
    <w:rsid w:val="002E0A35"/>
    <w:rsid w:val="0073033E"/>
    <w:rsid w:val="00783108"/>
    <w:rsid w:val="00931BA5"/>
    <w:rsid w:val="00990EE8"/>
    <w:rsid w:val="00A46468"/>
    <w:rsid w:val="00AF300C"/>
    <w:rsid w:val="00D57D22"/>
    <w:rsid w:val="00E120B0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70821AB-E9FB-4594-A90A-43A12C2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E8"/>
  </w:style>
  <w:style w:type="paragraph" w:styleId="1">
    <w:name w:val="heading 1"/>
    <w:basedOn w:val="a"/>
    <w:next w:val="a"/>
    <w:qFormat/>
    <w:rsid w:val="00990E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90EE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90EE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______Microsoft_Excel_97-20033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_Microsoft_Excel_97-20035.xls"/><Relationship Id="rId1" Type="http://schemas.openxmlformats.org/officeDocument/2006/relationships/numbering" Target="numbering.xml"/><Relationship Id="rId6" Type="http://schemas.openxmlformats.org/officeDocument/2006/relationships/oleObject" Target="embeddings/______Microsoft_Excel_97-20031.xls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_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______Microsoft_Excel_97-20034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cp:lastModifiedBy>Irina</cp:lastModifiedBy>
  <cp:revision>2</cp:revision>
  <dcterms:created xsi:type="dcterms:W3CDTF">2014-08-16T07:06:00Z</dcterms:created>
  <dcterms:modified xsi:type="dcterms:W3CDTF">2014-08-16T07:06:00Z</dcterms:modified>
</cp:coreProperties>
</file>