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BF" w:rsidRPr="00AD6551" w:rsidRDefault="00D528BF" w:rsidP="00AD6551">
      <w:pPr>
        <w:pStyle w:val="a5"/>
        <w:jc w:val="center"/>
      </w:pPr>
      <w:r>
        <w:t>Тема:</w:t>
      </w:r>
      <w:r w:rsidR="00AD6551">
        <w:br/>
        <w:t xml:space="preserve"> «</w:t>
      </w:r>
      <w:r w:rsidR="00AD6551" w:rsidRPr="00AD6551">
        <w:t>РАССМОТРЕНИЕ ЗАКОНОПРОЕКТОВ И ПРИНЯТИЕ ЗАКОНОВ Г</w:t>
      </w:r>
      <w:r w:rsidR="00AD6551">
        <w:t xml:space="preserve">ОСУДАРСТВЕННОЙ </w:t>
      </w:r>
      <w:r w:rsidR="00AD6551" w:rsidRPr="00AD6551">
        <w:t>Д</w:t>
      </w:r>
      <w:r w:rsidR="00AD6551">
        <w:t>УМОЙ</w:t>
      </w:r>
      <w:r w:rsidR="00AD6551" w:rsidRPr="00AD6551">
        <w:t xml:space="preserve"> </w:t>
      </w:r>
      <w:r w:rsidR="00AD6551">
        <w:t>РФ»</w:t>
      </w:r>
    </w:p>
    <w:p w:rsidR="00D528BF" w:rsidRDefault="00D528BF" w:rsidP="00580338">
      <w:pPr>
        <w:pStyle w:val="a5"/>
      </w:pPr>
    </w:p>
    <w:p w:rsidR="00D528BF" w:rsidRDefault="00D528BF" w:rsidP="00580338">
      <w:pPr>
        <w:pStyle w:val="a5"/>
      </w:pPr>
      <w:r>
        <w:t>Содержание:</w:t>
      </w:r>
    </w:p>
    <w:p w:rsidR="00D528BF" w:rsidRDefault="00D528BF" w:rsidP="00580338">
      <w:pPr>
        <w:pStyle w:val="a5"/>
      </w:pPr>
    </w:p>
    <w:p w:rsidR="00AE6DAD" w:rsidRDefault="00AE6DAD" w:rsidP="00AE6DAD">
      <w:pPr>
        <w:pStyle w:val="10"/>
        <w:tabs>
          <w:tab w:val="right" w:leader="dot" w:pos="9628"/>
        </w:tabs>
        <w:spacing w:line="240" w:lineRule="auto"/>
        <w:ind w:left="709" w:firstLine="0"/>
        <w:jc w:val="left"/>
        <w:rPr>
          <w:rStyle w:val="a9"/>
          <w:noProof/>
        </w:rPr>
      </w:pPr>
      <w:r w:rsidRPr="00B10B05">
        <w:rPr>
          <w:rStyle w:val="a9"/>
          <w:noProof/>
        </w:rPr>
        <w:t>Порядок внесения законопроектов</w:t>
      </w:r>
      <w:r w:rsidRPr="00B10B05">
        <w:rPr>
          <w:rStyle w:val="a9"/>
          <w:noProof/>
        </w:rPr>
        <w:br/>
        <w:t>в Государственную Думу</w:t>
      </w:r>
      <w:r>
        <w:rPr>
          <w:noProof/>
          <w:webHidden/>
        </w:rPr>
        <w:tab/>
        <w:t>3</w:t>
      </w:r>
    </w:p>
    <w:p w:rsidR="00AE6DAD" w:rsidRPr="00AE6DAD" w:rsidRDefault="00AE6DAD" w:rsidP="00AE6DAD">
      <w:pPr>
        <w:spacing w:line="240" w:lineRule="auto"/>
      </w:pPr>
    </w:p>
    <w:p w:rsidR="00AE6DAD" w:rsidRDefault="00AE6DAD" w:rsidP="00AE6DAD">
      <w:pPr>
        <w:pStyle w:val="10"/>
        <w:tabs>
          <w:tab w:val="right" w:leader="dot" w:pos="9628"/>
        </w:tabs>
        <w:spacing w:line="240" w:lineRule="auto"/>
        <w:ind w:left="709" w:firstLine="0"/>
        <w:jc w:val="left"/>
        <w:rPr>
          <w:rStyle w:val="a9"/>
          <w:noProof/>
        </w:rPr>
      </w:pPr>
      <w:r w:rsidRPr="00B10B05">
        <w:rPr>
          <w:rStyle w:val="a9"/>
          <w:noProof/>
        </w:rPr>
        <w:t>Процедура принятия федерального закона</w:t>
      </w:r>
      <w:r>
        <w:rPr>
          <w:noProof/>
          <w:webHidden/>
        </w:rPr>
        <w:tab/>
        <w:t>5</w:t>
      </w:r>
    </w:p>
    <w:p w:rsidR="00AE6DAD" w:rsidRPr="00AE6DAD" w:rsidRDefault="00AE6DAD" w:rsidP="00AE6DAD">
      <w:pPr>
        <w:spacing w:line="240" w:lineRule="auto"/>
      </w:pPr>
    </w:p>
    <w:p w:rsidR="00AE6DAD" w:rsidRDefault="00AE6DAD" w:rsidP="00AE6DAD">
      <w:pPr>
        <w:pStyle w:val="10"/>
        <w:tabs>
          <w:tab w:val="right" w:leader="dot" w:pos="9628"/>
        </w:tabs>
        <w:spacing w:line="240" w:lineRule="auto"/>
        <w:ind w:left="709" w:firstLine="0"/>
        <w:jc w:val="left"/>
        <w:rPr>
          <w:rStyle w:val="a9"/>
          <w:noProof/>
        </w:rPr>
      </w:pPr>
      <w:r w:rsidRPr="00B10B05">
        <w:rPr>
          <w:rStyle w:val="a9"/>
          <w:noProof/>
        </w:rPr>
        <w:t>Особенности принятия</w:t>
      </w:r>
      <w:r w:rsidRPr="00B10B05">
        <w:rPr>
          <w:rStyle w:val="a9"/>
          <w:noProof/>
        </w:rPr>
        <w:br/>
        <w:t>федерального конституционного закона</w:t>
      </w:r>
      <w:r>
        <w:rPr>
          <w:noProof/>
          <w:webHidden/>
        </w:rPr>
        <w:tab/>
        <w:t>11</w:t>
      </w:r>
    </w:p>
    <w:p w:rsidR="00AE6DAD" w:rsidRPr="00AE6DAD" w:rsidRDefault="00AE6DAD" w:rsidP="00AE6DAD">
      <w:pPr>
        <w:spacing w:line="240" w:lineRule="auto"/>
      </w:pPr>
    </w:p>
    <w:p w:rsidR="00AE6DAD" w:rsidRDefault="00AE6DAD" w:rsidP="00AE6DAD">
      <w:pPr>
        <w:pStyle w:val="10"/>
        <w:tabs>
          <w:tab w:val="right" w:leader="dot" w:pos="9628"/>
        </w:tabs>
        <w:spacing w:line="240" w:lineRule="auto"/>
        <w:ind w:left="709" w:firstLine="0"/>
        <w:jc w:val="left"/>
        <w:rPr>
          <w:rStyle w:val="a9"/>
          <w:noProof/>
        </w:rPr>
      </w:pPr>
      <w:r w:rsidRPr="00B10B05">
        <w:rPr>
          <w:rStyle w:val="a9"/>
          <w:noProof/>
        </w:rPr>
        <w:t>Повторное рассмотрение федерального закона</w:t>
      </w:r>
      <w:r>
        <w:rPr>
          <w:noProof/>
          <w:webHidden/>
        </w:rPr>
        <w:tab/>
        <w:t>13</w:t>
      </w:r>
    </w:p>
    <w:p w:rsidR="00AE6DAD" w:rsidRPr="00AE6DAD" w:rsidRDefault="00AE6DAD" w:rsidP="00AE6DAD">
      <w:pPr>
        <w:spacing w:line="240" w:lineRule="auto"/>
      </w:pPr>
    </w:p>
    <w:p w:rsidR="00AE6DAD" w:rsidRDefault="00AE6DAD" w:rsidP="00AE6DAD">
      <w:pPr>
        <w:pStyle w:val="10"/>
        <w:tabs>
          <w:tab w:val="right" w:leader="dot" w:pos="9628"/>
        </w:tabs>
        <w:spacing w:line="240" w:lineRule="auto"/>
        <w:ind w:left="709" w:firstLine="0"/>
        <w:jc w:val="left"/>
        <w:rPr>
          <w:rStyle w:val="a9"/>
          <w:noProof/>
        </w:rPr>
      </w:pPr>
      <w:r w:rsidRPr="00B10B05">
        <w:rPr>
          <w:rStyle w:val="a9"/>
          <w:noProof/>
        </w:rPr>
        <w:t>Список источников и литературы:</w:t>
      </w:r>
      <w:r>
        <w:rPr>
          <w:noProof/>
          <w:webHidden/>
        </w:rPr>
        <w:tab/>
        <w:t>14</w:t>
      </w:r>
    </w:p>
    <w:p w:rsidR="00AE6DAD" w:rsidRPr="00AE6DAD" w:rsidRDefault="00AE6DAD" w:rsidP="00AE6DAD">
      <w:pPr>
        <w:spacing w:line="240" w:lineRule="auto"/>
      </w:pPr>
    </w:p>
    <w:p w:rsidR="00AE6DAD" w:rsidRDefault="00AE6DAD" w:rsidP="00AE6DAD">
      <w:pPr>
        <w:pStyle w:val="20"/>
        <w:spacing w:line="240" w:lineRule="auto"/>
        <w:rPr>
          <w:rStyle w:val="a9"/>
          <w:noProof/>
        </w:rPr>
      </w:pPr>
      <w:r w:rsidRPr="00B10B05">
        <w:rPr>
          <w:rStyle w:val="a9"/>
          <w:noProof/>
        </w:rPr>
        <w:t>Источники:</w:t>
      </w:r>
      <w:r>
        <w:rPr>
          <w:noProof/>
          <w:webHidden/>
        </w:rPr>
        <w:tab/>
        <w:t>14</w:t>
      </w:r>
    </w:p>
    <w:p w:rsidR="00AE6DAD" w:rsidRPr="00AE6DAD" w:rsidRDefault="00AE6DAD" w:rsidP="00AE6DAD">
      <w:pPr>
        <w:spacing w:line="240" w:lineRule="auto"/>
      </w:pPr>
    </w:p>
    <w:p w:rsidR="00AE6DAD" w:rsidRDefault="00AE6DAD" w:rsidP="00AE6DAD">
      <w:pPr>
        <w:pStyle w:val="20"/>
        <w:spacing w:line="240" w:lineRule="auto"/>
        <w:rPr>
          <w:noProof/>
        </w:rPr>
      </w:pPr>
      <w:r w:rsidRPr="00B10B05">
        <w:rPr>
          <w:rStyle w:val="a9"/>
          <w:noProof/>
        </w:rPr>
        <w:t>Литература:</w:t>
      </w:r>
      <w:r>
        <w:rPr>
          <w:noProof/>
          <w:webHidden/>
        </w:rPr>
        <w:tab/>
        <w:t>14</w:t>
      </w:r>
    </w:p>
    <w:p w:rsidR="00D528BF" w:rsidRDefault="00D528BF" w:rsidP="00AE6DAD">
      <w:pPr>
        <w:pStyle w:val="a5"/>
        <w:ind w:left="709" w:firstLine="0"/>
      </w:pPr>
    </w:p>
    <w:p w:rsidR="00D528BF" w:rsidRDefault="00D528BF" w:rsidP="00580338">
      <w:pPr>
        <w:pStyle w:val="a5"/>
      </w:pPr>
    </w:p>
    <w:p w:rsidR="00D528BF" w:rsidRDefault="00D528BF" w:rsidP="00580338">
      <w:pPr>
        <w:pStyle w:val="a5"/>
      </w:pPr>
    </w:p>
    <w:p w:rsidR="00D528BF" w:rsidRDefault="00D528BF" w:rsidP="00580338">
      <w:pPr>
        <w:pStyle w:val="a5"/>
      </w:pPr>
    </w:p>
    <w:p w:rsidR="00580338" w:rsidRPr="00580338" w:rsidRDefault="00D528BF" w:rsidP="00D85B16">
      <w:pPr>
        <w:pStyle w:val="1"/>
        <w:spacing w:line="240" w:lineRule="auto"/>
      </w:pPr>
      <w:r>
        <w:br w:type="page"/>
      </w:r>
      <w:bookmarkStart w:id="0" w:name="_Toc63977240"/>
      <w:r w:rsidR="0036686C" w:rsidRPr="00580338">
        <w:t>Порядок внесения</w:t>
      </w:r>
      <w:r w:rsidR="00D85B16">
        <w:br/>
      </w:r>
      <w:r w:rsidR="0036686C" w:rsidRPr="00580338">
        <w:t>законопроектов в Государственную Думу</w:t>
      </w:r>
      <w:bookmarkEnd w:id="0"/>
    </w:p>
    <w:p w:rsidR="00D528BF" w:rsidRDefault="00D528BF" w:rsidP="00D85B16">
      <w:pPr>
        <w:pStyle w:val="a5"/>
        <w:spacing w:line="240" w:lineRule="auto"/>
      </w:pPr>
    </w:p>
    <w:p w:rsidR="00580338" w:rsidRPr="00580338" w:rsidRDefault="003E0EE7" w:rsidP="00580338">
      <w:pPr>
        <w:pStyle w:val="a5"/>
      </w:pPr>
      <w:r w:rsidRPr="00580338">
        <w:t>Право законодательной инициативы - это возможность вносить в законодательный орган законопроекты, т.е. предварительные тексты законов. Ему корреспондирует обязанность законодательного органа обсудить вопрос о принятии таких законопроектов к рассмотрению.</w:t>
      </w:r>
    </w:p>
    <w:p w:rsidR="00580338" w:rsidRPr="00580338" w:rsidRDefault="007C4BF9" w:rsidP="00580338">
      <w:pPr>
        <w:pStyle w:val="a5"/>
      </w:pPr>
      <w:r w:rsidRPr="00580338">
        <w:t>Субъекты права законодательной инициативы и порядок внесения законопроектов в Государственную Думу определены статьей 104 Конституции Российской Федерации. Согласно статье 104 (часть 1) Конституции Российской Федерации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580338" w:rsidRPr="00580338" w:rsidRDefault="00717804" w:rsidP="00580338">
      <w:pPr>
        <w:pStyle w:val="a5"/>
      </w:pPr>
      <w:r w:rsidRPr="00580338">
        <w:t>Государственные и общественные органы, не обладающие правом законодательной инициативы, а также отдельные граждане имеют возможность вносить свои инициативные законопроекты только через субъектов, наделенных этим правом.</w:t>
      </w:r>
    </w:p>
    <w:p w:rsidR="00580338" w:rsidRDefault="00580338" w:rsidP="00580338">
      <w:pPr>
        <w:pStyle w:val="a5"/>
      </w:pPr>
      <w:r w:rsidRPr="00580338">
        <w:t xml:space="preserve">Согласно ч. 2 ст. 104 законопроекты вносятся в Государственную Думу. Инициатор законопроекта представляет в Думу его текст в письменном виде. </w:t>
      </w:r>
      <w:r>
        <w:t xml:space="preserve">Согласно </w:t>
      </w:r>
      <w:r w:rsidRPr="00580338">
        <w:t>Регламенту Государственной Думы, внесенный проект закона регистрируется в Секретариате Думы и передается для предварительного рассмотрения в один или несколько комитетов. Обеспечивается заблаговременная рассылка законопроекта депутатам Думы. Завершением стадии законодательной инициативы является включение в повестку дня очередного заседания Государственной Думы решения вопроса о продолжении работы над законопроектом либо о его отклонении.</w:t>
      </w:r>
    </w:p>
    <w:p w:rsidR="00FD0BA7" w:rsidRDefault="00FD0BA7" w:rsidP="00FD0BA7">
      <w:pPr>
        <w:rPr>
          <w:sz w:val="24"/>
          <w:szCs w:val="24"/>
        </w:rPr>
      </w:pPr>
      <w:r>
        <w:t xml:space="preserve">Особое значение в деятельности </w:t>
      </w:r>
      <w:r w:rsidR="005E4B81">
        <w:t>Государственной Думы</w:t>
      </w:r>
      <w:r>
        <w:t xml:space="preserve"> имеет рассмотрение законопроектов о федеральных налогах и некоторых других финансовых вопросах. Это наглядно проявляется в порядке их внесения. При наличии заключения Правительства Российской Федерации в Государственную Думу вносятся законопроекты:</w:t>
      </w:r>
    </w:p>
    <w:p w:rsidR="00C30C8D" w:rsidRDefault="00FD0BA7" w:rsidP="008D2E58">
      <w:pPr>
        <w:numPr>
          <w:ilvl w:val="0"/>
          <w:numId w:val="4"/>
        </w:numPr>
      </w:pPr>
      <w:r w:rsidRPr="00FD0BA7">
        <w:t>о введении или отмене налогов</w:t>
      </w:r>
      <w:r w:rsidR="008D2E58">
        <w:t>;</w:t>
      </w:r>
    </w:p>
    <w:p w:rsidR="00FD0BA7" w:rsidRDefault="00FD0BA7" w:rsidP="008D2E58">
      <w:pPr>
        <w:numPr>
          <w:ilvl w:val="0"/>
          <w:numId w:val="4"/>
        </w:numPr>
      </w:pPr>
      <w:r w:rsidRPr="00FD0BA7">
        <w:t>освобождении от их уплаты;</w:t>
      </w:r>
    </w:p>
    <w:p w:rsidR="00982577" w:rsidRDefault="00FD0BA7" w:rsidP="008D2E58">
      <w:pPr>
        <w:numPr>
          <w:ilvl w:val="0"/>
          <w:numId w:val="4"/>
        </w:numPr>
      </w:pPr>
      <w:r w:rsidRPr="00FD0BA7">
        <w:t>о выпуске государственных займов</w:t>
      </w:r>
      <w:r w:rsidR="00982577">
        <w:t>;</w:t>
      </w:r>
    </w:p>
    <w:p w:rsidR="00FD0BA7" w:rsidRPr="00FD0BA7" w:rsidRDefault="00FD0BA7" w:rsidP="008D2E58">
      <w:pPr>
        <w:numPr>
          <w:ilvl w:val="0"/>
          <w:numId w:val="4"/>
        </w:numPr>
      </w:pPr>
      <w:r w:rsidRPr="00FD0BA7">
        <w:t>об изменении финансовых обязательств государства</w:t>
      </w:r>
      <w:r w:rsidR="00982577">
        <w:t>;</w:t>
      </w:r>
      <w:r w:rsidRPr="00FD0BA7">
        <w:t xml:space="preserve"> </w:t>
      </w:r>
    </w:p>
    <w:p w:rsidR="00A6239D" w:rsidRPr="00580338" w:rsidRDefault="00FD0BA7" w:rsidP="008D2E58">
      <w:pPr>
        <w:numPr>
          <w:ilvl w:val="0"/>
          <w:numId w:val="4"/>
        </w:numPr>
      </w:pPr>
      <w:r w:rsidRPr="00FD0BA7">
        <w:t>другие законопроекты, предусматривающие расходы, покрываемые за счет федерального бюджета, например проекты о безвозмездном финансировании расходов на различные цели, об установлении каких-либо льгот гражданам, предприятиям и организациям, влекущих покрытие их за счет федерального бюджета, и др.</w:t>
      </w:r>
    </w:p>
    <w:p w:rsidR="00FD0BA7" w:rsidRDefault="00FD0BA7"/>
    <w:p w:rsidR="00C5181F" w:rsidRDefault="008D2E58" w:rsidP="00D52F33">
      <w:pPr>
        <w:pStyle w:val="1"/>
      </w:pPr>
      <w:r>
        <w:br w:type="page"/>
      </w:r>
      <w:bookmarkStart w:id="1" w:name="_Toc63977241"/>
      <w:r w:rsidR="00C5181F" w:rsidRPr="00ED74C9">
        <w:t>Процедура принятия федерального закона</w:t>
      </w:r>
      <w:bookmarkEnd w:id="1"/>
    </w:p>
    <w:p w:rsidR="00C5181F" w:rsidRPr="00580338" w:rsidRDefault="00C5181F"/>
    <w:p w:rsidR="005223B3" w:rsidRDefault="00C5181F" w:rsidP="005223B3">
      <w:r w:rsidRPr="00ED74C9">
        <w:t>Процедура принятия федерального закона Государственной Думой в соответствии с ее Регламентом осуществляется в трех чтениях</w:t>
      </w:r>
      <w:r w:rsidR="005223B3">
        <w:t>, если иное не предусмотрено действующим законодательством или Регламентом.</w:t>
      </w:r>
    </w:p>
    <w:p w:rsidR="005223B3" w:rsidRDefault="005223B3" w:rsidP="005223B3">
      <w:r>
        <w:t xml:space="preserve">Так, например, </w:t>
      </w:r>
      <w:r w:rsidR="007E1B22">
        <w:t>согласно ст. 196 Бюджетного кодекса РФ</w:t>
      </w:r>
      <w:r w:rsidR="007E1B22">
        <w:rPr>
          <w:rStyle w:val="a7"/>
        </w:rPr>
        <w:footnoteReference w:id="1"/>
      </w:r>
      <w:r w:rsidR="007E1B22">
        <w:t xml:space="preserve">, </w:t>
      </w:r>
      <w:r w:rsidRPr="005223B3">
        <w:t>проект федерального закона о федеральном бюджете на очередной финансовый год</w:t>
      </w:r>
      <w:r>
        <w:t xml:space="preserve"> </w:t>
      </w:r>
      <w:r w:rsidRPr="005223B3">
        <w:t xml:space="preserve">Государственная Дума рассматривает в четырех чтениях. </w:t>
      </w:r>
    </w:p>
    <w:p w:rsidR="000C1263" w:rsidRDefault="00C5181F" w:rsidP="005223B3">
      <w:r w:rsidRPr="00ED74C9">
        <w:t xml:space="preserve">Во время первого чтения </w:t>
      </w:r>
      <w:r w:rsidR="000C1263">
        <w:t>обсуждается его концепция, дается оценка соответствия основных положений законопроекта Конституции Российской Федерации, его актуальности и практической значимости.</w:t>
      </w:r>
      <w:r w:rsidRPr="00ED74C9">
        <w:t xml:space="preserve"> </w:t>
      </w:r>
    </w:p>
    <w:p w:rsidR="00647DF8" w:rsidRDefault="00C5181F" w:rsidP="005223B3">
      <w:r w:rsidRPr="00ED74C9">
        <w:t xml:space="preserve">Обсуждение начинается с доклада инициатора проекта, затем заслушиваются содоклады и проводятся прения. По завершении прений Государственная Дума приступает к принятию решения по законопроекту с учетом всех высказанных замечаний и предложений. </w:t>
      </w:r>
    </w:p>
    <w:p w:rsidR="00647DF8" w:rsidRDefault="00647DF8" w:rsidP="005223B3">
      <w:r>
        <w:t>По результатам обсуждения законопроекта в первом чтении Государственная Дума может принять законопроект в первом чтении и продолжить работу над ним с учетом предложений и замечаний в виде поправок, или принять закон, за исключением законопроекта по предметам совместного ведения Российской Федерации и субъектов Российской Федерации, или отклонить законопроект.</w:t>
      </w:r>
    </w:p>
    <w:p w:rsidR="006C032D" w:rsidRDefault="000C5704" w:rsidP="005223B3">
      <w:r>
        <w:t xml:space="preserve">После окончания обсуждения законопроекта на голосование ставится предложение о принятии законопроекта в первом чтении. </w:t>
      </w:r>
      <w:r w:rsidR="006C032D">
        <w:t>При внесении альтернативных законопроектов Государственная Дума рассматривает их одновременно посредством рейтингового голосования. Если по итогам рейтингового голосования несколько законопроектов набрали достаточное для их принятия число голосов, то принятым в первом чтении считается законопроект, набравший наибольшее число голосов. Если по итогам рейтингового голосования ни один из законопроектов не набрал достаточного для принятия числа голосов, то на окончательное голосование ставится законопроект, получивший наибольшее число голосов.</w:t>
      </w:r>
    </w:p>
    <w:p w:rsidR="006C032D" w:rsidRDefault="006C032D" w:rsidP="006C032D">
      <w:r>
        <w:t>Законопроект считается принятым в первом чтении, если при окончательном голосовании за него проголосовало более половины от общего числа депутатов. Результат голосования оформляется постановлением Государственной Думы.</w:t>
      </w:r>
    </w:p>
    <w:p w:rsidR="006C032D" w:rsidRDefault="000C5704" w:rsidP="005223B3">
      <w:r>
        <w:t>Если по итогам голосования предложение о принятии законопроекта в первом чтении не набрало необходимого числа голосов, то он считается отклоненным без дополнительного голосования. Это решение оформляется соответствующим постановлением Государственной Думы.</w:t>
      </w:r>
    </w:p>
    <w:p w:rsidR="0088022A" w:rsidRDefault="000C5704" w:rsidP="005223B3">
      <w:r>
        <w:t>Отклоненный законопроект дальнейшему рассмотрению не подлежит и возвращается субъекту права законодательной инициативы.</w:t>
      </w:r>
      <w:r w:rsidR="0088022A">
        <w:t xml:space="preserve"> </w:t>
      </w:r>
      <w:r>
        <w:t>Не принятые Государственной Думой альтернативные законопроекты</w:t>
      </w:r>
      <w:r w:rsidR="0088022A">
        <w:t xml:space="preserve"> также</w:t>
      </w:r>
      <w:r>
        <w:t xml:space="preserve"> считаются отклоненными. </w:t>
      </w:r>
    </w:p>
    <w:p w:rsidR="0088022A" w:rsidRDefault="00BC2642" w:rsidP="005223B3">
      <w:r>
        <w:t xml:space="preserve">В случае принятия законопроекта в первом чтении, за исключением законопроекта по предметам совместного ведения Российской Федерации и субъектов Российской Федерации, председательствующий может поставить на голосование предложение ответственного комитета о принятии закона, исключая процедуры второго и третьего чтений, при наличии заключения Правового управления Аппарата Государственной Думы, отражающего результаты правовой и лингвистической экспертиз. </w:t>
      </w:r>
    </w:p>
    <w:p w:rsidR="0088022A" w:rsidRDefault="00BC2642" w:rsidP="005223B3">
      <w:r>
        <w:t xml:space="preserve">Если имеются возражающие против этого предложения, председательствующий предоставляет каждому из них до трех минут для обоснования своей позиции. Представитель ответственного комитета вправе высказать мнение ответственного комитета по каждому возражению либо снять предложение о принятии закона. </w:t>
      </w:r>
    </w:p>
    <w:p w:rsidR="0088022A" w:rsidRDefault="00BC2642" w:rsidP="005223B3">
      <w:r>
        <w:t xml:space="preserve">По окончании обсуждения, если ответственным комитетом не снято предложение о принятии закона, председательствующий ставит на голосование предложение ответственного комитета о принятии закона, исключая процедуры второго и третьего чтений. </w:t>
      </w:r>
    </w:p>
    <w:p w:rsidR="00BC2642" w:rsidRDefault="00BC2642" w:rsidP="005223B3">
      <w:r>
        <w:t>Федеральный закон считается принятым, если за его принятие проголосовало большинство от общего числа депутатов Государственной Думы. Если решение не принято, то работа над законопроектом продолжается в установленном Регламентом порядке</w:t>
      </w:r>
    </w:p>
    <w:p w:rsidR="00BC2642" w:rsidRDefault="00BC2642" w:rsidP="00BC2642">
      <w:r>
        <w:t>Государственная Дума</w:t>
      </w:r>
      <w:r w:rsidR="008821C9">
        <w:t xml:space="preserve"> также</w:t>
      </w:r>
      <w:r>
        <w:t xml:space="preserve"> может принять решение о всенародном обсуждении законопроекта, принятого в первом чтении.</w:t>
      </w:r>
    </w:p>
    <w:p w:rsidR="00C5181F" w:rsidRDefault="00C5181F" w:rsidP="005223B3">
      <w:r w:rsidRPr="00ED74C9">
        <w:t>В случае решения о принципиальном одобрении законопроекта и продолжении работы над ним проект передается на обсуждение комитета, ответственного за его подготовку.</w:t>
      </w:r>
    </w:p>
    <w:p w:rsidR="00300157" w:rsidRDefault="00300157" w:rsidP="00300157">
      <w:r w:rsidRPr="00300157">
        <w:t>Поправки к принятому в первом чтении законопроекту вносятся в соответствующий комитет в виде текста изменений или дополнений конкретных статей либо предложений об исключении тех или иных положений. Такие поправки могут вносить любые субъекты права законодательной инициативы. Правило о том, что поправки подлежат внесению в письменном виде в комитет, занимающийся разработкой законопроекта, имеет большое значение, ибо помогает преодолеть традиции бытовавшей в свое время на Съезде народных депутатов и в Верховном Совете практики внесения поправок с голоса.</w:t>
      </w:r>
    </w:p>
    <w:p w:rsidR="007E1B22" w:rsidRDefault="007E1B22" w:rsidP="007E1B22">
      <w:pPr>
        <w:pStyle w:val="a5"/>
      </w:pPr>
      <w:r w:rsidRPr="00ED74C9">
        <w:t>После того как комитет вновь представит в палату доработанный проект закона с учетом замечаний и предложений, высказанных депутатами при первом чтении, проводится его второе чтение на пленарном заседании. На этом этапе проходит постатейное детальное обсуждение законопроекта, каждой его статьи и внесенных депутатами поправок (изменений и дополнений, предложенных к первоначальному тексту).</w:t>
      </w:r>
    </w:p>
    <w:p w:rsidR="008821C9" w:rsidRDefault="00E82A57" w:rsidP="007E1B22">
      <w:r>
        <w:t>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w:t>
      </w:r>
    </w:p>
    <w:p w:rsidR="008821C9" w:rsidRDefault="00E82A57" w:rsidP="007E1B22">
      <w:r>
        <w:t xml:space="preserve">После повторного рассмотрения во втором чтении доработанного законопроекта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считается отклоненным и снимается с дальнейшего рассмотрения. Это решение направляется субъекту права законодательной инициативы, внесшему законопроект. </w:t>
      </w:r>
    </w:p>
    <w:p w:rsidR="00E82A57" w:rsidRDefault="00E82A57" w:rsidP="007E1B22">
      <w:r>
        <w:t>Решением Государственной Думы, принятым большинством голосов от общего числа депутатов Государственной Думы, законопроект может быть возвращен к процедуре первого чтения.</w:t>
      </w:r>
    </w:p>
    <w:p w:rsidR="006C408A" w:rsidRDefault="00D27AED" w:rsidP="006C408A">
      <w:r>
        <w:t>Принятый во втором чтении законопроект направляется в ответственный комитет для устранения с участием Правового управления Аппарата Государственной Думы возможных внутренних противоречий, установления правильной взаимосвязи статей и для редакционной правки, необходимой в связи с изменениями, внесенными в текст законопроекта при рассмотрении его во втором чтении.</w:t>
      </w:r>
    </w:p>
    <w:p w:rsidR="003C32BF" w:rsidRDefault="007E1B22" w:rsidP="003C32BF">
      <w:r w:rsidRPr="00ED74C9">
        <w:t>Завершающей стадией является третье чтение законопроекта, во время которого уже не разрешается вносить никаких поправок. Третье чтение состоит лишь в голосовании за или против законопроекта в целом.</w:t>
      </w:r>
      <w:r w:rsidR="003C32BF">
        <w:t xml:space="preserve"> </w:t>
      </w:r>
      <w:r w:rsidR="003C32BF" w:rsidRPr="003C32BF">
        <w:t xml:space="preserve">С момента принятия Государственной Думой законопроект становится федеральным законом. </w:t>
      </w:r>
      <w:r w:rsidR="003C32BF">
        <w:t>Это</w:t>
      </w:r>
      <w:r w:rsidR="003C32BF" w:rsidRPr="003C32BF">
        <w:t xml:space="preserve"> еще не действующий федеральный закон, но уже и не законопроект, а принятый палатой акт, поступающий на рассмотрение другой палаты.</w:t>
      </w:r>
    </w:p>
    <w:p w:rsidR="009C6ACD" w:rsidRDefault="009C6ACD" w:rsidP="007E1B22">
      <w:pPr>
        <w:pStyle w:val="a5"/>
      </w:pPr>
      <w:r>
        <w:t>Если законопроект не принят Государственной Думой в третьем чтении, он считается отклоненным. Решение оформляется соответствующим постановлением Государственной Думы без дополнительного голосования</w:t>
      </w:r>
    </w:p>
    <w:p w:rsidR="005E4B81" w:rsidRDefault="0043503C" w:rsidP="005E4B81">
      <w:pPr>
        <w:rPr>
          <w:rFonts w:ascii="Arial" w:hAnsi="Arial" w:cs="Arial"/>
          <w:color w:val="000000"/>
          <w:sz w:val="22"/>
          <w:szCs w:val="22"/>
        </w:rPr>
      </w:pPr>
      <w:r w:rsidRPr="0043503C">
        <w:t>При рассмотрении Государственной Думой проекта федерального закона о федеральном бюджете на очередной финансовый год в третьем чтении утверждаются расходы федерального бюджета</w:t>
      </w:r>
      <w:r w:rsidR="00403E3E">
        <w:t xml:space="preserve">, </w:t>
      </w:r>
      <w:r w:rsidRPr="0043503C">
        <w:t>распределение средств Федерального фонда финансовой поддержки субъектов Российской Федерации по субъектам Российской Федерации, основные показатели государственного оборонного заказа, перечень законодательных актов</w:t>
      </w:r>
      <w:r w:rsidR="005E4B81">
        <w:t>,</w:t>
      </w:r>
      <w:r w:rsidRPr="0043503C">
        <w:t xml:space="preserve"> действие которых отменяется или приостанавливается на очередной финансовый год в связи с тем, что бюджетом не предусмотрены средства на их реализацию</w:t>
      </w:r>
      <w:r w:rsidR="005E4B81">
        <w:t xml:space="preserve"> и т.д.</w:t>
      </w:r>
      <w:r w:rsidRPr="0043503C">
        <w:t xml:space="preserve"> Субъекты права законодательной инициативы направляют свои поправки по предмету третьего чтения в Комитет по бюджету.</w:t>
      </w:r>
    </w:p>
    <w:p w:rsidR="007E1B22" w:rsidRPr="00ED74C9" w:rsidRDefault="005E4B81" w:rsidP="005E4B81">
      <w:r w:rsidRPr="005E4B81">
        <w:t>При рассмотрении в четвертом чтении указанный законопроект голосуется в целом. Внесение в него поправок не допускается.</w:t>
      </w:r>
    </w:p>
    <w:p w:rsidR="00D528BF" w:rsidRDefault="007E1B22" w:rsidP="00D528BF">
      <w:pPr>
        <w:pStyle w:val="a5"/>
      </w:pPr>
      <w:r w:rsidRPr="00ED74C9">
        <w:t xml:space="preserve">Для принятия федерального закона необходимо большинство голосов от общего числа депутатов Государственной Думы. </w:t>
      </w:r>
      <w:r w:rsidR="00D528BF" w:rsidRPr="00D528BF">
        <w:t>Положение об общем числе депутатов Государственной Думы, содержащееся в статьях 103 (часть 3), 105 (части 2 и 5), 107 (часть 3), 108 (часть 2), 117 (часть 3) и 135 (часть 2) Конституции Российской Федерации, следует понимать как число депутатов, установленное для Государственной Думы статьей 95 (часть 3) Конституции Российской Федерации, - 450 депутатов</w:t>
      </w:r>
      <w:r w:rsidR="00D528BF">
        <w:rPr>
          <w:rStyle w:val="a7"/>
        </w:rPr>
        <w:footnoteReference w:id="2"/>
      </w:r>
      <w:r w:rsidR="00D528BF" w:rsidRPr="00D528BF">
        <w:t>.</w:t>
      </w:r>
    </w:p>
    <w:p w:rsidR="006C408A" w:rsidRPr="005D77DF" w:rsidRDefault="006C408A" w:rsidP="006C408A">
      <w:r>
        <w:t xml:space="preserve">Принятый Государственной Думой федеральный закон передается в течение пяти дней в Совет Федерации для его дальнейшего рассмотрения. </w:t>
      </w:r>
    </w:p>
    <w:p w:rsidR="00565DB0" w:rsidRDefault="00565DB0" w:rsidP="007E1B22">
      <w:pPr>
        <w:pStyle w:val="a5"/>
      </w:pPr>
    </w:p>
    <w:p w:rsidR="00565DB0" w:rsidRDefault="00D528BF" w:rsidP="00D52F33">
      <w:pPr>
        <w:pStyle w:val="1"/>
        <w:spacing w:line="240" w:lineRule="auto"/>
      </w:pPr>
      <w:r>
        <w:br w:type="page"/>
      </w:r>
      <w:bookmarkStart w:id="2" w:name="_Toc63977242"/>
      <w:r w:rsidR="006C408A">
        <w:t>Особенности принятия</w:t>
      </w:r>
      <w:r w:rsidR="00D52F33">
        <w:br/>
      </w:r>
      <w:r w:rsidR="006C408A">
        <w:t>ф</w:t>
      </w:r>
      <w:r w:rsidR="00565DB0">
        <w:t>едеральн</w:t>
      </w:r>
      <w:r w:rsidR="006C408A">
        <w:t>ого</w:t>
      </w:r>
      <w:r w:rsidR="00565DB0">
        <w:t xml:space="preserve"> конституционн</w:t>
      </w:r>
      <w:r w:rsidR="006C408A">
        <w:t>ого</w:t>
      </w:r>
      <w:r w:rsidR="00565DB0">
        <w:t xml:space="preserve"> закон</w:t>
      </w:r>
      <w:r w:rsidR="006C408A">
        <w:t>а</w:t>
      </w:r>
      <w:bookmarkEnd w:id="2"/>
    </w:p>
    <w:p w:rsidR="00565DB0" w:rsidRDefault="00565DB0" w:rsidP="007E1B22">
      <w:pPr>
        <w:pStyle w:val="a5"/>
      </w:pPr>
    </w:p>
    <w:p w:rsidR="007E1B22" w:rsidRDefault="007E1B22" w:rsidP="007E1B22">
      <w:pPr>
        <w:pStyle w:val="a5"/>
      </w:pPr>
      <w:r w:rsidRPr="00ED74C9">
        <w:t>Федеральные конституционные законы занимают особое место в российском законодательстве. Одно из предназначений таких законов - обеспечить стабильность Конституции как Основного Закона государства, закрепляющего устои его конституционного строя. Особая юридическая сила федеральных конституционных законов находит свое выражение в том, что им не должны противоречить обычные федеральные законы</w:t>
      </w:r>
      <w:r>
        <w:t>.</w:t>
      </w:r>
      <w:r w:rsidRPr="00ED74C9">
        <w:t xml:space="preserve"> </w:t>
      </w:r>
    </w:p>
    <w:p w:rsidR="007E1B22" w:rsidRDefault="007E1B22" w:rsidP="007E1B22">
      <w:pPr>
        <w:pStyle w:val="a5"/>
      </w:pPr>
      <w:r w:rsidRPr="00ED74C9">
        <w:t>Конституция четко определяет круг вопросов, по которым принимаются федеральные конституционные законы, давая их исчерпывающий перечень. Это законы</w:t>
      </w:r>
      <w:r>
        <w:t>:</w:t>
      </w:r>
      <w:r w:rsidRPr="00ED74C9">
        <w:t xml:space="preserve"> </w:t>
      </w:r>
    </w:p>
    <w:p w:rsidR="007E1B22" w:rsidRDefault="007E1B22" w:rsidP="00565DB0">
      <w:pPr>
        <w:pStyle w:val="a5"/>
        <w:numPr>
          <w:ilvl w:val="0"/>
          <w:numId w:val="1"/>
        </w:numPr>
      </w:pPr>
      <w:r w:rsidRPr="00ED74C9">
        <w:t xml:space="preserve">об условиях и порядке введения чрезвычайного положения на территории Российской Федерации или в ее отдельных местностях (ст. 56 и 88); </w:t>
      </w:r>
    </w:p>
    <w:p w:rsidR="007E1B22" w:rsidRDefault="007E1B22" w:rsidP="00565DB0">
      <w:pPr>
        <w:pStyle w:val="a5"/>
        <w:numPr>
          <w:ilvl w:val="0"/>
          <w:numId w:val="1"/>
        </w:numPr>
      </w:pPr>
      <w:r w:rsidRPr="00ED74C9">
        <w:t xml:space="preserve">о принятии в Российскую Федерацию и образовании в ее составе нового субъекта, а также об изменении конституционно-правового статуса Федерации (ст. 65, 66 и 137); </w:t>
      </w:r>
    </w:p>
    <w:p w:rsidR="007E1B22" w:rsidRDefault="007E1B22" w:rsidP="007E1B22">
      <w:pPr>
        <w:pStyle w:val="a5"/>
        <w:numPr>
          <w:ilvl w:val="1"/>
          <w:numId w:val="1"/>
        </w:numPr>
      </w:pPr>
      <w:r w:rsidRPr="00ED74C9">
        <w:t xml:space="preserve">о государственных флаге, гербе и гимне Российской Федерации, их описании и порядке официального использования (ст. 70); </w:t>
      </w:r>
    </w:p>
    <w:p w:rsidR="007E1B22" w:rsidRDefault="007E1B22" w:rsidP="007E1B22">
      <w:pPr>
        <w:pStyle w:val="a5"/>
        <w:numPr>
          <w:ilvl w:val="1"/>
          <w:numId w:val="1"/>
        </w:numPr>
      </w:pPr>
      <w:r w:rsidRPr="00ED74C9">
        <w:t xml:space="preserve">о референдуме (ст. 84); </w:t>
      </w:r>
    </w:p>
    <w:p w:rsidR="007E1B22" w:rsidRDefault="007E1B22" w:rsidP="007E1B22">
      <w:pPr>
        <w:pStyle w:val="a5"/>
        <w:numPr>
          <w:ilvl w:val="1"/>
          <w:numId w:val="1"/>
        </w:numPr>
      </w:pPr>
      <w:r w:rsidRPr="00ED74C9">
        <w:t xml:space="preserve">о режиме военного положения (ст. 87); </w:t>
      </w:r>
    </w:p>
    <w:p w:rsidR="007E1B22" w:rsidRDefault="007E1B22" w:rsidP="007E1B22">
      <w:pPr>
        <w:pStyle w:val="a5"/>
        <w:numPr>
          <w:ilvl w:val="1"/>
          <w:numId w:val="1"/>
        </w:numPr>
      </w:pPr>
      <w:r w:rsidRPr="00ED74C9">
        <w:t xml:space="preserve">об Уполномоченном по правам человека (ст. 103); </w:t>
      </w:r>
    </w:p>
    <w:p w:rsidR="007E1B22" w:rsidRDefault="007E1B22" w:rsidP="007E1B22">
      <w:pPr>
        <w:pStyle w:val="a5"/>
        <w:numPr>
          <w:ilvl w:val="1"/>
          <w:numId w:val="1"/>
        </w:numPr>
      </w:pPr>
      <w:r w:rsidRPr="00ED74C9">
        <w:t xml:space="preserve">о порядке деятельности Правительства Российской Федерации (ст. 114); </w:t>
      </w:r>
    </w:p>
    <w:p w:rsidR="007E1B22" w:rsidRDefault="007E1B22" w:rsidP="007E1B22">
      <w:pPr>
        <w:pStyle w:val="a5"/>
        <w:numPr>
          <w:ilvl w:val="1"/>
          <w:numId w:val="1"/>
        </w:numPr>
      </w:pPr>
      <w:r w:rsidRPr="00ED74C9">
        <w:t xml:space="preserve">о судебной системе Российской Федерации (ст. 118); </w:t>
      </w:r>
    </w:p>
    <w:p w:rsidR="007E1B22" w:rsidRDefault="007E1B22" w:rsidP="007E1B22">
      <w:pPr>
        <w:pStyle w:val="a5"/>
        <w:numPr>
          <w:ilvl w:val="1"/>
          <w:numId w:val="1"/>
        </w:numPr>
      </w:pPr>
      <w:r w:rsidRPr="00ED74C9">
        <w:t xml:space="preserve">о полномочиях, порядке образования и деятельности Конституционного Суда, Верховного Суда, Высшего Арбитражного Суда и иных федеральных судов (ст. 128); </w:t>
      </w:r>
    </w:p>
    <w:p w:rsidR="007E1B22" w:rsidRDefault="007E1B22" w:rsidP="007E1B22">
      <w:pPr>
        <w:pStyle w:val="a5"/>
        <w:numPr>
          <w:ilvl w:val="1"/>
          <w:numId w:val="1"/>
        </w:numPr>
      </w:pPr>
      <w:r w:rsidRPr="00ED74C9">
        <w:t>о Конституционном Собрании (ст. 135).</w:t>
      </w:r>
    </w:p>
    <w:p w:rsidR="007E1B22" w:rsidRDefault="007E1B22" w:rsidP="007E1B22">
      <w:pPr>
        <w:pStyle w:val="a5"/>
      </w:pPr>
      <w:r w:rsidRPr="00ED74C9">
        <w:t>Верховенство федеральных конституционных законов по отношению ко всем другим правовым актам, включая и федеральные законы, обусловливает особую, более сложную процедуру их принятия.</w:t>
      </w:r>
    </w:p>
    <w:p w:rsidR="007E1B22" w:rsidRDefault="007E1B22" w:rsidP="007E1B22">
      <w:pPr>
        <w:pStyle w:val="a5"/>
      </w:pPr>
      <w:r w:rsidRPr="00ED74C9">
        <w:t xml:space="preserve">Федеральные конституционные законы принимаются так называемым квалифицированным большинством в каждой из палат Федерального Собрания. </w:t>
      </w:r>
    </w:p>
    <w:p w:rsidR="007E1B22" w:rsidRDefault="007E1B22" w:rsidP="007E1B22">
      <w:pPr>
        <w:pStyle w:val="a5"/>
      </w:pPr>
      <w:r w:rsidRPr="00ED74C9">
        <w:t xml:space="preserve">Это означает, что конституционный закон считается принятым только после того, как за него проголосовало не менее </w:t>
      </w:r>
      <w:r>
        <w:t>¾</w:t>
      </w:r>
      <w:r w:rsidRPr="00ED74C9">
        <w:t xml:space="preserve"> от общего числа членов Совета Федерации и не менее</w:t>
      </w:r>
      <w:r>
        <w:t xml:space="preserve"> </w:t>
      </w:r>
      <w:r>
        <w:rPr>
          <w:rFonts w:cs="Courier New"/>
        </w:rPr>
        <w:t>⅔</w:t>
      </w:r>
      <w:r w:rsidRPr="00ED74C9">
        <w:t xml:space="preserve"> от общего числа депутатов Государственной Думы, в то время как для принятия федеральных законов достаточно простого большинства</w:t>
      </w:r>
      <w:r w:rsidR="005D77DF">
        <w:t>.</w:t>
      </w:r>
    </w:p>
    <w:p w:rsidR="00565DB0" w:rsidRDefault="00D528BF" w:rsidP="00D52F33">
      <w:pPr>
        <w:pStyle w:val="1"/>
      </w:pPr>
      <w:r>
        <w:br w:type="page"/>
      </w:r>
      <w:bookmarkStart w:id="3" w:name="_Toc63977243"/>
      <w:r w:rsidR="00565DB0">
        <w:t>Повторное рассмотрение</w:t>
      </w:r>
      <w:r w:rsidR="006C408A">
        <w:t xml:space="preserve"> федерального закона</w:t>
      </w:r>
      <w:bookmarkEnd w:id="3"/>
    </w:p>
    <w:p w:rsidR="00565DB0" w:rsidRDefault="00565DB0" w:rsidP="005D77DF"/>
    <w:p w:rsidR="005D77DF" w:rsidRPr="005D77DF" w:rsidRDefault="005D77DF" w:rsidP="005D77DF">
      <w:r w:rsidRPr="005D77DF">
        <w:t>Конституцией предусмотрен порядок дальнейшей работы с законом, если принятый Думой федеральный закон будет отклонен Советом Федерации. В этом случае палатами на паритетных началах может быть создана согласительная комиссия для преодоления возникших разногласий. Комиссия рассматривает каждое возражение Совета Федерации по принятому закону и вырабатывает согласованные предложения, после чего закон вторично рассматривается Государственной Думой. При этом на обсуждение палаты ставятся только предложения согласительной комиссии. Никакие другие поправки и предложения, выходящие за пределы разногласий, не подлежат обсуждению. Закон считается принятым повторно с учетом предложений согласительной комиссии, если за него проголосовало более половины от общего числа депутатов Государственной Думы.</w:t>
      </w:r>
    </w:p>
    <w:p w:rsidR="005D77DF" w:rsidRDefault="005D77DF" w:rsidP="005D77DF">
      <w:r w:rsidRPr="005D77DF">
        <w:t xml:space="preserve">Если комиссия не пришла к согласованному решению или ее решение не удовлетворяет Государственную Думу, отклоненный закон ставится на голосование в ранее принятой редакции. В этом случае закон считается принятым, если за него проголосовало не менее </w:t>
      </w:r>
      <w:r w:rsidR="00826DB8">
        <w:rPr>
          <w:rFonts w:cs="Courier New"/>
        </w:rPr>
        <w:t>⅔</w:t>
      </w:r>
      <w:r w:rsidR="00862395">
        <w:t xml:space="preserve"> </w:t>
      </w:r>
      <w:r w:rsidRPr="005D77DF">
        <w:t>от общего числа депутатов Государственной Думы.</w:t>
      </w:r>
    </w:p>
    <w:p w:rsidR="008D2E58" w:rsidRDefault="008D2E58" w:rsidP="00D52F33">
      <w:pPr>
        <w:pStyle w:val="1"/>
      </w:pPr>
      <w:r>
        <w:br w:type="page"/>
      </w:r>
      <w:bookmarkStart w:id="4" w:name="_Toc63977244"/>
      <w:r>
        <w:t>Список источников и литературы:</w:t>
      </w:r>
      <w:bookmarkEnd w:id="4"/>
      <w:r>
        <w:t xml:space="preserve"> </w:t>
      </w:r>
    </w:p>
    <w:p w:rsidR="008D2E58" w:rsidRDefault="008D2E58" w:rsidP="00D52F33">
      <w:pPr>
        <w:pStyle w:val="2"/>
      </w:pPr>
      <w:bookmarkStart w:id="5" w:name="_Toc63977245"/>
      <w:r>
        <w:t>Источники:</w:t>
      </w:r>
      <w:bookmarkEnd w:id="5"/>
    </w:p>
    <w:p w:rsidR="006C5E98" w:rsidRDefault="006C5E98" w:rsidP="005D77DF"/>
    <w:p w:rsidR="008D2E58" w:rsidRDefault="008D2E58" w:rsidP="006C5E98">
      <w:pPr>
        <w:numPr>
          <w:ilvl w:val="0"/>
          <w:numId w:val="7"/>
        </w:numPr>
      </w:pPr>
      <w:r>
        <w:t>Конституция РФ</w:t>
      </w:r>
    </w:p>
    <w:p w:rsidR="006C5E98" w:rsidRDefault="006C5E98" w:rsidP="006C5E98">
      <w:pPr>
        <w:numPr>
          <w:ilvl w:val="0"/>
          <w:numId w:val="7"/>
        </w:numPr>
      </w:pPr>
      <w:r>
        <w:t>Регламент Государственной Думы</w:t>
      </w:r>
    </w:p>
    <w:p w:rsidR="006C5E98" w:rsidRDefault="006C5E98" w:rsidP="006C5E98">
      <w:pPr>
        <w:numPr>
          <w:ilvl w:val="0"/>
          <w:numId w:val="7"/>
        </w:numPr>
      </w:pPr>
      <w:r>
        <w:t>Бюджетный кодекс Российской Федерации от 31 июля 1998 г. N 145-ФЗ // Собрание законодательства Российской Федерации от 3 августа 1998 г. N 31. Ст. 3823.</w:t>
      </w:r>
    </w:p>
    <w:p w:rsidR="006C5E98" w:rsidRDefault="006C5E98" w:rsidP="006C5E98">
      <w:pPr>
        <w:numPr>
          <w:ilvl w:val="0"/>
          <w:numId w:val="7"/>
        </w:numPr>
      </w:pPr>
      <w:r>
        <w:t>Постановление Конституционного Суда РФ от 12 апреля 1995 г. N 2-П "По делу о толковании статей 103 (часть 3), 105 (части 2 и 5), 107 (часть 3), 108 (часть 2), 117 (часть 3) и 135 (часть 2) Конституции Российской Федерации" // Собрание законодательства Российской Федерации от 17 апреля 1995 г. N 16. Ст. 1451.</w:t>
      </w:r>
    </w:p>
    <w:p w:rsidR="008D2E58" w:rsidRDefault="008D2E58" w:rsidP="006C5E98"/>
    <w:p w:rsidR="006C5E98" w:rsidRDefault="006C5E98" w:rsidP="00D52F33">
      <w:pPr>
        <w:pStyle w:val="2"/>
      </w:pPr>
      <w:bookmarkStart w:id="6" w:name="_Toc63977246"/>
      <w:r>
        <w:t>Литература:</w:t>
      </w:r>
      <w:bookmarkEnd w:id="6"/>
    </w:p>
    <w:p w:rsidR="00D52F33" w:rsidRDefault="00D52F33" w:rsidP="006C5E98"/>
    <w:p w:rsidR="006C5E98" w:rsidRDefault="002B6019" w:rsidP="006C5E98">
      <w:pPr>
        <w:numPr>
          <w:ilvl w:val="0"/>
          <w:numId w:val="7"/>
        </w:numPr>
      </w:pPr>
      <w:r>
        <w:t>Мархгейм М. В., Смоленский М. Б., Яценко И. С. Конституционное право Российской Федерации: Учебник. – СПб.: Издательство «Юридический центр Пресс», 2003.</w:t>
      </w:r>
    </w:p>
    <w:p w:rsidR="00300157" w:rsidRPr="006F192C" w:rsidRDefault="00300157" w:rsidP="006F192C">
      <w:pPr>
        <w:numPr>
          <w:ilvl w:val="0"/>
          <w:numId w:val="7"/>
        </w:numPr>
      </w:pPr>
      <w:r w:rsidRPr="006F192C">
        <w:t xml:space="preserve">Постатейный комментарий к Конституции Российской Федерации </w:t>
      </w:r>
      <w:r w:rsidR="006F192C">
        <w:t>/ П</w:t>
      </w:r>
      <w:r w:rsidRPr="006F192C">
        <w:t xml:space="preserve">од общ. ред. </w:t>
      </w:r>
      <w:r w:rsidR="00D52F33" w:rsidRPr="006F192C">
        <w:t>Ю.</w:t>
      </w:r>
      <w:r w:rsidR="00D52F33">
        <w:t> </w:t>
      </w:r>
      <w:r w:rsidR="00D52F33" w:rsidRPr="006F192C">
        <w:t>В.</w:t>
      </w:r>
      <w:r w:rsidR="00D52F33">
        <w:t> </w:t>
      </w:r>
      <w:r w:rsidRPr="006F192C">
        <w:t>Кудрявцева</w:t>
      </w:r>
      <w:r w:rsidR="00D52F33">
        <w:t>.</w:t>
      </w:r>
      <w:r w:rsidRPr="006F192C">
        <w:t xml:space="preserve"> </w:t>
      </w:r>
      <w:r w:rsidR="006F192C">
        <w:t xml:space="preserve">- </w:t>
      </w:r>
      <w:r w:rsidR="006F192C" w:rsidRPr="006F192C">
        <w:t>М.: Фонд "Правовая культура", 1996.</w:t>
      </w:r>
    </w:p>
    <w:p w:rsidR="006F192C" w:rsidRPr="00580338" w:rsidRDefault="006F192C" w:rsidP="006F192C">
      <w:pPr>
        <w:numPr>
          <w:ilvl w:val="0"/>
          <w:numId w:val="7"/>
        </w:numPr>
      </w:pPr>
      <w:r w:rsidRPr="006F192C">
        <w:t xml:space="preserve">Постатейный комментарий к Конституции Российской Федерации </w:t>
      </w:r>
      <w:r w:rsidR="00D52F33">
        <w:t>/ П</w:t>
      </w:r>
      <w:r w:rsidRPr="006F192C">
        <w:t>од ред.</w:t>
      </w:r>
      <w:r w:rsidR="00D52F33" w:rsidRPr="00D52F33">
        <w:t xml:space="preserve"> </w:t>
      </w:r>
      <w:r w:rsidR="00D52F33" w:rsidRPr="006F192C">
        <w:t>Л.</w:t>
      </w:r>
      <w:r w:rsidR="00D52F33">
        <w:t> </w:t>
      </w:r>
      <w:r w:rsidR="00D52F33" w:rsidRPr="006F192C">
        <w:t>А.</w:t>
      </w:r>
      <w:r w:rsidR="00D52F33">
        <w:t> </w:t>
      </w:r>
      <w:r w:rsidRPr="006F192C">
        <w:t>Окунькова</w:t>
      </w:r>
      <w:r w:rsidR="00D52F33">
        <w:t>. -</w:t>
      </w:r>
      <w:r>
        <w:t xml:space="preserve"> </w:t>
      </w:r>
      <w:r w:rsidRPr="006F192C">
        <w:t>М.: Издательство БЕК, 1994</w:t>
      </w:r>
      <w:r w:rsidR="00D52F33">
        <w:t>.</w:t>
      </w:r>
      <w:bookmarkStart w:id="7" w:name="_GoBack"/>
      <w:bookmarkEnd w:id="7"/>
    </w:p>
    <w:sectPr w:rsidR="006F192C" w:rsidRPr="00580338" w:rsidSect="00D85B16">
      <w:headerReference w:type="even" r:id="rId7"/>
      <w:headerReference w:type="default" r:id="rId8"/>
      <w:pgSz w:w="11906" w:h="16838"/>
      <w:pgMar w:top="1247" w:right="567" w:bottom="124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B0A" w:rsidRDefault="00284B0A">
      <w:pPr>
        <w:spacing w:line="240" w:lineRule="auto"/>
      </w:pPr>
      <w:r>
        <w:separator/>
      </w:r>
    </w:p>
  </w:endnote>
  <w:endnote w:type="continuationSeparator" w:id="0">
    <w:p w:rsidR="00284B0A" w:rsidRDefault="00284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yrillicOld">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B0A" w:rsidRDefault="00284B0A">
      <w:pPr>
        <w:spacing w:line="240" w:lineRule="auto"/>
      </w:pPr>
      <w:r>
        <w:separator/>
      </w:r>
    </w:p>
  </w:footnote>
  <w:footnote w:type="continuationSeparator" w:id="0">
    <w:p w:rsidR="00284B0A" w:rsidRDefault="00284B0A">
      <w:pPr>
        <w:spacing w:line="240" w:lineRule="auto"/>
      </w:pPr>
      <w:r>
        <w:continuationSeparator/>
      </w:r>
    </w:p>
  </w:footnote>
  <w:footnote w:id="1">
    <w:p w:rsidR="00AD6551" w:rsidRDefault="00AD6551" w:rsidP="007E1B22">
      <w:pPr>
        <w:pStyle w:val="a4"/>
      </w:pPr>
      <w:r>
        <w:rPr>
          <w:rStyle w:val="a7"/>
        </w:rPr>
        <w:footnoteRef/>
      </w:r>
      <w:r>
        <w:t xml:space="preserve"> Бюджетный кодекс Российской Федерации от 31 июля 1998 г. N 145-ФЗ // Собрание законодательства Российской Федерации от 3 августа 1998 г. N 31. Ст. 3823.</w:t>
      </w:r>
    </w:p>
  </w:footnote>
  <w:footnote w:id="2">
    <w:p w:rsidR="00AD6551" w:rsidRDefault="00AD6551">
      <w:pPr>
        <w:pStyle w:val="a4"/>
      </w:pPr>
      <w:r>
        <w:rPr>
          <w:rStyle w:val="a7"/>
        </w:rPr>
        <w:footnoteRef/>
      </w:r>
      <w:r>
        <w:t xml:space="preserve"> Постановление Конституционного Суда РФ от 12 апреля 1995 г. N 2-П "По делу о толковании статей 103 (часть 3), 105 (части 2 и 5), 107 (часть 3), 108 (часть 2), 117 (часть 3) и 135 (часть 2) Конституции Российской Федерации" // Собрание законодательства Российской Федерации от 17 апреля 1995 г. N 16. Ст. 1451.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51" w:rsidRDefault="00AD6551" w:rsidP="00D85B16">
    <w:pPr>
      <w:pStyle w:val="a8"/>
      <w:framePr w:wrap="around" w:vAnchor="text" w:hAnchor="margin" w:xAlign="right" w:y="1"/>
      <w:rPr>
        <w:rStyle w:val="a3"/>
      </w:rPr>
    </w:pPr>
  </w:p>
  <w:p w:rsidR="00AD6551" w:rsidRDefault="00AD6551" w:rsidP="00D85B1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51" w:rsidRDefault="00B10B05" w:rsidP="00D85B16">
    <w:pPr>
      <w:pStyle w:val="a8"/>
      <w:framePr w:wrap="around" w:vAnchor="text" w:hAnchor="margin" w:xAlign="right" w:y="1"/>
      <w:rPr>
        <w:rStyle w:val="a3"/>
      </w:rPr>
    </w:pPr>
    <w:r>
      <w:rPr>
        <w:rStyle w:val="a3"/>
        <w:noProof/>
      </w:rPr>
      <w:t>3</w:t>
    </w:r>
  </w:p>
  <w:p w:rsidR="00AD6551" w:rsidRDefault="00AD6551" w:rsidP="00D85B1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3D0"/>
    <w:multiLevelType w:val="hybridMultilevel"/>
    <w:tmpl w:val="72B2898E"/>
    <w:lvl w:ilvl="0" w:tplc="077437F2">
      <w:start w:val="1"/>
      <w:numFmt w:val="bullet"/>
      <w:lvlText w:val="­"/>
      <w:lvlJc w:val="left"/>
      <w:pPr>
        <w:tabs>
          <w:tab w:val="num" w:pos="1069"/>
        </w:tabs>
        <w:ind w:left="1069" w:hanging="360"/>
      </w:pPr>
      <w:rPr>
        <w:rFonts w:ascii="Times New Roman" w:hAnsi="Times New Roman" w:cs="Times New Roman" w:hint="default"/>
      </w:rPr>
    </w:lvl>
    <w:lvl w:ilvl="1" w:tplc="B01CA9C8">
      <w:start w:val="1"/>
      <w:numFmt w:val="bullet"/>
      <w:lvlText w:val="­"/>
      <w:lvlJc w:val="left"/>
      <w:pPr>
        <w:tabs>
          <w:tab w:val="num" w:pos="1069"/>
        </w:tabs>
        <w:ind w:left="1069" w:hanging="360"/>
      </w:pPr>
      <w:rPr>
        <w:rFonts w:ascii="Times New Roman" w:hAnsi="Times New Roman"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
    <w:nsid w:val="2AEC61A4"/>
    <w:multiLevelType w:val="hybridMultilevel"/>
    <w:tmpl w:val="4EF2221A"/>
    <w:lvl w:ilvl="0" w:tplc="077437F2">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0987AE9"/>
    <w:multiLevelType w:val="multilevel"/>
    <w:tmpl w:val="4EF2221A"/>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3CFC487E"/>
    <w:multiLevelType w:val="hybridMultilevel"/>
    <w:tmpl w:val="9C8E862C"/>
    <w:lvl w:ilvl="0" w:tplc="077437F2">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AC52995"/>
    <w:multiLevelType w:val="multilevel"/>
    <w:tmpl w:val="9C8E862C"/>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7411765F"/>
    <w:multiLevelType w:val="hybridMultilevel"/>
    <w:tmpl w:val="F1224D02"/>
    <w:lvl w:ilvl="0" w:tplc="077437F2">
      <w:start w:val="1"/>
      <w:numFmt w:val="bullet"/>
      <w:lvlText w:val="­"/>
      <w:lvlJc w:val="left"/>
      <w:pPr>
        <w:tabs>
          <w:tab w:val="num" w:pos="1069"/>
        </w:tabs>
        <w:ind w:left="1069" w:hanging="360"/>
      </w:pPr>
      <w:rPr>
        <w:rFonts w:ascii="Times New Roman" w:hAnsi="Times New Roman" w:cs="Times New Roman" w:hint="default"/>
      </w:rPr>
    </w:lvl>
    <w:lvl w:ilvl="1" w:tplc="077437F2">
      <w:start w:val="1"/>
      <w:numFmt w:val="bullet"/>
      <w:lvlText w:val="­"/>
      <w:lvlJc w:val="left"/>
      <w:pPr>
        <w:tabs>
          <w:tab w:val="num" w:pos="1069"/>
        </w:tabs>
        <w:ind w:left="1069" w:hanging="360"/>
      </w:pPr>
      <w:rPr>
        <w:rFonts w:ascii="Times New Roman" w:hAnsi="Times New Roman"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6">
    <w:nsid w:val="7A1123A3"/>
    <w:multiLevelType w:val="hybridMultilevel"/>
    <w:tmpl w:val="991A245A"/>
    <w:lvl w:ilvl="0" w:tplc="077437F2">
      <w:start w:val="1"/>
      <w:numFmt w:val="bullet"/>
      <w:lvlText w:val="­"/>
      <w:lvlJc w:val="left"/>
      <w:pPr>
        <w:tabs>
          <w:tab w:val="num" w:pos="1069"/>
        </w:tabs>
        <w:ind w:left="1069" w:hanging="360"/>
      </w:pPr>
      <w:rPr>
        <w:rFonts w:ascii="Times New Roman" w:hAnsi="Times New Roman" w:cs="Times New Roman" w:hint="default"/>
      </w:rPr>
    </w:lvl>
    <w:lvl w:ilvl="1" w:tplc="077437F2">
      <w:start w:val="1"/>
      <w:numFmt w:val="bullet"/>
      <w:lvlText w:val="­"/>
      <w:lvlJc w:val="left"/>
      <w:pPr>
        <w:tabs>
          <w:tab w:val="num" w:pos="1069"/>
        </w:tabs>
        <w:ind w:left="1069" w:hanging="360"/>
      </w:pPr>
      <w:rPr>
        <w:rFonts w:ascii="Times New Roman" w:hAnsi="Times New Roman"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CBA"/>
    <w:rsid w:val="000C1263"/>
    <w:rsid w:val="000C5704"/>
    <w:rsid w:val="00185F9A"/>
    <w:rsid w:val="001F10D8"/>
    <w:rsid w:val="00284B0A"/>
    <w:rsid w:val="002B6019"/>
    <w:rsid w:val="00300157"/>
    <w:rsid w:val="0035198A"/>
    <w:rsid w:val="0036686C"/>
    <w:rsid w:val="003C32BF"/>
    <w:rsid w:val="003E0EE7"/>
    <w:rsid w:val="00403E3E"/>
    <w:rsid w:val="00426670"/>
    <w:rsid w:val="0043503C"/>
    <w:rsid w:val="004E3C0F"/>
    <w:rsid w:val="005223B3"/>
    <w:rsid w:val="00565DB0"/>
    <w:rsid w:val="00580338"/>
    <w:rsid w:val="005D77DF"/>
    <w:rsid w:val="005E4B81"/>
    <w:rsid w:val="00647DF8"/>
    <w:rsid w:val="00653EED"/>
    <w:rsid w:val="006B6C0B"/>
    <w:rsid w:val="006C032D"/>
    <w:rsid w:val="006C408A"/>
    <w:rsid w:val="006C5E98"/>
    <w:rsid w:val="006F192C"/>
    <w:rsid w:val="00717804"/>
    <w:rsid w:val="007A4E08"/>
    <w:rsid w:val="007C4BF9"/>
    <w:rsid w:val="007E1B22"/>
    <w:rsid w:val="00826DB8"/>
    <w:rsid w:val="00857D93"/>
    <w:rsid w:val="00862395"/>
    <w:rsid w:val="0088022A"/>
    <w:rsid w:val="008821C9"/>
    <w:rsid w:val="008D2E58"/>
    <w:rsid w:val="008F28EB"/>
    <w:rsid w:val="00982577"/>
    <w:rsid w:val="009C6ACD"/>
    <w:rsid w:val="00A6239D"/>
    <w:rsid w:val="00A655C4"/>
    <w:rsid w:val="00AD6551"/>
    <w:rsid w:val="00AE6DAD"/>
    <w:rsid w:val="00B10B05"/>
    <w:rsid w:val="00B24C4A"/>
    <w:rsid w:val="00BA6371"/>
    <w:rsid w:val="00BC2642"/>
    <w:rsid w:val="00C1193F"/>
    <w:rsid w:val="00C30C8D"/>
    <w:rsid w:val="00C5181F"/>
    <w:rsid w:val="00CE0AF3"/>
    <w:rsid w:val="00D27AED"/>
    <w:rsid w:val="00D528BF"/>
    <w:rsid w:val="00D52F33"/>
    <w:rsid w:val="00D85B16"/>
    <w:rsid w:val="00E54CBA"/>
    <w:rsid w:val="00E82A57"/>
    <w:rsid w:val="00EE25A8"/>
    <w:rsid w:val="00FD0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61ABD-BCD1-47D0-8D59-99D5B2C9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F3"/>
    <w:pPr>
      <w:spacing w:line="360" w:lineRule="auto"/>
      <w:ind w:firstLine="709"/>
      <w:jc w:val="both"/>
    </w:pPr>
    <w:rPr>
      <w:rFonts w:ascii="Courier New" w:hAnsi="Courier New"/>
      <w:sz w:val="28"/>
      <w:szCs w:val="28"/>
    </w:rPr>
  </w:style>
  <w:style w:type="paragraph" w:styleId="1">
    <w:name w:val="heading 1"/>
    <w:basedOn w:val="a"/>
    <w:next w:val="a"/>
    <w:qFormat/>
    <w:rsid w:val="00CE0AF3"/>
    <w:pPr>
      <w:keepNext/>
      <w:spacing w:before="240" w:after="60"/>
      <w:ind w:firstLine="0"/>
      <w:jc w:val="center"/>
      <w:outlineLvl w:val="0"/>
    </w:pPr>
    <w:rPr>
      <w:rFonts w:cs="Arial"/>
      <w:bCs/>
      <w:caps/>
      <w:kern w:val="32"/>
      <w:sz w:val="32"/>
      <w:szCs w:val="32"/>
      <w:u w:val="single"/>
    </w:rPr>
  </w:style>
  <w:style w:type="paragraph" w:styleId="2">
    <w:name w:val="heading 2"/>
    <w:basedOn w:val="a"/>
    <w:next w:val="a"/>
    <w:autoRedefine/>
    <w:qFormat/>
    <w:rsid w:val="008F28EB"/>
    <w:pPr>
      <w:keepNext/>
      <w:spacing w:before="240" w:after="60" w:line="240" w:lineRule="auto"/>
      <w:ind w:firstLine="0"/>
      <w:jc w:val="center"/>
      <w:outlineLvl w:val="1"/>
    </w:pPr>
    <w:rPr>
      <w:rFonts w:cs="Arial"/>
      <w:bCs/>
      <w:iCs/>
      <w:caps/>
    </w:rPr>
  </w:style>
  <w:style w:type="paragraph" w:styleId="3">
    <w:name w:val="heading 3"/>
    <w:basedOn w:val="a"/>
    <w:next w:val="a"/>
    <w:autoRedefine/>
    <w:qFormat/>
    <w:rsid w:val="008F28EB"/>
    <w:pPr>
      <w:keepNext/>
      <w:spacing w:before="240" w:after="60" w:line="240" w:lineRule="auto"/>
      <w:ind w:firstLine="0"/>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35198A"/>
    <w:rPr>
      <w:rFonts w:ascii="CyrillicOld" w:hAnsi="CyrillicOld"/>
      <w:sz w:val="18"/>
      <w:szCs w:val="18"/>
    </w:rPr>
  </w:style>
  <w:style w:type="paragraph" w:styleId="a4">
    <w:name w:val="footnote text"/>
    <w:basedOn w:val="a"/>
    <w:autoRedefine/>
    <w:semiHidden/>
    <w:rsid w:val="008F28EB"/>
    <w:pPr>
      <w:spacing w:line="240" w:lineRule="auto"/>
      <w:ind w:left="360" w:hanging="218"/>
      <w:jc w:val="left"/>
    </w:pPr>
    <w:rPr>
      <w:sz w:val="20"/>
      <w:szCs w:val="20"/>
    </w:rPr>
  </w:style>
  <w:style w:type="paragraph" w:customStyle="1" w:styleId="312pt50">
    <w:name w:val="Стиль Заголовок 3 + 12 pt Серый 50%"/>
    <w:basedOn w:val="3"/>
    <w:autoRedefine/>
    <w:rsid w:val="008F28EB"/>
    <w:rPr>
      <w:b/>
      <w:color w:val="808080"/>
      <w:szCs w:val="28"/>
    </w:rPr>
  </w:style>
  <w:style w:type="paragraph" w:styleId="a5">
    <w:name w:val="Body Text"/>
    <w:basedOn w:val="a"/>
    <w:rsid w:val="00717804"/>
    <w:pPr>
      <w:spacing w:after="120"/>
    </w:pPr>
  </w:style>
  <w:style w:type="paragraph" w:styleId="a6">
    <w:name w:val="Balloon Text"/>
    <w:basedOn w:val="a"/>
    <w:semiHidden/>
    <w:rsid w:val="00580338"/>
    <w:rPr>
      <w:rFonts w:ascii="Tahoma" w:hAnsi="Tahoma" w:cs="Tahoma"/>
      <w:sz w:val="16"/>
      <w:szCs w:val="16"/>
    </w:rPr>
  </w:style>
  <w:style w:type="character" w:styleId="a7">
    <w:name w:val="footnote reference"/>
    <w:semiHidden/>
    <w:rsid w:val="007E1B22"/>
    <w:rPr>
      <w:vertAlign w:val="superscript"/>
    </w:rPr>
  </w:style>
  <w:style w:type="paragraph" w:styleId="a8">
    <w:name w:val="header"/>
    <w:basedOn w:val="a"/>
    <w:rsid w:val="00D85B16"/>
    <w:pPr>
      <w:tabs>
        <w:tab w:val="center" w:pos="4677"/>
        <w:tab w:val="right" w:pos="9355"/>
      </w:tabs>
    </w:pPr>
  </w:style>
  <w:style w:type="paragraph" w:styleId="10">
    <w:name w:val="toc 1"/>
    <w:basedOn w:val="a"/>
    <w:next w:val="a"/>
    <w:autoRedefine/>
    <w:semiHidden/>
    <w:rsid w:val="00AE6DAD"/>
  </w:style>
  <w:style w:type="paragraph" w:styleId="20">
    <w:name w:val="toc 2"/>
    <w:basedOn w:val="a"/>
    <w:next w:val="a"/>
    <w:autoRedefine/>
    <w:semiHidden/>
    <w:rsid w:val="00AE6DAD"/>
    <w:pPr>
      <w:tabs>
        <w:tab w:val="right" w:leader="dot" w:pos="9628"/>
      </w:tabs>
      <w:ind w:left="1416" w:firstLine="0"/>
      <w:jc w:val="left"/>
    </w:pPr>
  </w:style>
  <w:style w:type="character" w:styleId="a9">
    <w:name w:val="Hyperlink"/>
    <w:rsid w:val="00AE6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Порядок внесения законопроектов в Государственную Думу</vt:lpstr>
    </vt:vector>
  </TitlesOfParts>
  <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внесения законопроектов в Государственную Думу</dc:title>
  <dc:subject/>
  <dc:creator>Малахов</dc:creator>
  <cp:keywords/>
  <dc:description/>
  <cp:lastModifiedBy>Irina</cp:lastModifiedBy>
  <cp:revision>2</cp:revision>
  <dcterms:created xsi:type="dcterms:W3CDTF">2014-08-04T12:42:00Z</dcterms:created>
  <dcterms:modified xsi:type="dcterms:W3CDTF">2014-08-04T12:42:00Z</dcterms:modified>
</cp:coreProperties>
</file>