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БЕЛОРУССКИЙ ГОСУДАРСТВЕННЫЙ УНИВЕРСИТЕТ ИНФОРМАТИКИ И РАДИОЭЛЕКТРОНИКИ</w:t>
      </w: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Кафедра менеджмента</w:t>
      </w: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РЕФЕРАТ</w:t>
      </w: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На тему:</w:t>
      </w: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«</w:t>
      </w:r>
      <w:r w:rsidR="006A49B1" w:rsidRPr="00847975">
        <w:rPr>
          <w:b/>
          <w:sz w:val="28"/>
          <w:szCs w:val="28"/>
        </w:rPr>
        <w:t>Р</w:t>
      </w:r>
      <w:r w:rsidR="00847975" w:rsidRPr="00847975">
        <w:rPr>
          <w:b/>
          <w:sz w:val="28"/>
          <w:szCs w:val="28"/>
        </w:rPr>
        <w:t>азработка мероприятий по повышению эффективности работы в области оказания платных услуг учреждения "</w:t>
      </w:r>
      <w:r w:rsidR="0007030A">
        <w:rPr>
          <w:b/>
          <w:sz w:val="28"/>
          <w:szCs w:val="28"/>
        </w:rPr>
        <w:t>Г</w:t>
      </w:r>
      <w:r w:rsidR="00847975" w:rsidRPr="00847975">
        <w:rPr>
          <w:b/>
          <w:sz w:val="28"/>
          <w:szCs w:val="28"/>
        </w:rPr>
        <w:t xml:space="preserve">родненское </w:t>
      </w:r>
      <w:r w:rsidR="0007030A">
        <w:rPr>
          <w:b/>
          <w:sz w:val="28"/>
          <w:szCs w:val="28"/>
        </w:rPr>
        <w:t>О</w:t>
      </w:r>
      <w:r w:rsidR="00847975" w:rsidRPr="00847975">
        <w:rPr>
          <w:b/>
          <w:sz w:val="28"/>
          <w:szCs w:val="28"/>
        </w:rPr>
        <w:t xml:space="preserve">бластное </w:t>
      </w:r>
      <w:r w:rsidR="0007030A">
        <w:rPr>
          <w:b/>
          <w:sz w:val="28"/>
          <w:szCs w:val="28"/>
        </w:rPr>
        <w:t>У</w:t>
      </w:r>
      <w:r w:rsidR="00847975" w:rsidRPr="00847975">
        <w:rPr>
          <w:b/>
          <w:sz w:val="28"/>
          <w:szCs w:val="28"/>
        </w:rPr>
        <w:t>правление</w:t>
      </w:r>
      <w:r w:rsidR="00847975">
        <w:rPr>
          <w:b/>
          <w:sz w:val="28"/>
          <w:szCs w:val="28"/>
        </w:rPr>
        <w:t xml:space="preserve"> </w:t>
      </w:r>
      <w:r w:rsidR="0007030A">
        <w:rPr>
          <w:b/>
          <w:sz w:val="28"/>
          <w:szCs w:val="28"/>
        </w:rPr>
        <w:t>МЧС</w:t>
      </w:r>
      <w:r w:rsidR="00847975" w:rsidRPr="00847975">
        <w:rPr>
          <w:b/>
          <w:sz w:val="28"/>
          <w:szCs w:val="28"/>
        </w:rPr>
        <w:t xml:space="preserve"> республики </w:t>
      </w:r>
      <w:r w:rsidR="006A49B1" w:rsidRPr="00847975">
        <w:rPr>
          <w:b/>
          <w:caps/>
          <w:sz w:val="28"/>
          <w:szCs w:val="28"/>
        </w:rPr>
        <w:t>Б</w:t>
      </w:r>
      <w:r w:rsidR="00847975" w:rsidRPr="00847975">
        <w:rPr>
          <w:b/>
          <w:sz w:val="28"/>
          <w:szCs w:val="28"/>
        </w:rPr>
        <w:t>еларусь</w:t>
      </w:r>
      <w:r w:rsidR="006A49B1" w:rsidRPr="00847975">
        <w:rPr>
          <w:b/>
          <w:sz w:val="28"/>
          <w:szCs w:val="28"/>
        </w:rPr>
        <w:t>"</w:t>
      </w:r>
      <w:r w:rsidRPr="00847975">
        <w:rPr>
          <w:b/>
          <w:sz w:val="28"/>
          <w:szCs w:val="28"/>
        </w:rPr>
        <w:t>»</w:t>
      </w: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DD664B" w:rsidRP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</w:p>
    <w:p w:rsidR="00847975" w:rsidRDefault="00DD664B" w:rsidP="00847975">
      <w:pPr>
        <w:suppressAutoHyphens/>
        <w:spacing w:line="360" w:lineRule="auto"/>
        <w:ind w:firstLine="709"/>
        <w:jc w:val="center"/>
        <w:outlineLvl w:val="0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МИНСК, 2009</w:t>
      </w:r>
    </w:p>
    <w:p w:rsidR="006A49B1" w:rsidRPr="00847975" w:rsidRDefault="00847975" w:rsidP="00847975">
      <w:pPr>
        <w:suppressAutoHyphens/>
        <w:spacing w:line="360" w:lineRule="auto"/>
        <w:ind w:firstLine="709"/>
        <w:jc w:val="both"/>
        <w:outlineLvl w:val="0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  <w:r w:rsidR="006A49B1" w:rsidRPr="00847975">
        <w:rPr>
          <w:b/>
          <w:sz w:val="28"/>
          <w:szCs w:val="28"/>
        </w:rPr>
        <w:t>Мероприятия по совершенствованию распределения выручки в части изменения законодательства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Существовавшие в период с 1999 по 2008 гг. инструкции по распределению выручки подразделений МЧС от оказания платных услуг регламентировали распределение указанной выручки следующим образом: по результатам приносящей доходы деятельности создавались фонды производственного и социального развития. В эти фонды зачислялось сумма превышения доходов над расходами, остающаяся в распоряжении органа (подразделения) по чрезвычайным ситуациям, за исключением оказания услуг по обслуживанию организаций пожарными аварийно-спасательными подразделениями на договорной основе. Рассмотрим на примере услуги "Обслуживание организаций пожарными аварийно-спасательными подразделениями на договорной основе", как распределялись средства от её оказания. По действовавшей в </w:t>
      </w:r>
      <w:smartTag w:uri="urn:schemas-microsoft-com:office:smarttags" w:element="metricconverter">
        <w:smartTagPr>
          <w:attr w:name="ProductID" w:val="2008 г"/>
        </w:smartTagPr>
        <w:r w:rsidRPr="00847975">
          <w:rPr>
            <w:sz w:val="28"/>
            <w:szCs w:val="28"/>
          </w:rPr>
          <w:t>2008 г</w:t>
        </w:r>
      </w:smartTag>
      <w:r w:rsidRPr="00847975">
        <w:rPr>
          <w:sz w:val="28"/>
          <w:szCs w:val="28"/>
        </w:rPr>
        <w:t>. инструкции все полученные от оказания этой услуги денежные средства направлялись в тот фонд, который указывался организациями – заказчиками услуг. Например, если заказчик услуг в своём договоре согласен все средства от превышения доходов над расходами направить в фонд производственного развития, то эти средства направляются именно в этот фонд, если же заказчик записывает в договоре направление названных средств в фонд социального развития, то средства направляются в фонд социального развития.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Проведённый выше анализ показал недостаточность фондов производственного и социального развития для повышения заинтересованности работников МЧС в росте платных услуг без получения ими наличных денег. Перечисленные фонды существенно обновляли материально-техническую базу и стимулировали социальное развитие трудового коллектива. Если бы подразделения МЧС работали в эпоху коммунизма, то названных фондов было бы вполне достаточно. К сожалению, практика работы показывает, что максимальный трудовой энтузиазм достигается при дополнении названных фондов фондом материального поощрения (далее ФМП). Средства, поступающие в фонд материального поощрения могли бы быть направлены на выплату дополнительных премий, на оказание денежно-материальной помощи и т.д. Инструкции МЧС по распределению выручки 1999 – </w:t>
      </w:r>
      <w:smartTag w:uri="urn:schemas-microsoft-com:office:smarttags" w:element="metricconverter">
        <w:smartTagPr>
          <w:attr w:name="ProductID" w:val="2008 г"/>
        </w:smartTagPr>
        <w:r w:rsidRPr="00847975">
          <w:rPr>
            <w:sz w:val="28"/>
            <w:szCs w:val="28"/>
          </w:rPr>
          <w:t>2008 г</w:t>
        </w:r>
      </w:smartTag>
      <w:r w:rsidRPr="00847975">
        <w:rPr>
          <w:sz w:val="28"/>
          <w:szCs w:val="28"/>
        </w:rPr>
        <w:t>. о фонде материального поощрения умалчивали.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Поэтому в качестве мероприятий по повышению выручки от оказания платных услуг в настоящем дипломном проекте предлагается одновременно с фондами производственного и социального развития часть средств, предназначенных для них, направить в фонд материального поощрения.</w:t>
      </w:r>
    </w:p>
    <w:p w:rsidR="006A49B1" w:rsidRPr="00847975" w:rsidRDefault="006A49B1" w:rsidP="00847975">
      <w:pPr>
        <w:pStyle w:val="point"/>
        <w:suppressAutoHyphens/>
        <w:spacing w:line="360" w:lineRule="auto"/>
        <w:ind w:firstLine="709"/>
        <w:rPr>
          <w:sz w:val="28"/>
          <w:szCs w:val="28"/>
        </w:rPr>
      </w:pPr>
      <w:r w:rsidRPr="00847975">
        <w:rPr>
          <w:sz w:val="28"/>
          <w:szCs w:val="28"/>
        </w:rPr>
        <w:t>Средства фонда материального поощрения могут использоваться на:</w:t>
      </w:r>
    </w:p>
    <w:p w:rsidR="006A49B1" w:rsidRPr="00847975" w:rsidRDefault="006A49B1" w:rsidP="00847975">
      <w:pPr>
        <w:pStyle w:val="newncpi"/>
        <w:numPr>
          <w:ilvl w:val="0"/>
          <w:numId w:val="29"/>
        </w:numPr>
        <w:suppressAutoHyphens/>
        <w:spacing w:line="360" w:lineRule="auto"/>
        <w:ind w:firstLine="709"/>
        <w:rPr>
          <w:sz w:val="28"/>
          <w:szCs w:val="28"/>
        </w:rPr>
      </w:pPr>
      <w:r w:rsidRPr="00847975">
        <w:rPr>
          <w:sz w:val="28"/>
          <w:szCs w:val="28"/>
        </w:rPr>
        <w:t>премирование работников, занимающихся деятельностью, от которой получены доходы в соответствии с законодательством, иных работников (за исключением государственных служащих);</w:t>
      </w:r>
    </w:p>
    <w:p w:rsidR="006A49B1" w:rsidRPr="00847975" w:rsidRDefault="006A49B1" w:rsidP="00847975">
      <w:pPr>
        <w:pStyle w:val="newncpi"/>
        <w:numPr>
          <w:ilvl w:val="0"/>
          <w:numId w:val="29"/>
        </w:numPr>
        <w:suppressAutoHyphens/>
        <w:spacing w:line="360" w:lineRule="auto"/>
        <w:ind w:firstLine="709"/>
        <w:rPr>
          <w:sz w:val="28"/>
          <w:szCs w:val="28"/>
        </w:rPr>
      </w:pPr>
      <w:r w:rsidRPr="00847975">
        <w:rPr>
          <w:sz w:val="28"/>
          <w:szCs w:val="28"/>
        </w:rPr>
        <w:t>оказание материальной помощи, решение вопросов по социальной защите пенсионеров, инвалидов и членов семей работников, погибших при исполнении служебного долга;</w:t>
      </w:r>
    </w:p>
    <w:p w:rsidR="006A49B1" w:rsidRPr="00847975" w:rsidRDefault="006A49B1" w:rsidP="00847975">
      <w:pPr>
        <w:pStyle w:val="newncpi"/>
        <w:numPr>
          <w:ilvl w:val="0"/>
          <w:numId w:val="29"/>
        </w:numPr>
        <w:suppressAutoHyphens/>
        <w:spacing w:line="360" w:lineRule="auto"/>
        <w:ind w:firstLine="709"/>
        <w:rPr>
          <w:sz w:val="28"/>
          <w:szCs w:val="28"/>
        </w:rPr>
      </w:pPr>
      <w:r w:rsidRPr="00847975">
        <w:rPr>
          <w:sz w:val="28"/>
          <w:szCs w:val="28"/>
        </w:rPr>
        <w:t>повышение уровня заработной платы в соответствии с законодательством.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</w:rPr>
      </w:pPr>
      <w:r w:rsidRPr="00847975">
        <w:rPr>
          <w:sz w:val="28"/>
          <w:szCs w:val="28"/>
        </w:rPr>
        <w:t xml:space="preserve">Данное предложение появилось в период прохождения преддипломной практики у разработчика, данного дипломного проекта. Однако это очевидное предложение параллельно возникло у многих работников органов и подразделений по чрезвычайным ситуациям. Поэтому после настоятельных просьб и предложений подразделений МЧС в инструкции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 xml:space="preserve">., (которая была согласована и утверждена в апреле-мае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>.) были включены положения о создании фонда материального поощрения. В 2009 году создаётся фонд материального поощрения в размере не более 40 процентов от суммы превышения доходов над расходами, остающейся в распоряжении органа (подразделения) по чрезвычайным ситуациям. Остальные средства направляются в фонд производственного и социального развития</w:t>
      </w:r>
      <w:r w:rsidRPr="00847975">
        <w:rPr>
          <w:sz w:val="28"/>
        </w:rPr>
        <w:t>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Средства поступившие в ФМП согласно инструкции должны быть направлены на 8 статей расходов. Процент средств направляемых на каждую статью ФМП Инструкция не регламентирует. Поэтому предлагается установить проценты на каждую статью расходов из ФМП в размере указанном в табл. 1.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Таблица 1</w:t>
      </w:r>
      <w:r w:rsidR="00847975">
        <w:rPr>
          <w:sz w:val="28"/>
          <w:szCs w:val="28"/>
        </w:rPr>
        <w:t xml:space="preserve"> </w:t>
      </w:r>
      <w:r w:rsidRPr="00847975">
        <w:rPr>
          <w:sz w:val="28"/>
          <w:szCs w:val="28"/>
        </w:rPr>
        <w:t xml:space="preserve">Предлагаемое распределение ФМП по статьям расходов закреплённое в инструкции апреля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>.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7949"/>
        <w:gridCol w:w="1621"/>
      </w:tblGrid>
      <w:tr w:rsidR="006A49B1" w:rsidRPr="00FE2CC1" w:rsidTr="00FE2CC1">
        <w:trPr>
          <w:trHeight w:val="305"/>
        </w:trPr>
        <w:tc>
          <w:tcPr>
            <w:tcW w:w="415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% от ФМП</w:t>
            </w:r>
          </w:p>
        </w:tc>
      </w:tr>
      <w:tr w:rsidR="006A49B1" w:rsidRPr="00FE2CC1" w:rsidTr="00FE2CC1">
        <w:tc>
          <w:tcPr>
            <w:tcW w:w="4153" w:type="pct"/>
            <w:tcBorders>
              <w:bottom w:val="nil"/>
            </w:tcBorders>
            <w:shd w:val="clear" w:color="auto" w:fill="auto"/>
          </w:tcPr>
          <w:p w:rsidR="006A49B1" w:rsidRPr="00FE2CC1" w:rsidRDefault="006A49B1" w:rsidP="00FE2CC1">
            <w:pPr>
              <w:pStyle w:val="ad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CC1">
              <w:rPr>
                <w:rFonts w:ascii="Times New Roman" w:hAnsi="Times New Roman" w:cs="Times New Roman"/>
              </w:rPr>
              <w:t xml:space="preserve">повышение уровня заработной платы в соответствии с законодательством (за исключением государственных служащих). </w:t>
            </w:r>
          </w:p>
        </w:tc>
        <w:tc>
          <w:tcPr>
            <w:tcW w:w="847" w:type="pct"/>
            <w:tcBorders>
              <w:bottom w:val="nil"/>
            </w:tcBorders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50</w:t>
            </w:r>
          </w:p>
        </w:tc>
      </w:tr>
      <w:tr w:rsidR="006A49B1" w:rsidRPr="00FE2CC1" w:rsidTr="00FE2CC1">
        <w:tc>
          <w:tcPr>
            <w:tcW w:w="4153" w:type="pct"/>
            <w:shd w:val="clear" w:color="auto" w:fill="auto"/>
          </w:tcPr>
          <w:p w:rsidR="006A49B1" w:rsidRPr="00FE2CC1" w:rsidRDefault="006A49B1" w:rsidP="00FE2CC1">
            <w:pPr>
              <w:pStyle w:val="ad"/>
              <w:suppressAutoHyphens/>
              <w:spacing w:line="360" w:lineRule="auto"/>
              <w:jc w:val="both"/>
              <w:rPr>
                <w:rFonts w:ascii="Times New Roman" w:hAnsi="Times New Roman" w:cs="Times New Roman"/>
              </w:rPr>
            </w:pPr>
            <w:r w:rsidRPr="00FE2CC1">
              <w:rPr>
                <w:rFonts w:ascii="Times New Roman" w:hAnsi="Times New Roman" w:cs="Times New Roman"/>
              </w:rPr>
              <w:t>премирование работников, занимающихся деятельностью, от которой получены доходы в соответствии с законодательством, иных работников (за исключением государственных служащих);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20</w:t>
            </w:r>
          </w:p>
        </w:tc>
      </w:tr>
      <w:tr w:rsidR="006A49B1" w:rsidRPr="00FE2CC1" w:rsidTr="00FE2CC1">
        <w:tc>
          <w:tcPr>
            <w:tcW w:w="4153" w:type="pct"/>
            <w:shd w:val="clear" w:color="auto" w:fill="auto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оказание материальной помощи в связи с тяжелым материальным положением;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10</w:t>
            </w:r>
          </w:p>
        </w:tc>
      </w:tr>
      <w:tr w:rsidR="006A49B1" w:rsidRPr="00FE2CC1" w:rsidTr="00FE2CC1">
        <w:tc>
          <w:tcPr>
            <w:tcW w:w="4153" w:type="pct"/>
            <w:shd w:val="clear" w:color="auto" w:fill="auto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погашение задолженности по форменной и специальной одежде работникам департамента по надзору за безопасным ведением работ в промышленности и атомной энергетике МЧС, в том числе уходящим на пенсию;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3</w:t>
            </w:r>
          </w:p>
        </w:tc>
      </w:tr>
      <w:tr w:rsidR="006A49B1" w:rsidRPr="00FE2CC1" w:rsidTr="00FE2CC1">
        <w:tc>
          <w:tcPr>
            <w:tcW w:w="4153" w:type="pct"/>
            <w:shd w:val="clear" w:color="auto" w:fill="auto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обучение, подготовку и переподготовку работников по специальностям, связанным с основной деятельностью;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7</w:t>
            </w:r>
          </w:p>
        </w:tc>
      </w:tr>
      <w:tr w:rsidR="006A49B1" w:rsidRPr="00FE2CC1" w:rsidTr="00FE2CC1">
        <w:tc>
          <w:tcPr>
            <w:tcW w:w="4153" w:type="pct"/>
            <w:shd w:val="clear" w:color="auto" w:fill="auto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оказание материальной помощи членам семей работников, погибших при исполнении служебных обязанностей;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5</w:t>
            </w:r>
          </w:p>
        </w:tc>
      </w:tr>
      <w:tr w:rsidR="006A49B1" w:rsidRPr="00FE2CC1" w:rsidTr="00FE2CC1">
        <w:tc>
          <w:tcPr>
            <w:tcW w:w="4153" w:type="pct"/>
            <w:shd w:val="clear" w:color="auto" w:fill="auto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оказание материальной помощи пенсионерам органов (подразделений) по чрезвычайным ситуациям, а также инвалидам из числа бывших работников;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5</w:t>
            </w:r>
          </w:p>
        </w:tc>
      </w:tr>
      <w:tr w:rsidR="006A49B1" w:rsidRPr="00FE2CC1" w:rsidTr="00FE2CC1">
        <w:tc>
          <w:tcPr>
            <w:tcW w:w="4153" w:type="pct"/>
            <w:shd w:val="clear" w:color="auto" w:fill="auto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E2CC1">
              <w:rPr>
                <w:b/>
                <w:sz w:val="20"/>
                <w:szCs w:val="20"/>
              </w:rPr>
              <w:t>Всего</w:t>
            </w:r>
          </w:p>
        </w:tc>
        <w:tc>
          <w:tcPr>
            <w:tcW w:w="847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E2CC1">
              <w:rPr>
                <w:b/>
                <w:sz w:val="20"/>
                <w:szCs w:val="20"/>
              </w:rPr>
              <w:t>100</w:t>
            </w:r>
          </w:p>
        </w:tc>
      </w:tr>
    </w:tbl>
    <w:p w:rsidR="00847975" w:rsidRDefault="00847975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847975" w:rsidRDefault="006A49B1" w:rsidP="0084797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Мероприятия по совершенствованию ассортимента услуг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При создании фонда материального поощрения у рядового и младшего начальствующего состава МЧС появится дополнительный стимул для расширения ассортимента оказываемых платных услуг, что в свою очередь существенно повысит выручку.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47975">
        <w:rPr>
          <w:sz w:val="28"/>
          <w:szCs w:val="28"/>
        </w:rPr>
        <w:t xml:space="preserve">Ассортимент оказываемых платных услуг, которые подразделения МЧС имеют право осуществлять, регламентирован </w:t>
      </w:r>
      <w:r w:rsidRPr="00847975">
        <w:rPr>
          <w:rFonts w:cs="Times New Roman CYR"/>
          <w:sz w:val="28"/>
          <w:szCs w:val="28"/>
        </w:rPr>
        <w:t>22.12.1999 г.</w:t>
      </w:r>
      <w:r w:rsidRPr="00847975">
        <w:rPr>
          <w:rFonts w:cs="Times New Roman CYR"/>
          <w:sz w:val="28"/>
        </w:rPr>
        <w:t xml:space="preserve"> </w:t>
      </w:r>
      <w:r w:rsidRPr="00847975">
        <w:rPr>
          <w:rFonts w:cs="Times New Roman CYR"/>
          <w:sz w:val="28"/>
          <w:szCs w:val="28"/>
        </w:rPr>
        <w:t>Всего в перечне регламентированных услуг записано 131 видов деятельности. В настоящее время Учреждению «Гродненское областное управление МЧС Республики Беларусь» Министерством по чрезвычайным ситуациям Республики Беларусь разрешено оказывать 85 видов платных услуг от возможных 131.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47975">
        <w:rPr>
          <w:rFonts w:cs="Times New Roman CYR"/>
          <w:sz w:val="28"/>
          <w:szCs w:val="28"/>
        </w:rPr>
        <w:t>Анализ дополнительных услуг которые оказываются в других областях республики, но не оказываются в Гродненской области, показывает, что наиболее предпочтительными из них в части объёма выручки являются следующие услуги: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47975">
        <w:rPr>
          <w:rFonts w:cs="Times New Roman CYR"/>
          <w:sz w:val="28"/>
          <w:szCs w:val="28"/>
        </w:rPr>
        <w:t>а)</w:t>
      </w:r>
      <w:r w:rsidRPr="00847975">
        <w:rPr>
          <w:sz w:val="28"/>
          <w:szCs w:val="28"/>
        </w:rPr>
        <w:t xml:space="preserve"> выработка и подача электроэнергии от автономного источника питания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47975">
        <w:rPr>
          <w:rFonts w:cs="Times New Roman CYR"/>
          <w:sz w:val="28"/>
          <w:szCs w:val="28"/>
        </w:rPr>
        <w:t>б) мойка транспортных средств;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rFonts w:cs="Times New Roman CYR"/>
          <w:sz w:val="28"/>
          <w:szCs w:val="28"/>
        </w:rPr>
        <w:t>в)</w:t>
      </w:r>
      <w:r w:rsidRPr="00847975">
        <w:rPr>
          <w:sz w:val="28"/>
          <w:szCs w:val="28"/>
        </w:rPr>
        <w:t xml:space="preserve"> ремонт и обслуживание аппаратов на сжатом воздухе.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Естественно, для оказания этих видов платных услуг необходимо получить разрешение в МЧС РБ. Однако следует надеяться, что процедура получения такого разрешения не будет сложной и длительной, так как остальные области аналогичные разрешения уже получили и оказывают данные виды услуг как гражданам, так и юридическим лицам.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Мероприятия по совершенствованию распределения выручки в разрезе районного отдела МЧС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Важным моментом при распределении фонда материального поощрения является распределение его между работниками областного Управления и районных отделов, а также внутри районного отдела МЧС (между рядовым, младшим начальствующим и средним и старшим начальствующим составом). Предлагается указанное распределение производить при помощи коэффициента трудового участия (далее – КТУ), то есть после оказания платной услуги и перечисления денег на счёт районного отдела, внутри смены оказывавшей услугу, проводится собрание, на котором определяется КТУ каждого работника, начиная с пожарного и заканчивая начальником подразделения. Причем КТУ распределяется только среди тех работников смены, которые непосредственно участвовали в оказании платной услуги. Здесь имеет место один нюанс. При распределении КТУ, существуют такие должности как начальник подразделения и заместитель начальника подразделения. В подразделение входит 3 смены. Они не являются работниками дежурной смены, но они участвуют в оказании платной услуги путём заполнения различных бумаг (договоров, протоколов согласования цен и т.д.), несут ответственность за выполненные их подчинёнными работы, за здоровье подчиненных, поэтому необходимо распределять КТУ и на эти должности.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Пример: Услугу оказывала смена в составе 10 человек, включая начальника смена. Начальник подразделения и его заместитель содействовали оказанию услуги. Однако они же содействовали оказанию аналогичных услуг ещё в 3-х сменах. Следовательно, чтобы премия начальника не превышала в 3 раза премию пожарного, установим начальнику подразделения и его заместителю КТУ, равное 0,3. В этом случае распределение выручки на статьи «Повышение уровня заработной платы в соответствии с законодательством (за исключением государственных служащих)» и «Премирование работников, занимающихся деятельностью, от которой получены доходы в соответствии с законодательством, иных работников (за исключением государственных служащих)»</w:t>
      </w:r>
      <w:r w:rsidRPr="00847975">
        <w:rPr>
          <w:sz w:val="28"/>
        </w:rPr>
        <w:t xml:space="preserve"> </w:t>
      </w:r>
      <w:r w:rsidRPr="00847975">
        <w:rPr>
          <w:sz w:val="28"/>
          <w:szCs w:val="28"/>
        </w:rPr>
        <w:t>может производиться в соответствии с табл.2.</w:t>
      </w:r>
    </w:p>
    <w:p w:rsidR="00847975" w:rsidRDefault="00847975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Таблица 2</w:t>
      </w:r>
      <w:r w:rsidR="00847975">
        <w:rPr>
          <w:sz w:val="28"/>
          <w:szCs w:val="28"/>
        </w:rPr>
        <w:t xml:space="preserve"> </w:t>
      </w:r>
      <w:r w:rsidRPr="00847975">
        <w:rPr>
          <w:sz w:val="28"/>
          <w:szCs w:val="28"/>
        </w:rPr>
        <w:t>Пример распределения выручки внутри районного отдела МЧС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4236"/>
        <w:gridCol w:w="869"/>
        <w:gridCol w:w="1462"/>
        <w:gridCol w:w="1156"/>
        <w:gridCol w:w="1173"/>
      </w:tblGrid>
      <w:tr w:rsidR="006A49B1" w:rsidRPr="00FE2CC1" w:rsidTr="00FE2CC1">
        <w:tc>
          <w:tcPr>
            <w:tcW w:w="352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№ п/п</w:t>
            </w: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Должность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КТУ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Статьи з/п, премии вместе, р.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Статья з/п, р.</w:t>
            </w:r>
          </w:p>
        </w:tc>
        <w:tc>
          <w:tcPr>
            <w:tcW w:w="6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Статья премия (30% от з/п), р.</w:t>
            </w:r>
          </w:p>
        </w:tc>
      </w:tr>
      <w:tr w:rsidR="006A49B1" w:rsidRPr="00FE2CC1" w:rsidTr="00FE2CC1">
        <w:trPr>
          <w:trHeight w:val="302"/>
        </w:trPr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Начальник ПАСЧ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0,3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3 829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2 945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884</w:t>
            </w:r>
          </w:p>
        </w:tc>
      </w:tr>
      <w:tr w:rsidR="006A49B1" w:rsidRPr="00FE2CC1" w:rsidTr="00FE2CC1">
        <w:trPr>
          <w:trHeight w:val="302"/>
        </w:trPr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Заместитель начальника ПАСЧ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0,3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3 829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2 945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884</w:t>
            </w:r>
          </w:p>
        </w:tc>
      </w:tr>
      <w:tr w:rsidR="006A49B1" w:rsidRPr="00FE2CC1" w:rsidTr="00FE2CC1">
        <w:trPr>
          <w:trHeight w:val="302"/>
        </w:trPr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Начальник смены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12 763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9 818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2 945</w:t>
            </w:r>
          </w:p>
        </w:tc>
      </w:tr>
      <w:tr w:rsidR="006A49B1" w:rsidRPr="00FE2CC1" w:rsidTr="00FE2CC1">
        <w:trPr>
          <w:trHeight w:val="302"/>
        </w:trPr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Командир 1-го отделения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1,0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12 763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9 818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2 945</w:t>
            </w:r>
          </w:p>
        </w:tc>
      </w:tr>
      <w:tr w:rsidR="006A49B1" w:rsidRPr="00FE2CC1" w:rsidTr="00FE2CC1"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Пожарный №1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0,9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11 487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8 836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2 651</w:t>
            </w:r>
          </w:p>
        </w:tc>
      </w:tr>
      <w:tr w:rsidR="006A49B1" w:rsidRPr="00FE2CC1" w:rsidTr="00FE2CC1"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Пожарный №2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1,1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14 039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10 799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3 240</w:t>
            </w:r>
          </w:p>
        </w:tc>
      </w:tr>
      <w:tr w:rsidR="006A49B1" w:rsidRPr="00FE2CC1" w:rsidTr="00FE2CC1"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Командир 2-го отделения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0,5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6 381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4 909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1 473</w:t>
            </w:r>
          </w:p>
        </w:tc>
      </w:tr>
      <w:tr w:rsidR="006A49B1" w:rsidRPr="00FE2CC1" w:rsidTr="00FE2CC1">
        <w:trPr>
          <w:trHeight w:val="70"/>
        </w:trPr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Пожарный №1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1,5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19 144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14 726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4 418</w:t>
            </w:r>
          </w:p>
        </w:tc>
      </w:tr>
      <w:tr w:rsidR="006A49B1" w:rsidRPr="00FE2CC1" w:rsidTr="00FE2CC1"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Пожарный №2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1,8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22 973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17 672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5 301</w:t>
            </w:r>
          </w:p>
        </w:tc>
      </w:tr>
      <w:tr w:rsidR="006A49B1" w:rsidRPr="00FE2CC1" w:rsidTr="00FE2CC1"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numPr>
                <w:ilvl w:val="0"/>
                <w:numId w:val="28"/>
              </w:numPr>
              <w:suppressAutoHyphens/>
              <w:spacing w:line="360" w:lineRule="auto"/>
              <w:ind w:left="0" w:firstLine="0"/>
              <w:jc w:val="both"/>
              <w:rPr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Пожарный №3</w:t>
            </w:r>
          </w:p>
        </w:tc>
        <w:tc>
          <w:tcPr>
            <w:tcW w:w="45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0,2</w:t>
            </w:r>
          </w:p>
        </w:tc>
        <w:tc>
          <w:tcPr>
            <w:tcW w:w="76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2 553</w:t>
            </w:r>
          </w:p>
        </w:tc>
        <w:tc>
          <w:tcPr>
            <w:tcW w:w="604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1 964</w:t>
            </w:r>
          </w:p>
        </w:tc>
        <w:tc>
          <w:tcPr>
            <w:tcW w:w="613" w:type="pct"/>
            <w:shd w:val="clear" w:color="auto" w:fill="auto"/>
            <w:vAlign w:val="bottom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FE2CC1">
              <w:rPr>
                <w:sz w:val="20"/>
                <w:szCs w:val="20"/>
              </w:rPr>
              <w:t>589</w:t>
            </w:r>
          </w:p>
        </w:tc>
      </w:tr>
      <w:tr w:rsidR="006A49B1" w:rsidRPr="00FE2CC1" w:rsidTr="00FE2CC1">
        <w:trPr>
          <w:trHeight w:val="246"/>
        </w:trPr>
        <w:tc>
          <w:tcPr>
            <w:tcW w:w="352" w:type="pct"/>
            <w:shd w:val="clear" w:color="auto" w:fill="auto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22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E2CC1">
              <w:rPr>
                <w:b/>
                <w:sz w:val="20"/>
                <w:szCs w:val="20"/>
              </w:rPr>
              <w:t xml:space="preserve">Итого </w:t>
            </w:r>
          </w:p>
        </w:tc>
        <w:tc>
          <w:tcPr>
            <w:tcW w:w="454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E2CC1">
              <w:rPr>
                <w:b/>
                <w:sz w:val="20"/>
                <w:szCs w:val="20"/>
              </w:rPr>
              <w:t>8,6</w:t>
            </w:r>
          </w:p>
        </w:tc>
        <w:tc>
          <w:tcPr>
            <w:tcW w:w="764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  <w:r w:rsidRPr="00FE2CC1">
              <w:rPr>
                <w:b/>
                <w:sz w:val="20"/>
                <w:szCs w:val="20"/>
              </w:rPr>
              <w:t>109 760</w:t>
            </w:r>
          </w:p>
        </w:tc>
        <w:tc>
          <w:tcPr>
            <w:tcW w:w="604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  <w:tc>
          <w:tcPr>
            <w:tcW w:w="613" w:type="pct"/>
            <w:shd w:val="clear" w:color="auto" w:fill="auto"/>
            <w:vAlign w:val="center"/>
          </w:tcPr>
          <w:p w:rsidR="006A49B1" w:rsidRPr="00FE2CC1" w:rsidRDefault="006A49B1" w:rsidP="00FE2CC1">
            <w:pPr>
              <w:suppressAutoHyphens/>
              <w:spacing w:line="360" w:lineRule="auto"/>
              <w:jc w:val="both"/>
              <w:rPr>
                <w:b/>
                <w:sz w:val="20"/>
                <w:szCs w:val="20"/>
              </w:rPr>
            </w:pPr>
          </w:p>
        </w:tc>
      </w:tr>
    </w:tbl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Пусть стоимость услуги составляет 500 000 р., а превышение доходов над расходами – 400 000 р. В этом случае фонд материального поощрения составит 400 000∙40%=160 000 р. На премирование персонала ГОУ МЧС выделяется 2% от ФМП, т.е. 3 200 р., подлежит распределению внутри МЧС – 160 000-3 200=15 6800 р. На статьи «Повышение уровня заработной платы в соответствии с законодательством (за исключением государственных служащих)» и «Премирование работников, занимающихся деятельностью, от которой получены доходы в соответствии с законодательством, иных работников (за исключением государственных служащих)» направляется 70% от указанных 156800 р., что составляет 109 763 р. Это означает, что на каждую единицу КТУ приходится: 109 763/8,6=12 760 р. 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Следовательно:</w:t>
      </w:r>
    </w:p>
    <w:p w:rsidR="006A49B1" w:rsidRPr="00847975" w:rsidRDefault="006A49B1" w:rsidP="00847975">
      <w:pPr>
        <w:numPr>
          <w:ilvl w:val="0"/>
          <w:numId w:val="3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начальник пожарной аварийно-спасательной части (далее ПАСЧ), заместитель начальника ПАСЧ получат по 12 760∙0,3=3 829 р.;</w:t>
      </w:r>
    </w:p>
    <w:p w:rsidR="006A49B1" w:rsidRPr="00847975" w:rsidRDefault="006A49B1" w:rsidP="00847975">
      <w:pPr>
        <w:numPr>
          <w:ilvl w:val="0"/>
          <w:numId w:val="3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начальник смены получит 12 763∙1,0=12 763 р.;</w:t>
      </w:r>
    </w:p>
    <w:p w:rsidR="006A49B1" w:rsidRPr="00847975" w:rsidRDefault="006A49B1" w:rsidP="00847975">
      <w:pPr>
        <w:numPr>
          <w:ilvl w:val="0"/>
          <w:numId w:val="3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пожарный №1 1-го отделения получит 12 763∙0,9=11 487 р.;</w:t>
      </w:r>
    </w:p>
    <w:p w:rsidR="006A49B1" w:rsidRPr="00847975" w:rsidRDefault="006A49B1" w:rsidP="00847975">
      <w:pPr>
        <w:numPr>
          <w:ilvl w:val="0"/>
          <w:numId w:val="3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пожарный №2 1-го отделения получит 12 763∙1,1=14 039 р.;</w:t>
      </w:r>
    </w:p>
    <w:p w:rsidR="006A49B1" w:rsidRPr="00847975" w:rsidRDefault="006A49B1" w:rsidP="00847975">
      <w:pPr>
        <w:numPr>
          <w:ilvl w:val="0"/>
          <w:numId w:val="3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командир 2-го отделения получит 12 763∙0,5=6 381 р.;</w:t>
      </w:r>
    </w:p>
    <w:p w:rsidR="006A49B1" w:rsidRPr="00847975" w:rsidRDefault="006A49B1" w:rsidP="00847975">
      <w:pPr>
        <w:numPr>
          <w:ilvl w:val="0"/>
          <w:numId w:val="3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пожарный №1 2-го отделения получит 12 763∙1,5=19 144 р.;</w:t>
      </w:r>
    </w:p>
    <w:p w:rsidR="006A49B1" w:rsidRPr="00847975" w:rsidRDefault="006A49B1" w:rsidP="00847975">
      <w:pPr>
        <w:numPr>
          <w:ilvl w:val="0"/>
          <w:numId w:val="30"/>
        </w:num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пожарный №2 2-го отделения получит 12 763∙1,8=22 973 р. и т.д.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Чтобы не возникало вопросов, уточним, что зарплата и премия всех руководителей, занимающих должности выше начальника ПАСЧ (начальник районного отдела МЧС, его заместители, начальник областного управления МЧС и т.д.), равна нулю – эти должности занимают государственные служащие, и им эти премии по законодательству не положены. 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  <w:r w:rsidRPr="00847975">
        <w:rPr>
          <w:b/>
          <w:sz w:val="28"/>
          <w:szCs w:val="28"/>
        </w:rPr>
        <w:t>Расчёт экономической эффективности предлагаемых решений (распределение балансовой прибыли)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По экспертным оценкам руководящих работников Гродненского, Витебского и Гомельского областных управлений МЧС РБ внедрения мероприятий по повышению выручки от оказания платных услуг позволит повысить выручку на 40% в сравнении с </w:t>
      </w:r>
      <w:smartTag w:uri="urn:schemas-microsoft-com:office:smarttags" w:element="metricconverter">
        <w:smartTagPr>
          <w:attr w:name="ProductID" w:val="2008 г"/>
        </w:smartTagPr>
        <w:r w:rsidRPr="00847975">
          <w:rPr>
            <w:sz w:val="28"/>
            <w:szCs w:val="28"/>
          </w:rPr>
          <w:t>2008 г</w:t>
        </w:r>
      </w:smartTag>
      <w:r w:rsidRPr="00847975">
        <w:rPr>
          <w:sz w:val="28"/>
          <w:szCs w:val="28"/>
        </w:rPr>
        <w:t xml:space="preserve">. Тем более, что 1-е из мероприятий наполовину внедрено – опубликованная в апреле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 xml:space="preserve">. Инструкция. Это означает, что предполагаемый объём платных услуг и их себестоимость, а также балансовая прибыль возрастут в 1,4 раза. 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Однако и без внедрения указанных мероприятий прибыль в </w:t>
      </w:r>
      <w:smartTag w:uri="urn:schemas-microsoft-com:office:smarttags" w:element="metricconverter">
        <w:smartTagPr>
          <w:attr w:name="ProductID" w:val="2008 г"/>
        </w:smartTagPr>
        <w:r w:rsidRPr="00847975">
          <w:rPr>
            <w:sz w:val="28"/>
            <w:szCs w:val="28"/>
          </w:rPr>
          <w:t>2008 г</w:t>
        </w:r>
      </w:smartTag>
      <w:r w:rsidRPr="00847975">
        <w:rPr>
          <w:sz w:val="28"/>
          <w:szCs w:val="28"/>
        </w:rPr>
        <w:t xml:space="preserve">. по сравнению с 2007 выросла на 26%. Это означает, что без внедрения мероприятий прогнозируемая балансовая прибыль составила бы на вторую половину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 xml:space="preserve">. (первую половину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 xml:space="preserve">. работали без новой инструкции, поэтому учитывать не будем) составила бы величину на 13% большую, чем половина прибыли </w:t>
      </w:r>
      <w:smartTag w:uri="urn:schemas-microsoft-com:office:smarttags" w:element="metricconverter">
        <w:smartTagPr>
          <w:attr w:name="ProductID" w:val="2008 г"/>
        </w:smartTagPr>
        <w:r w:rsidRPr="00847975">
          <w:rPr>
            <w:sz w:val="28"/>
            <w:szCs w:val="28"/>
          </w:rPr>
          <w:t>2008 г</w:t>
        </w:r>
      </w:smartTag>
      <w:r w:rsidRPr="00847975">
        <w:rPr>
          <w:sz w:val="28"/>
          <w:szCs w:val="28"/>
        </w:rPr>
        <w:t>., т.е.</w:t>
      </w:r>
    </w:p>
    <w:p w:rsidR="00847975" w:rsidRDefault="00847975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(493 159 514/2)∙1,26=310,7 (млн. р.).</w:t>
      </w:r>
      <w:r w:rsidRPr="00847975">
        <w:rPr>
          <w:sz w:val="28"/>
          <w:szCs w:val="28"/>
        </w:rPr>
        <w:tab/>
      </w:r>
      <w:r w:rsidRPr="00847975">
        <w:rPr>
          <w:sz w:val="28"/>
          <w:szCs w:val="28"/>
        </w:rPr>
        <w:tab/>
      </w:r>
      <w:r w:rsidRPr="00847975">
        <w:rPr>
          <w:sz w:val="28"/>
          <w:szCs w:val="28"/>
        </w:rPr>
        <w:tab/>
        <w:t>(1)</w:t>
      </w:r>
    </w:p>
    <w:p w:rsidR="00847975" w:rsidRDefault="00847975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Однако, с учётом возрастания прибыли за счёт внедряемых мероприятий в 1,4 раза балансовая прибыль с учётом (3.1) будет равна:</w:t>
      </w:r>
    </w:p>
    <w:p w:rsidR="00847975" w:rsidRDefault="00847975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310,7∙1,4=435,0 (млн. р.)</w:t>
      </w:r>
      <w:r w:rsidRPr="00847975">
        <w:rPr>
          <w:sz w:val="28"/>
          <w:szCs w:val="28"/>
        </w:rPr>
        <w:tab/>
      </w:r>
      <w:r w:rsidRPr="00847975">
        <w:rPr>
          <w:sz w:val="28"/>
          <w:szCs w:val="28"/>
        </w:rPr>
        <w:tab/>
      </w:r>
      <w:r w:rsidRPr="00847975">
        <w:rPr>
          <w:sz w:val="28"/>
          <w:szCs w:val="28"/>
        </w:rPr>
        <w:tab/>
      </w:r>
      <w:r w:rsidRPr="00847975">
        <w:rPr>
          <w:sz w:val="28"/>
          <w:szCs w:val="28"/>
        </w:rPr>
        <w:tab/>
        <w:t>(2)</w:t>
      </w:r>
    </w:p>
    <w:p w:rsidR="00847975" w:rsidRDefault="00847975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Распределение указанной балансовой прибыли по фондам в соответствии с вновь принятой инструкцией и в предположении, что заказчики согласовывают распределение средств между ФПР и ФСР поровну, приведено в табл. 3.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Анализ табл. 3 показывает, что после внедрения указанных мероприятий доплата за счёт платных услуг по статье 2.1 табл.2 «Повышение уровня заработной платы в соответствии с законодательством (за исключением государственных служащих)» к зарплате работников (10,65 млрд. р. за вторую половину </w:t>
      </w:r>
      <w:smartTag w:uri="urn:schemas-microsoft-com:office:smarttags" w:element="metricconverter">
        <w:smartTagPr>
          <w:attr w:name="ProductID" w:val="2008 г"/>
        </w:smartTagPr>
        <w:r w:rsidRPr="00847975">
          <w:rPr>
            <w:sz w:val="28"/>
            <w:szCs w:val="28"/>
          </w:rPr>
          <w:t>2008 г</w:t>
        </w:r>
      </w:smartTag>
      <w:r w:rsidRPr="00847975">
        <w:rPr>
          <w:sz w:val="28"/>
          <w:szCs w:val="28"/>
        </w:rPr>
        <w:t xml:space="preserve">.) возрастёт на величину 87 млн. р., или на 0,817%. Общие же выплаты из ФМП могут быть в 2 раза больше, т.е. увеличат зарплату на 1,63%. Применительно к средней з/п в </w:t>
      </w:r>
      <w:smartTag w:uri="urn:schemas-microsoft-com:office:smarttags" w:element="metricconverter">
        <w:smartTagPr>
          <w:attr w:name="ProductID" w:val="2008 г"/>
        </w:smartTagPr>
        <w:r w:rsidRPr="00847975">
          <w:rPr>
            <w:sz w:val="28"/>
            <w:szCs w:val="28"/>
          </w:rPr>
          <w:t>2008 г</w:t>
        </w:r>
      </w:smartTag>
      <w:r w:rsidRPr="00847975">
        <w:rPr>
          <w:sz w:val="28"/>
          <w:szCs w:val="28"/>
        </w:rPr>
        <w:t xml:space="preserve">. (см. табл. 2.4) равной 705 тыс. р., доплата из ФМП в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>. составит 11,5 тыс.р. на одного работающего каждый месяц.</w:t>
      </w:r>
    </w:p>
    <w:p w:rsidR="00847975" w:rsidRDefault="00847975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</w:p>
    <w:p w:rsidR="006A49B1" w:rsidRPr="00847975" w:rsidRDefault="00847975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Распределение прогнозируемой балансовой прибыли</w:t>
      </w:r>
      <w:r>
        <w:rPr>
          <w:sz w:val="28"/>
          <w:szCs w:val="28"/>
        </w:rPr>
        <w:t xml:space="preserve"> </w:t>
      </w:r>
      <w:r w:rsidRPr="00847975">
        <w:rPr>
          <w:sz w:val="28"/>
          <w:szCs w:val="28"/>
        </w:rPr>
        <w:t xml:space="preserve">на 2-ю половину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>., млн. р.</w:t>
      </w:r>
    </w:p>
    <w:tbl>
      <w:tblPr>
        <w:tblW w:w="5000" w:type="pct"/>
        <w:tblLook w:val="0000" w:firstRow="0" w:lastRow="0" w:firstColumn="0" w:lastColumn="0" w:noHBand="0" w:noVBand="0"/>
      </w:tblPr>
      <w:tblGrid>
        <w:gridCol w:w="502"/>
        <w:gridCol w:w="4262"/>
        <w:gridCol w:w="1227"/>
        <w:gridCol w:w="1227"/>
        <w:gridCol w:w="1240"/>
        <w:gridCol w:w="1112"/>
      </w:tblGrid>
      <w:tr w:rsidR="006A49B1" w:rsidRPr="00847975" w:rsidTr="00847975">
        <w:trPr>
          <w:trHeight w:val="94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№ п/п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Статья расходов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До внедрения меропр.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После внедрения меропр.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Абсолютн. рост, млн.р.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Относит. рост, %</w:t>
            </w:r>
          </w:p>
        </w:tc>
      </w:tr>
      <w:tr w:rsidR="006A49B1" w:rsidRPr="00847975" w:rsidTr="00847975">
        <w:trPr>
          <w:trHeight w:val="3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1.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Балансовая прибыль, в т.ч.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310,7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435,0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124,3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3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2.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ФМП (40% от п.1), в т.ч.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124,3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174,0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49,7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94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2.1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повышение уровня заработной платы в соответствии с законодательством (за исключением государственных служащих) (50% от п.2)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62,1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87,0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24,9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12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2.2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премирование работников, занимающихся деятельностью, от которой получены доходы в соответствии с законодательством, иных работников (за исключением государственных служащих) (20% от п.2)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24,9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34,8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9,9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6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2.3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оказание материальной помощи в связи с тяжелым материальным положением (10% от п.2);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12,4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17,4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5,0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126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2.4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погашение задолженности по форменной и специальной одежде работникам департамента по надзору за безопасным ведением работ в промышленности и атомной энергетике МЧС, в том числе уходящим на пенсию (3% от п.2);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3,7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5,2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66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2.5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обучение, подготовку и переподготовку работников по специальностям, связанным с основной деятельностью (7% от п.2);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8,7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12,2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3,5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630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2.6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оказание материальной помощи членам семей работников, погибших при исполнении служебных обязанностей (5% от п.2);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6,2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8,7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94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2.7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оказание материальной помощи пенсионерам органов (подразделений) по чрезвычайным ситуациям, а также инвалидам из числа бывших работников (5% от п.2);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6,2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8,7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2,5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3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3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Фонд производственного развития (30% от п.1)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93,2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130,5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37,3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  <w:tr w:rsidR="006A49B1" w:rsidRPr="00847975" w:rsidTr="00847975">
        <w:trPr>
          <w:trHeight w:val="375"/>
        </w:trPr>
        <w:tc>
          <w:tcPr>
            <w:tcW w:w="262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4</w:t>
            </w:r>
          </w:p>
        </w:tc>
        <w:tc>
          <w:tcPr>
            <w:tcW w:w="2227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Фонд социального развития (30% от п.1)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93,2</w:t>
            </w:r>
          </w:p>
        </w:tc>
        <w:tc>
          <w:tcPr>
            <w:tcW w:w="64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130,5</w:t>
            </w:r>
          </w:p>
        </w:tc>
        <w:tc>
          <w:tcPr>
            <w:tcW w:w="648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37,3</w:t>
            </w:r>
          </w:p>
        </w:tc>
        <w:tc>
          <w:tcPr>
            <w:tcW w:w="581" w:type="pct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A49B1" w:rsidRPr="00847975" w:rsidRDefault="006A49B1" w:rsidP="00847975">
            <w:pPr>
              <w:suppressAutoHyphens/>
              <w:spacing w:line="360" w:lineRule="auto"/>
              <w:jc w:val="both"/>
              <w:rPr>
                <w:sz w:val="20"/>
                <w:szCs w:val="20"/>
              </w:rPr>
            </w:pPr>
            <w:r w:rsidRPr="00847975">
              <w:rPr>
                <w:sz w:val="20"/>
                <w:szCs w:val="20"/>
              </w:rPr>
              <w:t>0,4</w:t>
            </w:r>
          </w:p>
        </w:tc>
      </w:tr>
    </w:tbl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b/>
          <w:sz w:val="28"/>
          <w:szCs w:val="28"/>
        </w:rPr>
      </w:pP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b/>
          <w:sz w:val="28"/>
          <w:szCs w:val="28"/>
        </w:rPr>
        <w:t xml:space="preserve">Вывод. </w:t>
      </w:r>
      <w:r w:rsidRPr="00847975">
        <w:rPr>
          <w:sz w:val="28"/>
          <w:szCs w:val="28"/>
        </w:rPr>
        <w:t>Для повышения объема выручки и темпов роста платных услуг в дипломном проекте предложено: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а) в распределяемую часть балансовой прибыли дополнительно к фондам ФПР и ФСР ввести фонд материального поощрения;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б) расширить ассортимент оказываемых платных услуг услугами: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47975">
        <w:rPr>
          <w:rFonts w:cs="Times New Roman CYR"/>
          <w:sz w:val="28"/>
          <w:szCs w:val="28"/>
        </w:rPr>
        <w:t>1.</w:t>
      </w:r>
      <w:r w:rsidRPr="00847975">
        <w:rPr>
          <w:sz w:val="28"/>
          <w:szCs w:val="28"/>
        </w:rPr>
        <w:t xml:space="preserve"> Выработка и подача электроэнергии от автономного источника питания.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rFonts w:cs="Times New Roman CYR"/>
          <w:sz w:val="28"/>
          <w:szCs w:val="28"/>
        </w:rPr>
      </w:pPr>
      <w:r w:rsidRPr="00847975">
        <w:rPr>
          <w:rFonts w:cs="Times New Roman CYR"/>
          <w:sz w:val="28"/>
          <w:szCs w:val="28"/>
        </w:rPr>
        <w:t>2. Мойка транспортных средств.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3. Ремонт и обслуживание аппаратов на сжатом воздухе.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в) распределение ФМП по пункту «3.5.1 а» между работниками районного отдела МЧС вести согласно КТУ.</w:t>
      </w:r>
    </w:p>
    <w:p w:rsidR="006A49B1" w:rsidRPr="00847975" w:rsidRDefault="006A49B1" w:rsidP="00847975">
      <w:pPr>
        <w:suppressAutoHyphens/>
        <w:spacing w:line="360" w:lineRule="auto"/>
        <w:ind w:firstLine="709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Внедрение названных мероприятий позволит повысить среднюю з/п в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2008 г</w:t>
        </w:r>
      </w:smartTag>
      <w:r w:rsidRPr="00847975">
        <w:rPr>
          <w:sz w:val="28"/>
          <w:szCs w:val="28"/>
        </w:rPr>
        <w:t xml:space="preserve">. (705 тыс. р.), за счёт доплаты из ФМП в </w:t>
      </w:r>
      <w:smartTag w:uri="urn:schemas-microsoft-com:office:smarttags" w:element="metricconverter">
        <w:smartTagPr>
          <w:attr w:name="ProductID" w:val="2009 г"/>
        </w:smartTagPr>
        <w:r w:rsidRPr="00847975">
          <w:rPr>
            <w:sz w:val="28"/>
            <w:szCs w:val="28"/>
          </w:rPr>
          <w:t>2009 г</w:t>
        </w:r>
      </w:smartTag>
      <w:r w:rsidRPr="00847975">
        <w:rPr>
          <w:sz w:val="28"/>
          <w:szCs w:val="28"/>
        </w:rPr>
        <w:t xml:space="preserve">. на 11,5 тыс.р. на одного работающего каждый месяц. </w:t>
      </w:r>
    </w:p>
    <w:p w:rsidR="00DD664B" w:rsidRDefault="00DD664B" w:rsidP="00847975">
      <w:pPr>
        <w:pStyle w:val="31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  <w:r w:rsidRPr="00847975">
        <w:rPr>
          <w:sz w:val="28"/>
          <w:szCs w:val="28"/>
        </w:rPr>
        <w:br w:type="page"/>
      </w:r>
      <w:r w:rsidRPr="00847975">
        <w:rPr>
          <w:b/>
          <w:sz w:val="28"/>
          <w:szCs w:val="28"/>
        </w:rPr>
        <w:t>ЛИТЕРАТУРА</w:t>
      </w:r>
    </w:p>
    <w:p w:rsidR="00847975" w:rsidRPr="00847975" w:rsidRDefault="00847975" w:rsidP="00847975">
      <w:pPr>
        <w:pStyle w:val="31"/>
        <w:suppressAutoHyphens/>
        <w:spacing w:after="0" w:line="360" w:lineRule="auto"/>
        <w:ind w:left="0" w:firstLine="709"/>
        <w:jc w:val="both"/>
        <w:rPr>
          <w:b/>
          <w:sz w:val="28"/>
          <w:szCs w:val="28"/>
        </w:rPr>
      </w:pPr>
    </w:p>
    <w:p w:rsidR="00D9782A" w:rsidRPr="00847975" w:rsidRDefault="00D9782A" w:rsidP="00847975">
      <w:pPr>
        <w:numPr>
          <w:ilvl w:val="0"/>
          <w:numId w:val="2"/>
        </w:numPr>
        <w:tabs>
          <w:tab w:val="left" w:pos="540"/>
          <w:tab w:val="left" w:pos="1260"/>
          <w:tab w:val="num" w:pos="2085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47975">
        <w:rPr>
          <w:sz w:val="28"/>
          <w:szCs w:val="28"/>
        </w:rPr>
        <w:t xml:space="preserve">Савицкая, Г. В. Анализ хозяйственной деятельности предприятия: Учебник / Г. В. Савицкая. - Минск : ООО «Новое знание», 2001. </w:t>
      </w:r>
    </w:p>
    <w:p w:rsidR="00151893" w:rsidRPr="00847975" w:rsidRDefault="00151893" w:rsidP="00847975">
      <w:pPr>
        <w:numPr>
          <w:ilvl w:val="0"/>
          <w:numId w:val="2"/>
        </w:numPr>
        <w:tabs>
          <w:tab w:val="left" w:pos="540"/>
          <w:tab w:val="num" w:pos="14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Москалёва, Л. Комментарий к Постановлению Минфина № 152 от 12.11.2002 «Об утверждении Инструкции о порядке планирования, учёта и использования средств, получаемых организациями, финансируемыми из бюджета, от приносящей доходы деятельности» // Главный бухгалтер. Бюджетные организации. 2007.</w:t>
      </w:r>
    </w:p>
    <w:p w:rsidR="00151893" w:rsidRPr="00847975" w:rsidRDefault="00151893" w:rsidP="00847975">
      <w:pPr>
        <w:numPr>
          <w:ilvl w:val="0"/>
          <w:numId w:val="2"/>
        </w:numPr>
        <w:tabs>
          <w:tab w:val="left" w:pos="540"/>
          <w:tab w:val="num" w:pos="1440"/>
        </w:tabs>
        <w:suppressAutoHyphens/>
        <w:spacing w:line="360" w:lineRule="auto"/>
        <w:ind w:left="0" w:firstLine="0"/>
        <w:jc w:val="both"/>
        <w:rPr>
          <w:sz w:val="28"/>
          <w:szCs w:val="28"/>
        </w:rPr>
      </w:pPr>
      <w:r w:rsidRPr="00847975">
        <w:rPr>
          <w:sz w:val="28"/>
          <w:szCs w:val="28"/>
        </w:rPr>
        <w:t>Чернюк, А. Об учёте доходов и расходов в бюджетных организациях // Главный бухгалтер. Бюджетные организации. 2008.</w:t>
      </w:r>
      <w:bookmarkStart w:id="0" w:name="_GoBack"/>
      <w:bookmarkEnd w:id="0"/>
    </w:p>
    <w:sectPr w:rsidR="00151893" w:rsidRPr="00847975" w:rsidSect="00847975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6C6526"/>
    <w:multiLevelType w:val="hybridMultilevel"/>
    <w:tmpl w:val="68A01E0C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">
    <w:nsid w:val="05C03D39"/>
    <w:multiLevelType w:val="hybridMultilevel"/>
    <w:tmpl w:val="57B88A7C"/>
    <w:lvl w:ilvl="0" w:tplc="8B305C9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">
    <w:nsid w:val="082A6A9F"/>
    <w:multiLevelType w:val="hybridMultilevel"/>
    <w:tmpl w:val="40F08694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">
    <w:nsid w:val="15905AF5"/>
    <w:multiLevelType w:val="hybridMultilevel"/>
    <w:tmpl w:val="75AE2084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4">
    <w:nsid w:val="17000BF9"/>
    <w:multiLevelType w:val="hybridMultilevel"/>
    <w:tmpl w:val="1DFCB73E"/>
    <w:lvl w:ilvl="0" w:tplc="687A8E2C">
      <w:start w:val="1"/>
      <w:numFmt w:val="bullet"/>
      <w:lvlText w:val=""/>
      <w:lvlJc w:val="left"/>
      <w:pPr>
        <w:tabs>
          <w:tab w:val="num" w:pos="1723"/>
        </w:tabs>
        <w:ind w:left="1467" w:hanging="27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18D66E9D"/>
    <w:multiLevelType w:val="hybridMultilevel"/>
    <w:tmpl w:val="1D244CC0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980"/>
        </w:tabs>
        <w:ind w:left="1980" w:hanging="360"/>
      </w:pPr>
      <w:rPr>
        <w:rFonts w:cs="Times New Roman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6">
    <w:nsid w:val="24836419"/>
    <w:multiLevelType w:val="hybridMultilevel"/>
    <w:tmpl w:val="DB529AA8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7">
    <w:nsid w:val="277A3734"/>
    <w:multiLevelType w:val="hybridMultilevel"/>
    <w:tmpl w:val="EE525866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8">
    <w:nsid w:val="285152A0"/>
    <w:multiLevelType w:val="hybridMultilevel"/>
    <w:tmpl w:val="2CB6BE02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9">
    <w:nsid w:val="2CA15201"/>
    <w:multiLevelType w:val="hybridMultilevel"/>
    <w:tmpl w:val="636EE43C"/>
    <w:lvl w:ilvl="0" w:tplc="0DB2DD40">
      <w:start w:val="1"/>
      <w:numFmt w:val="bullet"/>
      <w:lvlText w:val="ˉ"/>
      <w:lvlJc w:val="left"/>
      <w:pPr>
        <w:tabs>
          <w:tab w:val="num" w:pos="1134"/>
        </w:tabs>
        <w:ind w:firstLine="851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34724976"/>
    <w:multiLevelType w:val="hybridMultilevel"/>
    <w:tmpl w:val="D82A5720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1">
    <w:nsid w:val="37987EEF"/>
    <w:multiLevelType w:val="hybridMultilevel"/>
    <w:tmpl w:val="C9BCDF86"/>
    <w:lvl w:ilvl="0" w:tplc="1DE40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12">
    <w:nsid w:val="397035FB"/>
    <w:multiLevelType w:val="hybridMultilevel"/>
    <w:tmpl w:val="53AA2D32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3EF34448"/>
    <w:multiLevelType w:val="hybridMultilevel"/>
    <w:tmpl w:val="5DE0D37A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7D31F5D"/>
    <w:multiLevelType w:val="hybridMultilevel"/>
    <w:tmpl w:val="0BDC4BCA"/>
    <w:lvl w:ilvl="0" w:tplc="09543D6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15">
    <w:nsid w:val="47F65AC9"/>
    <w:multiLevelType w:val="hybridMultilevel"/>
    <w:tmpl w:val="17D6AE6C"/>
    <w:lvl w:ilvl="0" w:tplc="5518CE76">
      <w:start w:val="2"/>
      <w:numFmt w:val="bullet"/>
      <w:lvlText w:val="­"/>
      <w:lvlJc w:val="left"/>
      <w:pPr>
        <w:tabs>
          <w:tab w:val="num" w:pos="786"/>
        </w:tabs>
        <w:ind w:firstLine="426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48C73569"/>
    <w:multiLevelType w:val="hybridMultilevel"/>
    <w:tmpl w:val="9710DF0E"/>
    <w:lvl w:ilvl="0" w:tplc="687A8E2C">
      <w:start w:val="1"/>
      <w:numFmt w:val="bullet"/>
      <w:lvlText w:val=""/>
      <w:lvlJc w:val="left"/>
      <w:pPr>
        <w:tabs>
          <w:tab w:val="num" w:pos="1183"/>
        </w:tabs>
        <w:ind w:left="927" w:hanging="27"/>
      </w:pPr>
      <w:rPr>
        <w:rFonts w:ascii="Symbol" w:hAnsi="Symbol" w:hint="default"/>
      </w:rPr>
    </w:lvl>
    <w:lvl w:ilvl="1" w:tplc="36E2C8AA">
      <w:start w:val="1"/>
      <w:numFmt w:val="bullet"/>
      <w:lvlText w:val=""/>
      <w:lvlJc w:val="left"/>
      <w:pPr>
        <w:tabs>
          <w:tab w:val="num" w:pos="1980"/>
        </w:tabs>
        <w:ind w:left="1980" w:hanging="360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17">
    <w:nsid w:val="4D416B21"/>
    <w:multiLevelType w:val="hybridMultilevel"/>
    <w:tmpl w:val="4000CD4A"/>
    <w:lvl w:ilvl="0" w:tplc="86E8117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18">
    <w:nsid w:val="4E8E7486"/>
    <w:multiLevelType w:val="hybridMultilevel"/>
    <w:tmpl w:val="16F4CDFC"/>
    <w:lvl w:ilvl="0" w:tplc="4EB4BB98">
      <w:start w:val="1"/>
      <w:numFmt w:val="decimal"/>
      <w:lvlText w:val="%1."/>
      <w:lvlJc w:val="left"/>
      <w:pPr>
        <w:tabs>
          <w:tab w:val="num" w:pos="786"/>
        </w:tabs>
        <w:ind w:left="786" w:hanging="673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9">
    <w:nsid w:val="55C23BC8"/>
    <w:multiLevelType w:val="hybridMultilevel"/>
    <w:tmpl w:val="55981A0A"/>
    <w:lvl w:ilvl="0" w:tplc="1DE40890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0">
    <w:nsid w:val="581B4FCB"/>
    <w:multiLevelType w:val="hybridMultilevel"/>
    <w:tmpl w:val="D1368E38"/>
    <w:lvl w:ilvl="0" w:tplc="86E81172">
      <w:start w:val="1"/>
      <w:numFmt w:val="bullet"/>
      <w:lvlText w:val=""/>
      <w:lvlJc w:val="left"/>
      <w:pPr>
        <w:tabs>
          <w:tab w:val="num" w:pos="1827"/>
        </w:tabs>
        <w:ind w:left="182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07"/>
        </w:tabs>
        <w:ind w:left="2007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27"/>
        </w:tabs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47"/>
        </w:tabs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67"/>
        </w:tabs>
        <w:ind w:left="4167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87"/>
        </w:tabs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07"/>
        </w:tabs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27"/>
        </w:tabs>
        <w:ind w:left="6327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47"/>
        </w:tabs>
        <w:ind w:left="7047" w:hanging="360"/>
      </w:pPr>
      <w:rPr>
        <w:rFonts w:ascii="Wingdings" w:hAnsi="Wingdings" w:hint="default"/>
      </w:rPr>
    </w:lvl>
  </w:abstractNum>
  <w:abstractNum w:abstractNumId="21">
    <w:nsid w:val="5E164835"/>
    <w:multiLevelType w:val="hybridMultilevel"/>
    <w:tmpl w:val="D3E0B380"/>
    <w:lvl w:ilvl="0" w:tplc="86E81172">
      <w:start w:val="1"/>
      <w:numFmt w:val="bullet"/>
      <w:lvlText w:val="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63684E2C"/>
    <w:multiLevelType w:val="hybridMultilevel"/>
    <w:tmpl w:val="7FC6350E"/>
    <w:lvl w:ilvl="0" w:tplc="1DE40890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66B02BEF"/>
    <w:multiLevelType w:val="hybridMultilevel"/>
    <w:tmpl w:val="4B7655DE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  <w:rPr>
        <w:rFonts w:cs="Times New Roman"/>
      </w:rPr>
    </w:lvl>
  </w:abstractNum>
  <w:abstractNum w:abstractNumId="24">
    <w:nsid w:val="67C41A81"/>
    <w:multiLevelType w:val="hybridMultilevel"/>
    <w:tmpl w:val="12FA7562"/>
    <w:lvl w:ilvl="0" w:tplc="36E2C8AA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color w:val="auto"/>
      </w:rPr>
    </w:lvl>
    <w:lvl w:ilvl="1" w:tplc="687A8E2C">
      <w:start w:val="1"/>
      <w:numFmt w:val="bullet"/>
      <w:lvlText w:val=""/>
      <w:lvlJc w:val="left"/>
      <w:pPr>
        <w:tabs>
          <w:tab w:val="num" w:pos="1903"/>
        </w:tabs>
        <w:ind w:left="1647" w:hanging="27"/>
      </w:pPr>
      <w:rPr>
        <w:rFonts w:ascii="Symbol" w:hAnsi="Symbol" w:hint="default"/>
        <w:color w:val="auto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6AB442DA"/>
    <w:multiLevelType w:val="hybridMultilevel"/>
    <w:tmpl w:val="F09E7360"/>
    <w:lvl w:ilvl="0" w:tplc="1DE40890">
      <w:start w:val="1"/>
      <w:numFmt w:val="bullet"/>
      <w:lvlText w:val=""/>
      <w:lvlJc w:val="left"/>
      <w:pPr>
        <w:tabs>
          <w:tab w:val="num" w:pos="1620"/>
        </w:tabs>
        <w:ind w:left="16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26">
    <w:nsid w:val="6C1F31CA"/>
    <w:multiLevelType w:val="hybridMultilevel"/>
    <w:tmpl w:val="8066426E"/>
    <w:lvl w:ilvl="0" w:tplc="FE6630B8">
      <w:start w:val="1"/>
      <w:numFmt w:val="decimal"/>
      <w:lvlText w:val="%1."/>
      <w:lvlJc w:val="left"/>
      <w:pPr>
        <w:tabs>
          <w:tab w:val="num" w:pos="2036"/>
        </w:tabs>
        <w:ind w:left="2036" w:hanging="1185"/>
      </w:pPr>
      <w:rPr>
        <w:rFonts w:ascii="Times New Roman" w:hAnsi="Times New Roman" w:cs="Times New Roman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  <w:rPr>
        <w:rFonts w:cs="Times New Roman"/>
      </w:rPr>
    </w:lvl>
  </w:abstractNum>
  <w:abstractNum w:abstractNumId="27">
    <w:nsid w:val="71ED69AB"/>
    <w:multiLevelType w:val="hybridMultilevel"/>
    <w:tmpl w:val="3D8ED46C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8">
    <w:nsid w:val="753713C8"/>
    <w:multiLevelType w:val="multilevel"/>
    <w:tmpl w:val="33221252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isLgl/>
      <w:lvlText w:val="%1.%2."/>
      <w:lvlJc w:val="left"/>
      <w:pPr>
        <w:tabs>
          <w:tab w:val="num" w:pos="2471"/>
        </w:tabs>
        <w:ind w:left="2471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3322"/>
        </w:tabs>
        <w:ind w:left="3322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4533"/>
        </w:tabs>
        <w:ind w:left="4533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5384"/>
        </w:tabs>
        <w:ind w:left="5384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6595"/>
        </w:tabs>
        <w:ind w:left="6595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7806"/>
        </w:tabs>
        <w:ind w:left="780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8657"/>
        </w:tabs>
        <w:ind w:left="8657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9868"/>
        </w:tabs>
        <w:ind w:left="9868" w:hanging="2160"/>
      </w:pPr>
      <w:rPr>
        <w:rFonts w:cs="Times New Roman" w:hint="default"/>
      </w:rPr>
    </w:lvl>
  </w:abstractNum>
  <w:abstractNum w:abstractNumId="29">
    <w:nsid w:val="7679622E"/>
    <w:multiLevelType w:val="hybridMultilevel"/>
    <w:tmpl w:val="8AB48C5A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30">
    <w:nsid w:val="77474141"/>
    <w:multiLevelType w:val="hybridMultilevel"/>
    <w:tmpl w:val="2C10B3AA"/>
    <w:lvl w:ilvl="0" w:tplc="86E81172">
      <w:start w:val="1"/>
      <w:numFmt w:val="bullet"/>
      <w:lvlText w:val="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num w:numId="1">
    <w:abstractNumId w:val="28"/>
  </w:num>
  <w:num w:numId="2">
    <w:abstractNumId w:val="1"/>
  </w:num>
  <w:num w:numId="3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</w:num>
  <w:num w:numId="5">
    <w:abstractNumId w:val="22"/>
  </w:num>
  <w:num w:numId="6">
    <w:abstractNumId w:val="19"/>
  </w:num>
  <w:num w:numId="7">
    <w:abstractNumId w:val="5"/>
  </w:num>
  <w:num w:numId="8">
    <w:abstractNumId w:val="11"/>
  </w:num>
  <w:num w:numId="9">
    <w:abstractNumId w:val="25"/>
  </w:num>
  <w:num w:numId="10">
    <w:abstractNumId w:val="23"/>
  </w:num>
  <w:num w:numId="11">
    <w:abstractNumId w:val="21"/>
  </w:num>
  <w:num w:numId="12">
    <w:abstractNumId w:val="20"/>
  </w:num>
  <w:num w:numId="13">
    <w:abstractNumId w:val="17"/>
  </w:num>
  <w:num w:numId="14">
    <w:abstractNumId w:val="29"/>
  </w:num>
  <w:num w:numId="15">
    <w:abstractNumId w:val="30"/>
  </w:num>
  <w:num w:numId="16">
    <w:abstractNumId w:val="27"/>
  </w:num>
  <w:num w:numId="17">
    <w:abstractNumId w:val="16"/>
  </w:num>
  <w:num w:numId="18">
    <w:abstractNumId w:val="10"/>
  </w:num>
  <w:num w:numId="19">
    <w:abstractNumId w:val="8"/>
  </w:num>
  <w:num w:numId="20">
    <w:abstractNumId w:val="0"/>
  </w:num>
  <w:num w:numId="21">
    <w:abstractNumId w:val="7"/>
  </w:num>
  <w:num w:numId="22">
    <w:abstractNumId w:val="3"/>
  </w:num>
  <w:num w:numId="23">
    <w:abstractNumId w:val="2"/>
  </w:num>
  <w:num w:numId="24">
    <w:abstractNumId w:val="4"/>
  </w:num>
  <w:num w:numId="25">
    <w:abstractNumId w:val="24"/>
  </w:num>
  <w:num w:numId="26">
    <w:abstractNumId w:val="12"/>
  </w:num>
  <w:num w:numId="27">
    <w:abstractNumId w:val="13"/>
  </w:num>
  <w:num w:numId="28">
    <w:abstractNumId w:val="18"/>
  </w:num>
  <w:num w:numId="29">
    <w:abstractNumId w:val="15"/>
  </w:num>
  <w:num w:numId="30">
    <w:abstractNumId w:val="9"/>
  </w:num>
  <w:num w:numId="3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DD664B"/>
    <w:rsid w:val="00063658"/>
    <w:rsid w:val="0007030A"/>
    <w:rsid w:val="000760AE"/>
    <w:rsid w:val="00091EBF"/>
    <w:rsid w:val="00147E44"/>
    <w:rsid w:val="00151893"/>
    <w:rsid w:val="001D2043"/>
    <w:rsid w:val="00237F4C"/>
    <w:rsid w:val="002D714D"/>
    <w:rsid w:val="003023DF"/>
    <w:rsid w:val="00303F1D"/>
    <w:rsid w:val="00466EDE"/>
    <w:rsid w:val="004967EB"/>
    <w:rsid w:val="004C3B24"/>
    <w:rsid w:val="00577848"/>
    <w:rsid w:val="005B4592"/>
    <w:rsid w:val="00631629"/>
    <w:rsid w:val="006A49B1"/>
    <w:rsid w:val="006D16B7"/>
    <w:rsid w:val="0070101A"/>
    <w:rsid w:val="00725100"/>
    <w:rsid w:val="007B7732"/>
    <w:rsid w:val="00847975"/>
    <w:rsid w:val="00887D16"/>
    <w:rsid w:val="0093329E"/>
    <w:rsid w:val="009F14F7"/>
    <w:rsid w:val="00A111DD"/>
    <w:rsid w:val="00B2719D"/>
    <w:rsid w:val="00B30C08"/>
    <w:rsid w:val="00B37765"/>
    <w:rsid w:val="00B42743"/>
    <w:rsid w:val="00B75B04"/>
    <w:rsid w:val="00B84F65"/>
    <w:rsid w:val="00BC09A1"/>
    <w:rsid w:val="00BD048A"/>
    <w:rsid w:val="00BD0690"/>
    <w:rsid w:val="00BE454E"/>
    <w:rsid w:val="00C277E7"/>
    <w:rsid w:val="00C835D9"/>
    <w:rsid w:val="00CB3F38"/>
    <w:rsid w:val="00D32E81"/>
    <w:rsid w:val="00D96497"/>
    <w:rsid w:val="00D9782A"/>
    <w:rsid w:val="00DD664B"/>
    <w:rsid w:val="00DF0232"/>
    <w:rsid w:val="00E24D4F"/>
    <w:rsid w:val="00E737E6"/>
    <w:rsid w:val="00E87EE4"/>
    <w:rsid w:val="00FE2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7EDFD5D5-D360-4ABD-9817-877221415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D664B"/>
    <w:rPr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DD664B"/>
    <w:pPr>
      <w:keepNext/>
      <w:ind w:left="3600"/>
      <w:outlineLvl w:val="2"/>
    </w:pPr>
    <w:rPr>
      <w:b/>
      <w:bCs/>
    </w:rPr>
  </w:style>
  <w:style w:type="paragraph" w:styleId="4">
    <w:name w:val="heading 4"/>
    <w:basedOn w:val="a"/>
    <w:next w:val="a"/>
    <w:link w:val="40"/>
    <w:uiPriority w:val="99"/>
    <w:qFormat/>
    <w:rsid w:val="00DD664B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DD664B"/>
    <w:pPr>
      <w:keepNext/>
      <w:widowControl w:val="0"/>
      <w:jc w:val="center"/>
      <w:outlineLvl w:val="4"/>
    </w:pPr>
    <w:rPr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link w:val="4"/>
    <w:uiPriority w:val="9"/>
    <w:semiHidden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link w:val="5"/>
    <w:uiPriority w:val="9"/>
    <w:semiHidden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customStyle="1" w:styleId="2">
    <w:name w:val="Основной текст с отступом 2.Знак"/>
    <w:basedOn w:val="a"/>
    <w:uiPriority w:val="99"/>
    <w:rsid w:val="00DD664B"/>
    <w:pPr>
      <w:ind w:firstLine="573"/>
    </w:pPr>
    <w:rPr>
      <w:szCs w:val="20"/>
    </w:rPr>
  </w:style>
  <w:style w:type="paragraph" w:styleId="a3">
    <w:name w:val="Body Text Indent"/>
    <w:basedOn w:val="a"/>
    <w:link w:val="a4"/>
    <w:uiPriority w:val="99"/>
    <w:rsid w:val="00DD664B"/>
    <w:pPr>
      <w:ind w:left="-360"/>
    </w:p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</w:rPr>
  </w:style>
  <w:style w:type="paragraph" w:styleId="20">
    <w:name w:val="Body Text Indent 2"/>
    <w:basedOn w:val="a"/>
    <w:link w:val="21"/>
    <w:uiPriority w:val="99"/>
    <w:rsid w:val="00DD664B"/>
    <w:pPr>
      <w:spacing w:after="120" w:line="480" w:lineRule="auto"/>
      <w:ind w:left="283"/>
    </w:pPr>
    <w:rPr>
      <w:sz w:val="28"/>
      <w:szCs w:val="28"/>
    </w:rPr>
  </w:style>
  <w:style w:type="character" w:customStyle="1" w:styleId="21">
    <w:name w:val="Основний текст з відступом 2 Знак"/>
    <w:link w:val="20"/>
    <w:uiPriority w:val="99"/>
    <w:semiHidden/>
    <w:rPr>
      <w:sz w:val="24"/>
      <w:szCs w:val="24"/>
    </w:rPr>
  </w:style>
  <w:style w:type="paragraph" w:styleId="31">
    <w:name w:val="Body Text Indent 3"/>
    <w:basedOn w:val="a"/>
    <w:link w:val="32"/>
    <w:uiPriority w:val="99"/>
    <w:rsid w:val="00DD664B"/>
    <w:pPr>
      <w:spacing w:after="120"/>
      <w:ind w:left="283"/>
    </w:pPr>
    <w:rPr>
      <w:sz w:val="16"/>
      <w:szCs w:val="16"/>
    </w:rPr>
  </w:style>
  <w:style w:type="character" w:customStyle="1" w:styleId="32">
    <w:name w:val="Основний текст з відступом 3 Знак"/>
    <w:link w:val="31"/>
    <w:uiPriority w:val="99"/>
    <w:semiHidden/>
    <w:rPr>
      <w:sz w:val="16"/>
      <w:szCs w:val="16"/>
    </w:rPr>
  </w:style>
  <w:style w:type="paragraph" w:styleId="a5">
    <w:name w:val="Body Text"/>
    <w:basedOn w:val="a"/>
    <w:link w:val="a6"/>
    <w:uiPriority w:val="99"/>
    <w:rsid w:val="00DD664B"/>
    <w:pPr>
      <w:spacing w:after="120"/>
    </w:pPr>
  </w:style>
  <w:style w:type="character" w:customStyle="1" w:styleId="a6">
    <w:name w:val="Основний текст Знак"/>
    <w:link w:val="a5"/>
    <w:uiPriority w:val="99"/>
    <w:semiHidden/>
    <w:rPr>
      <w:sz w:val="24"/>
      <w:szCs w:val="24"/>
    </w:rPr>
  </w:style>
  <w:style w:type="paragraph" w:styleId="a7">
    <w:name w:val="header"/>
    <w:basedOn w:val="a"/>
    <w:link w:val="a8"/>
    <w:uiPriority w:val="99"/>
    <w:rsid w:val="00D96497"/>
    <w:pPr>
      <w:tabs>
        <w:tab w:val="center" w:pos="4677"/>
        <w:tab w:val="right" w:pos="9355"/>
      </w:tabs>
    </w:pPr>
  </w:style>
  <w:style w:type="character" w:customStyle="1" w:styleId="a8">
    <w:name w:val="Верхній колонтитул Знак"/>
    <w:link w:val="a7"/>
    <w:uiPriority w:val="99"/>
    <w:semiHidden/>
    <w:rPr>
      <w:sz w:val="24"/>
      <w:szCs w:val="24"/>
    </w:rPr>
  </w:style>
  <w:style w:type="character" w:styleId="a9">
    <w:name w:val="page number"/>
    <w:uiPriority w:val="99"/>
    <w:rsid w:val="00D96497"/>
    <w:rPr>
      <w:rFonts w:cs="Times New Roman"/>
    </w:rPr>
  </w:style>
  <w:style w:type="paragraph" w:customStyle="1" w:styleId="BodyText21">
    <w:name w:val="Body Text 21"/>
    <w:basedOn w:val="a"/>
    <w:uiPriority w:val="99"/>
    <w:rsid w:val="00D96497"/>
    <w:pPr>
      <w:jc w:val="both"/>
    </w:pPr>
    <w:rPr>
      <w:sz w:val="28"/>
      <w:szCs w:val="20"/>
    </w:rPr>
  </w:style>
  <w:style w:type="paragraph" w:styleId="HTML">
    <w:name w:val="HTML Preformatted"/>
    <w:basedOn w:val="a"/>
    <w:link w:val="HTML0"/>
    <w:uiPriority w:val="99"/>
    <w:rsid w:val="00D9649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ий HTML Знак"/>
    <w:link w:val="HTML"/>
    <w:uiPriority w:val="99"/>
    <w:semiHidden/>
    <w:rPr>
      <w:rFonts w:ascii="Courier New" w:hAnsi="Courier New" w:cs="Courier New"/>
      <w:sz w:val="20"/>
      <w:szCs w:val="20"/>
    </w:rPr>
  </w:style>
  <w:style w:type="paragraph" w:styleId="aa">
    <w:name w:val="footer"/>
    <w:basedOn w:val="a"/>
    <w:link w:val="ab"/>
    <w:uiPriority w:val="99"/>
    <w:rsid w:val="00D96497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Pr>
      <w:sz w:val="24"/>
      <w:szCs w:val="24"/>
    </w:rPr>
  </w:style>
  <w:style w:type="table" w:styleId="ac">
    <w:name w:val="Table Grid"/>
    <w:basedOn w:val="a1"/>
    <w:uiPriority w:val="99"/>
    <w:rsid w:val="002D714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Plain Text"/>
    <w:basedOn w:val="a"/>
    <w:link w:val="ae"/>
    <w:uiPriority w:val="99"/>
    <w:rsid w:val="006A49B1"/>
    <w:rPr>
      <w:rFonts w:ascii="Courier New" w:hAnsi="Courier New" w:cs="Courier New"/>
      <w:sz w:val="20"/>
      <w:szCs w:val="20"/>
    </w:rPr>
  </w:style>
  <w:style w:type="character" w:customStyle="1" w:styleId="ae">
    <w:name w:val="Текст Знак"/>
    <w:link w:val="ad"/>
    <w:uiPriority w:val="99"/>
    <w:semiHidden/>
    <w:rPr>
      <w:rFonts w:ascii="Courier New" w:hAnsi="Courier New" w:cs="Courier New"/>
      <w:sz w:val="20"/>
      <w:szCs w:val="20"/>
    </w:rPr>
  </w:style>
  <w:style w:type="paragraph" w:customStyle="1" w:styleId="point">
    <w:name w:val="point"/>
    <w:basedOn w:val="a"/>
    <w:uiPriority w:val="99"/>
    <w:rsid w:val="006A49B1"/>
    <w:pPr>
      <w:ind w:firstLine="567"/>
      <w:jc w:val="both"/>
    </w:pPr>
  </w:style>
  <w:style w:type="paragraph" w:customStyle="1" w:styleId="newncpi">
    <w:name w:val="newncpi"/>
    <w:basedOn w:val="a"/>
    <w:uiPriority w:val="99"/>
    <w:rsid w:val="006A49B1"/>
    <w:pPr>
      <w:ind w:firstLine="567"/>
      <w:jc w:val="both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2340</Words>
  <Characters>13339</Characters>
  <Application>Microsoft Office Word</Application>
  <DocSecurity>0</DocSecurity>
  <Lines>111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БЕЛОРУССКИЙ ГОСУДАРСТВЕННЫЙ УНИВЕРСИТЕТ ИНФОРМАТИКИ И РАДИОЭЛЕКТРОНИКИ</vt:lpstr>
    </vt:vector>
  </TitlesOfParts>
  <Company>Company</Company>
  <LinksUpToDate>false</LinksUpToDate>
  <CharactersWithSpaces>15648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БЕЛОРУССКИЙ ГОСУДАРСТВЕННЫЙ УНИВЕРСИТЕТ ИНФОРМАТИКИ И РАДИОЭЛЕКТРОНИКИ</dc:title>
  <dc:subject/>
  <dc:creator>User</dc:creator>
  <cp:keywords/>
  <dc:description/>
  <cp:lastModifiedBy>Irina</cp:lastModifiedBy>
  <cp:revision>2</cp:revision>
  <dcterms:created xsi:type="dcterms:W3CDTF">2014-08-19T20:11:00Z</dcterms:created>
  <dcterms:modified xsi:type="dcterms:W3CDTF">2014-08-19T20:11:00Z</dcterms:modified>
</cp:coreProperties>
</file>