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0C" w:rsidRPr="001D731A" w:rsidRDefault="00270EF0" w:rsidP="001D731A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1D731A">
        <w:rPr>
          <w:b/>
          <w:bCs/>
          <w:color w:val="000000"/>
          <w:sz w:val="28"/>
          <w:szCs w:val="28"/>
        </w:rPr>
        <w:t>Развитие бэнкинга в арабских странах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6380C" w:rsidRPr="001D731A" w:rsidRDefault="0076380C" w:rsidP="001D731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31A">
        <w:rPr>
          <w:rFonts w:ascii="Times New Roman" w:hAnsi="Times New Roman" w:cs="Times New Roman"/>
          <w:color w:val="000000"/>
          <w:sz w:val="28"/>
          <w:szCs w:val="28"/>
        </w:rPr>
        <w:t>Бытующая среди широкой публики трактовка исламской экономической доктрины в основном сводится к запрету на ссудный процент. Действительно, это – один из краеугольных камней экономической теории и практики ислама. Запрет на процент закреплен в самых сильных выражениях в Коране, где он приравнен к наиболее злостным грехам и осужден как прямой вызов Аллаху. Однако данный постулат не является изобретением магометанства. Ссужение денег ради прибыли осуждалось Аристотелем, Платоном, раннехристианской церковью. В Ветхом Завете также и</w:t>
      </w:r>
      <w:bookmarkStart w:id="0" w:name="OCRUncertain008"/>
      <w:r w:rsidRPr="001D731A">
        <w:rPr>
          <w:rFonts w:ascii="Times New Roman" w:hAnsi="Times New Roman" w:cs="Times New Roman"/>
          <w:color w:val="000000"/>
          <w:sz w:val="28"/>
          <w:szCs w:val="28"/>
        </w:rPr>
        <w:t>м</w:t>
      </w:r>
      <w:bookmarkEnd w:id="0"/>
      <w:r w:rsidRPr="001D731A">
        <w:rPr>
          <w:rFonts w:ascii="Times New Roman" w:hAnsi="Times New Roman" w:cs="Times New Roman"/>
          <w:color w:val="000000"/>
          <w:sz w:val="28"/>
          <w:szCs w:val="28"/>
        </w:rPr>
        <w:t>еются неодобрительные высказывания по поводу данной практики. Среди самих арабов еще до Мухаммеда практиковались беспроцентные финансовые схемы, частично перешедшие в арсенал современных исламских банков. Вплоть до середины 16 в. в Англии закон запрещал взимание процента и трактовал его как ростовщичество. Однако в 1545</w:t>
      </w:r>
      <w:r w:rsidR="001D731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731A" w:rsidRPr="001D731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D731A">
        <w:rPr>
          <w:rFonts w:ascii="Times New Roman" w:hAnsi="Times New Roman" w:cs="Times New Roman"/>
          <w:color w:val="000000"/>
          <w:sz w:val="28"/>
          <w:szCs w:val="28"/>
        </w:rPr>
        <w:t>. ростовщичество было определено как завышенная процентная ставка, а низкие ставки были «легализованы». Чуть позже, с подъемом торговых банков в континентальной Европе, там были приняты аналогичные акты. Иными словами, среди «народов Писания» последователи иудаизма и христианства</w:t>
      </w:r>
      <w:r w:rsidR="008261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731A">
        <w:rPr>
          <w:rFonts w:ascii="Times New Roman" w:hAnsi="Times New Roman" w:cs="Times New Roman"/>
          <w:color w:val="000000"/>
          <w:sz w:val="28"/>
          <w:szCs w:val="28"/>
        </w:rPr>
        <w:t xml:space="preserve"> в конце концов</w:t>
      </w:r>
      <w:r w:rsidR="008261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731A">
        <w:rPr>
          <w:rFonts w:ascii="Times New Roman" w:hAnsi="Times New Roman" w:cs="Times New Roman"/>
          <w:color w:val="000000"/>
          <w:sz w:val="28"/>
          <w:szCs w:val="28"/>
        </w:rPr>
        <w:t xml:space="preserve"> признали взимание процента моральным деянием. Только у третьей ветви, ислама, оно не считается таковым.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 xml:space="preserve">Надо сказать, что канонические тексты не приводят обоснований этого запрета, не считая общего указания на «несправедливость» процента. Поскольку последователи любой религии в принципе признают, что промысел божий не может быть постигнут скудным человеческим умом, данный догмат формально не нуждается в толковании. Прагматические соображения (да, вероятно, и обыкновенная пытливость) породили, однако, многочисленные попытки аргументировать эту кораническую максиму. Самое показательное при этом – основа предлагаемых доводов, лежащая в области этики. Именно в гармоничном сочетании морали и бизнеса следует </w:t>
      </w:r>
      <w:r w:rsidR="0082610A">
        <w:rPr>
          <w:snapToGrid w:val="0"/>
          <w:color w:val="000000"/>
          <w:sz w:val="28"/>
          <w:szCs w:val="28"/>
        </w:rPr>
        <w:t>видеть сущность экономики по-</w:t>
      </w:r>
      <w:r w:rsidRPr="001D731A">
        <w:rPr>
          <w:snapToGrid w:val="0"/>
          <w:color w:val="000000"/>
          <w:sz w:val="28"/>
          <w:szCs w:val="28"/>
        </w:rPr>
        <w:t>исламски, в которой запрет ссудного процента, называемого риба, – лишь одна из внешних форм регулирования отношений по поводу производства, распределения и потребления общественного продукта.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Заповеди, определяющие коммерческую и этическую стороны делового предприятия, разбросаны по множеству сур Корана, формулируются в других сакральных текстах, создавая отдельный большой раздел шариата, то есть мусульманского права.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Исламская экономика, плоть от плоти общего вероучения, имеет четкую социальную ориентацию. Иными словами, ислам ставит во главу угла не голую экономическую целесообразность, а обеспечение социальной справедливости результатов хозяйственной деятельности, с одной стороны, и нравственность методов этой деятельности, с другой. То, что макроэкономические агрегаты несовершенны как инструмент определения не «среднестатистического» уровня развития, а его реального измерения, неохотно признает и традиционная экономическая наука. Акцент, который делает исламская экономика на качественных параметрах, заставляет ее оппонентов признать, что исламский подход к процессу экономического развития – это подход гуманистический, фокусирующий внимание на человеческом измерении данного процесса.</w:t>
      </w:r>
    </w:p>
    <w:p w:rsidR="0076380C" w:rsidRPr="001D731A" w:rsidRDefault="0076380C" w:rsidP="001D731A">
      <w:pPr>
        <w:pStyle w:val="2"/>
        <w:ind w:firstLine="709"/>
        <w:rPr>
          <w:rFonts w:ascii="Times New Roman" w:hAnsi="Times New Roman" w:cs="Times New Roman"/>
          <w:snapToGrid w:val="0"/>
          <w:color w:val="000000"/>
        </w:rPr>
      </w:pPr>
      <w:r w:rsidRPr="001D731A">
        <w:rPr>
          <w:rFonts w:ascii="Times New Roman" w:hAnsi="Times New Roman" w:cs="Times New Roman"/>
          <w:snapToGrid w:val="0"/>
          <w:color w:val="000000"/>
        </w:rPr>
        <w:t>В то же время, нет ничего общего между исламской социально–экономической доктриной и воззрениями в духе марксова социализма. Также, в отличие от древнейших ветвей христианства, ислам не трактует бедность как патентованное средство для попадания в райские кущи, хотя эта религия в равной степени отрицательно относится как к уравнительному распределению доходов и богатства, так и к резкой поляризации этого распределения.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Ислам – религия коммерческая до мозга костей. Если Христос изгонял торгующих из храма, то, с точки зрения мусульманина, совершенно нормально воспринимается, когда одно здание делят мечеть и бакалейный магазин. Отдача всех сил достижению собственного материального благополучия, благополучия семьи, а затем и общества благочестива так же, как и молитва, при условии, что материальные усилия направляются высокодуховными помыслами. Поэтому, по шариату, нет толку в человеке, не желающем зарабатывать деньги, занимаясь производительной деятельностью. Отсюда – уважение к частной собственности и к праву на ее защиту.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В этом плане просто напрашивается аналогия с тем, что говорит в своей книге «Протестантская этика и дух капитализма» Макс Вебер: трудолюбие, бережливость и честность есть единственно допустимые методы зарабатывания денег «при избегании жизненных соблазнов»; при соблюдении данной этической установк</w:t>
      </w:r>
      <w:bookmarkStart w:id="1" w:name="OCRUncertain071"/>
      <w:r w:rsidRPr="001D731A">
        <w:rPr>
          <w:snapToGrid w:val="0"/>
          <w:color w:val="000000"/>
          <w:sz w:val="28"/>
          <w:szCs w:val="28"/>
        </w:rPr>
        <w:t>и</w:t>
      </w:r>
      <w:bookmarkEnd w:id="1"/>
      <w:r w:rsidRPr="001D731A">
        <w:rPr>
          <w:snapToGrid w:val="0"/>
          <w:color w:val="000000"/>
          <w:sz w:val="28"/>
          <w:szCs w:val="28"/>
        </w:rPr>
        <w:t xml:space="preserve"> желание заработать как можно больше денег нормально и поощряемо. (Показательно, что русское православие за тысячу лет своего существования не сформулировало позитивного «кодекса поведения», освящающего хозяйственную сферу. Может быть, отсюда берет свое начало, в частности, российский хрестоматийный трудовой нигилизм, стремление отнять и поделить и желание пустить «красного петуха» зажиточному соседу.)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Точно также, ислам пропагандирует умеренность и бережливость. Траты, намного превосходящие реальные потребности, тем более траты на дела бесчестные или незаконные, считаются нарушением божественного завета. Одновременно запрещаются монополия, тезаврация и всячески поощряется деловая предприимчивость, честная конкуренция, фритредерство, транспарентность бизнеса.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Впрочем, «суха теория». Известно, что, в отличие от христианства, ислам через шариат в большей степени делает упор не на ортодоксии, или, в данном контексте, истовой религиозности, а на ортопраксисе, то есть внешнем соблюдении нормативной манеры поведения. Поэтому, «по жизни», пользуясь популярной ныне формулировкой, было бы наивным утверждать, что в мусульманских странах досконально исполняются не то чтобы коммерческие, но даже и сами культовые предписания. Конечно, в пропорциональном отношении мусульман, воспринимающих наставления своей религии значительно серьезней, нежели мы – Нагорную проповедь, существенно больше. Это подтвердит практически всякий, кто, находясь, к примеру, на Ближнем Востоке, забывал в магазине бумажник, терял в гостинице фамильные драгоценности или оставлял незапертую машину с ключами в замке зажигания посреди городского рынка.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Однако трансляция постулатов шариата в сферу реальной экономики имеет весьма ограниченные практические последствия. С одной стороны, массовая институционализация доктринальных положений, можно сказать, не имеет места. С другой, экономическая активность, построенная на исламских принципах, и не может в полной мере проявить свой потенциал вне адекватной среды, то есть исламского государства, причем исламского не по признаку религиозной принадлежности правителей и большей части подданных, а по укладу всех областей жизни. Сегодня государств, в той или иной мере отвечающих этому определению, в мире три: Иран, Пакистан, Судан. Во всех остальных странах мусульманского мира, будь то в Азии, Африке или Европе, функционируют экономические модели, так или иначе ассоциирующиеся с капитализмом или социализмом (при всей сегодняшней абстрактности этих терминов).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Как и у Адама Смита, основные инструменты построения и регулирования исламской экономики вытекают из ее общей теории процента и денег. В исламе деньги представляют собой средство платежа, что и считается их единственной допустимой функцией. Мусульманскими учеными они рассматриваются лишь как «капитал в себе», или как некая «оболочка», заключающая в себе потенциал превращения в «деньги–штрих». Он раскрывается только в итоге прохождения денег через цикл производительного вложения. Для этого, однако, деньги не должны быть авансированы на условиях платности, поскольку тогда они квалифицируются как обременяющий предприятие долг, а не капитал, и посему не могут претендовать на возврат с приростом. Иными словами, деньги не могут использоваться для создания средства платежа с большей покупательной способностью, не пройдя промежуточную фазу превращения в приобретаемые товары и услуги. Циркуляция по известной схеме Д – Т – Д</w:t>
      </w:r>
      <w:r w:rsidRPr="001D731A">
        <w:rPr>
          <w:snapToGrid w:val="0"/>
          <w:color w:val="000000"/>
          <w:sz w:val="28"/>
          <w:szCs w:val="28"/>
          <w:vertAlign w:val="superscript"/>
          <w:lang w:val="en-US"/>
        </w:rPr>
        <w:t>I</w:t>
      </w:r>
      <w:r w:rsidRPr="001D731A">
        <w:rPr>
          <w:snapToGrid w:val="0"/>
          <w:color w:val="000000"/>
          <w:sz w:val="28"/>
          <w:szCs w:val="28"/>
        </w:rPr>
        <w:t xml:space="preserve"> одобряется и поощряется, в то время как эволюция по формуле Д – Д</w:t>
      </w:r>
      <w:r w:rsidRPr="001D731A">
        <w:rPr>
          <w:snapToGrid w:val="0"/>
          <w:color w:val="000000"/>
          <w:sz w:val="28"/>
          <w:szCs w:val="28"/>
          <w:vertAlign w:val="superscript"/>
          <w:lang w:val="en-US"/>
        </w:rPr>
        <w:t>I</w:t>
      </w:r>
      <w:r w:rsidRPr="001D731A">
        <w:rPr>
          <w:snapToGrid w:val="0"/>
          <w:color w:val="000000"/>
          <w:sz w:val="28"/>
          <w:szCs w:val="28"/>
        </w:rPr>
        <w:t xml:space="preserve"> осуждается и табуируется.</w:t>
      </w:r>
    </w:p>
    <w:p w:rsidR="0076380C" w:rsidRPr="001D731A" w:rsidRDefault="0076380C" w:rsidP="001D731A">
      <w:pPr>
        <w:pStyle w:val="2"/>
        <w:ind w:firstLine="709"/>
        <w:rPr>
          <w:rFonts w:ascii="Times New Roman" w:hAnsi="Times New Roman" w:cs="Times New Roman"/>
          <w:snapToGrid w:val="0"/>
          <w:color w:val="000000"/>
        </w:rPr>
      </w:pPr>
      <w:r w:rsidRPr="001D731A">
        <w:rPr>
          <w:rFonts w:ascii="Times New Roman" w:hAnsi="Times New Roman" w:cs="Times New Roman"/>
          <w:snapToGrid w:val="0"/>
          <w:color w:val="000000"/>
        </w:rPr>
        <w:t>В согласии с этим взглядом, банки (поскольку они, в частности, не предоставляют овердрафта по текущим счетам, и все займы выдаются ими из наличествующих средств вкладчиков) перестают быть генератором «кредитных денег». Соответственно, не происходит увеличения предложения денег сверх стоимости совокупного объема произведенных товаров и услуг, известное также как инфляция. Однако, если нулевая инфляция пагубна для экономики западного образца, то исламская хозяйственная модель, напротив, отвергая инфляцию как способ стимулирования хозяйственной системы, способна эффективней функционировать именно в ее отсутствие.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Если роль денег, насколько ее возможно проиллюстрировать в нескольких строках, находится в связи не только с этическими требованиями доктрины, но и логично и действенно вписывается в исламский хозяйственный механизм, то в отношении процента позиция «исламской школы» не столь безупречна. При том, что обоснования запрещения процента довольно многочисленны и не лишены внутренней стройности, открытым остается вопрос, что может сыграть его регулирующую роль в рамках экономики ислама. Наиболее распространенное сегодня предложение – участие центрального банка в капитале всех банковских институтов страны и регулирование количество денег в хозяйственном обороте с помощью изменения пропорции, в которой делятся прибыли и убытки партнеров в капитале (некий аналог учетной ставки). Разновидностью этой идеи является предположение, что рыночный механизм приведет к установлению пороговых значений такого деления по всем основным секторам экономики, побуждая капитал перетекать туда, где для его владельца пропорция оказывается более выгодной.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Между тем, практический опыт, например, Ирана, подводит к заключению, что исламские заменители процента неработоспособны. В том числе, это выявляется при попытке найти пути финансирования бюджетного дефицита. Правда, по мнению ряда исламских экономистов, это не представляет собой непреодолимой трудности для исламского государства даже в отсутствие ссудного процента. Однако предлагаемые ими рецепты, как беспроцентное заимствование у коммерческих и центрального банка с соблюдением безопасных параметров увеличения денежной массы и заимствование у населения возможны, по собственному признанию авторов, только на основе внеэкономической мотивации. Очевидно, что апелляция к гражданской совести может быть действенной только на ограниченном временном отрезке, и не ясно, как следует вести себя государству, если оно оказывается не в состоянии следовать верной, но далеко не всегда выполнимой рекомендации – сдерживать свои расходы. Последнего тем более сложно достигнуть, коль скоро на него (государство) исламские экономисты возлагают обязанность поддержания всего социального комплекса. И весьма характерно, что в самых крайних обстоятельствах признается допустимым прибегать к внешним процентным кредитам, хоть и с оговоркой о желательности строить отношениях с иностранным капиталом на основе прямых инвестиций.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Таким образом, запрет риба жестко ограничивает арсенал средств управления бюджетным дефицитом, имеющийся в распоряжении исламского государства. И если считать, что технология этого процесса, опирающаяся на исламский финансовый инструментарий, разработана, она есть скорее часть теории, нежели практики.</w:t>
      </w:r>
    </w:p>
    <w:p w:rsidR="0076380C" w:rsidRPr="001D731A" w:rsidRDefault="0076380C" w:rsidP="001D731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31A">
        <w:rPr>
          <w:rFonts w:ascii="Times New Roman" w:hAnsi="Times New Roman" w:cs="Times New Roman"/>
          <w:color w:val="000000"/>
          <w:sz w:val="28"/>
          <w:szCs w:val="28"/>
        </w:rPr>
        <w:t>А вот на практике существуют два варианта выхода из ситуации: или иметь бездефицитный бюджет, или найти богословское обоснование применению заимствования и разработать схему, внешне не нарушающую заданных этических нормативов экономического поведения. Примеры из практики существующей тройки исламских государств свидетельствуют о большем распространении второго варианта.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Поскольку, как известно, критерием истинности теории является практика, приходится согласиться, что исламская экономическая модель, обладая внутренней стройностью и логикой, работоспособна скорее в кабинетных, нежели «полевых» условиях. В то же время признается, что, не будучи в состоянии раскрыть свой макроэкономический потенциал в рамках современной глобальной экономики, она вполне применима на микроуровне. Данное положение подтверждается бурным развитием исламского сегмента международного банковского бизнеса. Тогда как государств с полностью перестроенной на исламский лад экономикой меньше, чем пальцев на одной руке, число исламских банков, работающих в более чем 30 странах, уже перевалило за 150. Они располагают капиталом в 7 млрд.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долл</w:t>
      </w:r>
      <w:r w:rsidRPr="001D731A">
        <w:rPr>
          <w:snapToGrid w:val="0"/>
          <w:color w:val="000000"/>
          <w:sz w:val="28"/>
          <w:szCs w:val="28"/>
        </w:rPr>
        <w:t>. и активами в 140 млрд.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долл</w:t>
      </w:r>
      <w:r w:rsidRPr="001D731A">
        <w:rPr>
          <w:snapToGrid w:val="0"/>
          <w:color w:val="000000"/>
          <w:sz w:val="28"/>
          <w:szCs w:val="28"/>
        </w:rPr>
        <w:t>. (в 1975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г</w:t>
      </w:r>
      <w:r w:rsidRPr="001D731A">
        <w:rPr>
          <w:snapToGrid w:val="0"/>
          <w:color w:val="000000"/>
          <w:sz w:val="28"/>
          <w:szCs w:val="28"/>
        </w:rPr>
        <w:t>. активы составляли лишь 5,8 долл.). По оценке Ситибэнк, совокупный объем денежных средств, управление которыми осуществляется на исламский лад, ежегодно увеличивается на 15–20 процентов. Общий географический ареал – все континенты, за исключением Южной Америки и Антарктиды.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Следует подчеркнуть, что сам факт умножения и распространения этих банков – результат не только и не столько идеологических, но финансово–экономических свойств предлагаемых ими продуктов. Недаром такие известные организации, как Ситибэнк, АБН–Амро, «Флемингз», «Кляйнворт Бенсон» в последние два–три года вышли на рынок с предложением исламских банковско–финансовых услуг (первый исламский банк, «Исламик Бэнкинг Систем», ныне именуемый «Исламик Файнэнс Хаус», появился на Западе в 1978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г</w:t>
      </w:r>
      <w:r w:rsidRPr="001D731A">
        <w:rPr>
          <w:snapToGrid w:val="0"/>
          <w:color w:val="000000"/>
          <w:sz w:val="28"/>
          <w:szCs w:val="28"/>
        </w:rPr>
        <w:t>.). Очевидно, в текущем году этот список пополнит и Россия. И авторство замысла, и, согласно последним данным, состав учредителей – чисто отечественные.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Да, мусульманские теоретики отводят банковским институтам роль «передового отряда», или, если угодно, «коллективного агитатора» в деле создания жизнеспособной исламской экономики. Однако не стоит забывать о мусульманском ортопраксисе. В свете этого более важно то, что для исламских финансистов–практиков в широком плане реальную роль играют прежде всего соображения не идеологические, а коммерческие. Поэтому, при соблюдении нормативных доктринальных требований, в массе своей они видят задачу в том, чтобы, не поступаясь принципами, создавать прибыль прежде всего за счет разработки конкурентоспособных продуктов и услуг, которые были бы привлекательны для клиентов как таковые, а не из–за своей теологической «упаковки».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При том, что выбор продуктов и услуг в исламских финансовых учреждениях становится все шире и технологичней, два столпа исламского банковского дела – мудараба и мушарака – остаются неизменными.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Мудараба есть форма отношений между владельцем денег и пользователем денег. Согласно шариату, при любых обстоятельствах они есть отношения не кредитора и должника (стороны, диктующей условия, и стороны подчиненной), а отношения инвестора и управляющего инвестиционным ресурсом. Для банка это, с одной стороны, порядок взаимосвязей с его вкладчиками, а с другой стороны, – с клиентами–заемщиками. То есть, в отношении первых, будь то физические или юридические лица, кредитные институты или предприятия нефинансового профиля, банк действует как мудариб, или трастовый управляющий, стремящийся к получению прибыли на вверенную ему сумму. Для заемщика же он – рабб–уль–маль (буквально – «хозяин финансов»), а уже ссудополучатель наделяется функцией мудариба.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Одновременно отношения в микросистеме «вкладчик</w:t>
      </w:r>
      <w:r w:rsidR="001D731A">
        <w:rPr>
          <w:snapToGrid w:val="0"/>
          <w:color w:val="000000"/>
          <w:sz w:val="28"/>
          <w:szCs w:val="28"/>
        </w:rPr>
        <w:t xml:space="preserve"> / </w:t>
      </w:r>
      <w:r w:rsidR="001D731A" w:rsidRPr="001D731A">
        <w:rPr>
          <w:snapToGrid w:val="0"/>
          <w:color w:val="000000"/>
          <w:sz w:val="28"/>
          <w:szCs w:val="28"/>
        </w:rPr>
        <w:t>банк</w:t>
      </w:r>
      <w:r w:rsidR="001D731A">
        <w:rPr>
          <w:snapToGrid w:val="0"/>
          <w:color w:val="000000"/>
          <w:sz w:val="28"/>
          <w:szCs w:val="28"/>
        </w:rPr>
        <w:t xml:space="preserve"> / </w:t>
      </w:r>
      <w:r w:rsidR="001D731A" w:rsidRPr="001D731A">
        <w:rPr>
          <w:snapToGrid w:val="0"/>
          <w:color w:val="000000"/>
          <w:sz w:val="28"/>
          <w:szCs w:val="28"/>
        </w:rPr>
        <w:t>заемщик</w:t>
      </w:r>
      <w:r w:rsidRPr="001D731A">
        <w:rPr>
          <w:snapToGrid w:val="0"/>
          <w:color w:val="000000"/>
          <w:sz w:val="28"/>
          <w:szCs w:val="28"/>
        </w:rPr>
        <w:t>» есть контракт об участии в капитале, прибылях и убытках, обозначаемый как мушарака (дословно – партнерство, участие). Мушарака определяет структуру капитала банка и схожа со знакомыми нам организационно–правовыми формами товарищества и акционерного общества. Отличие в том, что, поскольку от прибыльности банка зависит величина не только дохода акционеров, но и держателей вкладов, интересы первых и вторых не конфликтуют – что, кстати, идет вразрез со стандартной ситуацией в кредитном институте западного типа. Точно такая же схема предписана шариатом при удовлетворении заявки ссудополучателя, только банк и клиент как бы меняются местами.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Слов нет, исламская система более обременительна для банка в сравнении с традиционной, но создает ряд преимуществ для клиента. Поскольку исламский бэнкинг стоит на перекрестии морали и бизнеса, отношения между банком и клиентом носят более близкий, как бы «семейный» характер. Как коммерческое учреждение, банк имеет своей целью прибыль, но прибыль не любой ценой, в том числе ценой разорения клиента, который не сумел выполнить свои обязательства по возврату полученной ссуды. Руководствуясь моралью, банк обязан дать должнику отсрочку и возможность восстановить свою платежеспособность и лишь потом претендовать на возврат авансированной суммы. При этом ему, возможно, придется разделить с клиентом не прибыль, а убыток, без права на возмещение потерь. Большинство теоретиков считает, что требовать в качестве компенсации за просрочку увеличения доли банка в прибыли, если она все же получена при реализации профинансированной сделки, будет не по–исламски.</w:t>
      </w:r>
    </w:p>
    <w:p w:rsidR="0076380C" w:rsidRPr="001D731A" w:rsidRDefault="0076380C" w:rsidP="001D731A">
      <w:pPr>
        <w:pStyle w:val="2"/>
        <w:ind w:firstLine="709"/>
        <w:rPr>
          <w:rFonts w:ascii="Times New Roman" w:hAnsi="Times New Roman" w:cs="Times New Roman"/>
          <w:snapToGrid w:val="0"/>
          <w:color w:val="000000"/>
        </w:rPr>
      </w:pPr>
      <w:r w:rsidRPr="001D731A">
        <w:rPr>
          <w:rFonts w:ascii="Times New Roman" w:hAnsi="Times New Roman" w:cs="Times New Roman"/>
          <w:snapToGrid w:val="0"/>
          <w:color w:val="000000"/>
        </w:rPr>
        <w:t>Поскольку расточительное обращение с ресурсами, их непроизводительное использование или иммобилизация осуждаются шариатом, исламская экономика через этический императив оказывает побудительное воздействие на сбережения и инвестиции, в чем решающую техническую роль, естественно, играют банки. При этом исламская финансовая модель благоприятствует развитию малого бизнеса. В обычной банковской системе критериями надежности кредитной операции являются прежде всего количественные показатели – сиюминутная кредитоспособность ссудополучателя и качество обеспечения займа. В результате, аккумулированные в банках совокупные денежные средства общества перераспределяются в пользу тех, кто уже находится на верхних ступенях имущественной лестницы. Это противоречит задаче справедливого распределения ресурсов и создания равных возможностей для проявления предпринимательских талантов членами общества, постулируемой шариатом. Исламскому банку вменяется при принятии кредитного решения производить не только технико–экономическую оценку клиентского запроса, но и исследовать сопряженные социальные обстоятельства и вероятные последствия, что, разумеется, не означает «зеленую улицу» для коммерчески бесперспективных проектов.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 xml:space="preserve">Суммируя, можно сказать, что в широком смысле исламский бэнкинг означает финансирование не с </w:t>
      </w:r>
      <w:bookmarkStart w:id="2" w:name="OCRUncertain242"/>
      <w:r w:rsidRPr="001D731A">
        <w:rPr>
          <w:snapToGrid w:val="0"/>
          <w:color w:val="000000"/>
          <w:sz w:val="28"/>
          <w:szCs w:val="28"/>
        </w:rPr>
        <w:t>п</w:t>
      </w:r>
      <w:bookmarkEnd w:id="2"/>
      <w:r w:rsidRPr="001D731A">
        <w:rPr>
          <w:snapToGrid w:val="0"/>
          <w:color w:val="000000"/>
          <w:sz w:val="28"/>
          <w:szCs w:val="28"/>
        </w:rPr>
        <w:t>омощью ссудного, а с помощью рискового капитала. Для своего приращения последний должен принять на себя часть риска потери, «наградой» же за инвестирование должен быть не процент, а доля в прибыли. Таким образом шариат фиксирует свою позицию по поводу социальной значимости труда и справедливого вознаграждения активному (неспекулянту и нерантье) капиталу. При этом «человеческий капитал», представленный предпринимательским и управленческим талантом и усилиями, затраченными в ходе реализации проекта или сделки, приравнивается по значению к финансовому капиталу как монетизированному прошлому труду.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Несмотря на впечатляющие результаты, достигнутые исламским бэнкингом в своем деловом развитии, нерешенным остается целый ряд общих оперативных проблем внутреннего и внешнего порядка. К первым прежде всего относится то, что исламские финансовые институты не смогли до сих пор, и, по–видимому, не смогут в ближайшей перспективе «удлинить» свои активы. Данное обстоятельство идет вразрез с имевшимися ожиданиями, а именно, с тем, что короткое торговое финансирование по типу мурабаха (приобретение товара за свой счет и от своего имени с последующим удержанием с клиента издержек плюс заранее оговоренной суммы прибыли) будет потеснено «длинным» проектным финансированием в форме мушарака.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Поскольку до 9</w:t>
      </w:r>
      <w:r w:rsidR="001D731A" w:rsidRPr="001D731A">
        <w:rPr>
          <w:snapToGrid w:val="0"/>
          <w:color w:val="000000"/>
          <w:sz w:val="28"/>
          <w:szCs w:val="28"/>
        </w:rPr>
        <w:t>0</w:t>
      </w:r>
      <w:r w:rsidR="001D731A">
        <w:rPr>
          <w:snapToGrid w:val="0"/>
          <w:color w:val="000000"/>
          <w:sz w:val="28"/>
          <w:szCs w:val="28"/>
        </w:rPr>
        <w:t>%</w:t>
      </w:r>
      <w:r w:rsidRPr="001D731A">
        <w:rPr>
          <w:snapToGrid w:val="0"/>
          <w:color w:val="000000"/>
          <w:sz w:val="28"/>
          <w:szCs w:val="28"/>
        </w:rPr>
        <w:t xml:space="preserve"> сделок приходится на операции мурабаха (которые в целом ряде аспектов напоминают услуги обычных банков), снижается как пропагандистский эффект в пользу исламской экономической модели, так и коммерческая эффективность. Конечно, исламский банк несет неизмеримо большие риски, занимаясь непосредственной закупкой товара, приобретение которого клиентом он финансирует. Однако, если банковское руководство в состоянии нужным образом настроить свой религиозный совет (орган, существующий в каждом исламском финансовом учреждении для контроля соответствия сделок требованиям шариата), то элемент прибыли в конечной цене может быть установлен достаточно произвольно. Недаром сами банкиры признают, что в своих калькуляциях, по мере возможности, ориентируются на превалирующую рыночную ставку процента.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На низком уровне сохраняются и размеры исламских финансовых институтов с точки зрения их капитала. Крупнейшим сегодня является созданный в 1997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г</w:t>
      </w:r>
      <w:r w:rsidRPr="001D731A">
        <w:rPr>
          <w:snapToGrid w:val="0"/>
          <w:color w:val="000000"/>
          <w:sz w:val="28"/>
          <w:szCs w:val="28"/>
        </w:rPr>
        <w:t>. «Абу–Даби Исламик Бэнк» с уставным фондом в 272 млн.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долл</w:t>
      </w:r>
      <w:r w:rsidRPr="001D731A">
        <w:rPr>
          <w:snapToGrid w:val="0"/>
          <w:color w:val="000000"/>
          <w:sz w:val="28"/>
          <w:szCs w:val="28"/>
        </w:rPr>
        <w:t xml:space="preserve">. Это позволяет ему претендовать разве что на место в конце восьмой сотни по списку </w:t>
      </w:r>
      <w:r w:rsidRPr="001D731A">
        <w:rPr>
          <w:snapToGrid w:val="0"/>
          <w:color w:val="000000"/>
          <w:sz w:val="28"/>
          <w:szCs w:val="28"/>
          <w:lang w:val="en-US"/>
        </w:rPr>
        <w:t>Top</w:t>
      </w:r>
      <w:r w:rsidR="001D731A">
        <w:rPr>
          <w:snapToGrid w:val="0"/>
          <w:color w:val="000000"/>
          <w:sz w:val="28"/>
          <w:szCs w:val="28"/>
        </w:rPr>
        <w:t>-</w:t>
      </w:r>
      <w:r w:rsidR="001D731A" w:rsidRPr="001D731A">
        <w:rPr>
          <w:snapToGrid w:val="0"/>
          <w:color w:val="000000"/>
          <w:sz w:val="28"/>
          <w:szCs w:val="28"/>
        </w:rPr>
        <w:t>1</w:t>
      </w:r>
      <w:r w:rsidRPr="001D731A">
        <w:rPr>
          <w:snapToGrid w:val="0"/>
          <w:color w:val="000000"/>
          <w:sz w:val="28"/>
          <w:szCs w:val="28"/>
        </w:rPr>
        <w:t>000 журнала «Бэнкер».</w:t>
      </w:r>
    </w:p>
    <w:p w:rsidR="0076380C" w:rsidRPr="001D731A" w:rsidRDefault="0076380C" w:rsidP="001D731A">
      <w:pPr>
        <w:pStyle w:val="2"/>
        <w:ind w:firstLine="709"/>
        <w:rPr>
          <w:rFonts w:ascii="Times New Roman" w:hAnsi="Times New Roman" w:cs="Times New Roman"/>
          <w:snapToGrid w:val="0"/>
          <w:color w:val="000000"/>
        </w:rPr>
      </w:pPr>
      <w:r w:rsidRPr="001D731A">
        <w:rPr>
          <w:rFonts w:ascii="Times New Roman" w:hAnsi="Times New Roman" w:cs="Times New Roman"/>
          <w:snapToGrid w:val="0"/>
          <w:color w:val="000000"/>
        </w:rPr>
        <w:t>Трудности внешнего характера – это враждебная экономическая среда, отсутствие кредитора последней инстанции, неадекватная база профессиональной подготовки, дискриминационная налоговая система, облагающая дивиденды, но щадящая процентный доход. Очевидно, что в зонах действия мусульманской традиции шансов выжить у исламских банков больше. Однако даже в местах наибольшего распространения, как то: Бахрейн, Малайзия и ряд других, они представляют собой анклавное явление.</w:t>
      </w:r>
    </w:p>
    <w:p w:rsidR="0076380C" w:rsidRPr="001D731A" w:rsidRDefault="0076380C" w:rsidP="001D73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D731A">
        <w:rPr>
          <w:snapToGrid w:val="0"/>
          <w:color w:val="000000"/>
          <w:sz w:val="28"/>
          <w:szCs w:val="28"/>
        </w:rPr>
        <w:t>И все же не может не привлечь внимания тот факт, что по росту количественных и качественных показателей деятельности исламские банки в течение достаточного многих лет превосходят обычные банки. С этим согласен и Международный Валютный Фонд, еще в 1987</w:t>
      </w:r>
      <w:r w:rsidR="001D731A">
        <w:rPr>
          <w:snapToGrid w:val="0"/>
          <w:color w:val="000000"/>
          <w:sz w:val="28"/>
          <w:szCs w:val="28"/>
        </w:rPr>
        <w:t> </w:t>
      </w:r>
      <w:r w:rsidR="001D731A" w:rsidRPr="001D731A">
        <w:rPr>
          <w:snapToGrid w:val="0"/>
          <w:color w:val="000000"/>
          <w:sz w:val="28"/>
          <w:szCs w:val="28"/>
        </w:rPr>
        <w:t>г</w:t>
      </w:r>
      <w:r w:rsidRPr="001D731A">
        <w:rPr>
          <w:snapToGrid w:val="0"/>
          <w:color w:val="000000"/>
          <w:sz w:val="28"/>
          <w:szCs w:val="28"/>
        </w:rPr>
        <w:t xml:space="preserve">. предпринявший исследование феномена исламского бэнкинга. В итоговом докладе отмечалось, что это – вполне жизнеспособная форма бизнеса, способная обеспечить эффективное распределение и потребление ресурсов тех обществ, где она реализуется. Показательно, что, согласно данному исследованию, исламские банки в силу особенностей своего </w:t>
      </w:r>
      <w:r w:rsidRPr="001D731A">
        <w:rPr>
          <w:snapToGrid w:val="0"/>
          <w:color w:val="000000"/>
          <w:sz w:val="28"/>
          <w:szCs w:val="28"/>
          <w:lang w:val="en-US"/>
        </w:rPr>
        <w:t>modus</w:t>
      </w:r>
      <w:r w:rsidRPr="001D731A">
        <w:rPr>
          <w:snapToGrid w:val="0"/>
          <w:color w:val="000000"/>
          <w:sz w:val="28"/>
          <w:szCs w:val="28"/>
        </w:rPr>
        <w:t xml:space="preserve"> </w:t>
      </w:r>
      <w:r w:rsidRPr="001D731A">
        <w:rPr>
          <w:snapToGrid w:val="0"/>
          <w:color w:val="000000"/>
          <w:sz w:val="28"/>
          <w:szCs w:val="28"/>
          <w:lang w:val="en-US"/>
        </w:rPr>
        <w:t>operandi</w:t>
      </w:r>
      <w:r w:rsidRPr="001D731A">
        <w:rPr>
          <w:snapToGrid w:val="0"/>
          <w:color w:val="000000"/>
          <w:sz w:val="28"/>
          <w:szCs w:val="28"/>
        </w:rPr>
        <w:t xml:space="preserve"> имеют пониженные в сравнении с обычными банками риски по разряду платежеспособности и ликвидности.</w:t>
      </w:r>
    </w:p>
    <w:p w:rsidR="0076380C" w:rsidRPr="001D731A" w:rsidRDefault="0076380C" w:rsidP="001D731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31A">
        <w:rPr>
          <w:rFonts w:ascii="Times New Roman" w:hAnsi="Times New Roman" w:cs="Times New Roman"/>
          <w:color w:val="000000"/>
          <w:sz w:val="28"/>
          <w:szCs w:val="28"/>
        </w:rPr>
        <w:t>Так или иначе, исламские банки – свершившийся факт современной экономической жизни. Демонизация этого феномена под лозунгом борьбы с «исламской угрозой» контрпродуктивна, поскольку означала бы выталкивание с рынка добросовестного игрока, предлагающего потребителю альтернативные финансовые инструменты. Видеть же в них непременных финансовых союзников радикальных исламистов столь же вульгарно, как и утверждать, что квалификация бизнеса как «исламского», так и «неисламского» зависит от конечных политических и идеологических целей бизнесмена. В конце концов, следует давать возможность нормально функционировать добросовестным исламским финансовым институтам там, где их создание обусловлено коммерческим, но не политическим спросом. Что следует, очевидно, делать в отношении любой организации, не выходящей за отведенные ей законом рамки.</w:t>
      </w:r>
    </w:p>
    <w:p w:rsidR="0082610A" w:rsidRPr="0082610A" w:rsidRDefault="0082610A" w:rsidP="0082610A">
      <w:pPr>
        <w:spacing w:line="360" w:lineRule="auto"/>
        <w:rPr>
          <w:snapToGrid w:val="0"/>
          <w:color w:val="FFFFFF"/>
          <w:sz w:val="28"/>
          <w:szCs w:val="28"/>
        </w:rPr>
      </w:pPr>
      <w:r w:rsidRPr="0082610A">
        <w:rPr>
          <w:snapToGrid w:val="0"/>
          <w:color w:val="FFFFFF"/>
          <w:sz w:val="28"/>
          <w:szCs w:val="28"/>
        </w:rPr>
        <w:t>деньги ссужение ислам заемщик</w:t>
      </w:r>
    </w:p>
    <w:p w:rsidR="0082610A" w:rsidRDefault="0082610A" w:rsidP="001D73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305" w:rsidRPr="001D731A" w:rsidRDefault="0076380C" w:rsidP="001D731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731A">
        <w:rPr>
          <w:color w:val="000000"/>
          <w:sz w:val="28"/>
          <w:szCs w:val="28"/>
        </w:rPr>
        <w:br w:type="page"/>
      </w:r>
      <w:r w:rsidR="00270EF0" w:rsidRPr="001D731A">
        <w:rPr>
          <w:b/>
          <w:bCs/>
          <w:color w:val="000000"/>
          <w:sz w:val="28"/>
          <w:szCs w:val="28"/>
        </w:rPr>
        <w:t>Список источников и литературы</w:t>
      </w:r>
    </w:p>
    <w:p w:rsidR="00270EF0" w:rsidRPr="001D731A" w:rsidRDefault="00270EF0" w:rsidP="001D731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F0" w:rsidRPr="001D731A" w:rsidRDefault="00270EF0" w:rsidP="009632DF">
      <w:pPr>
        <w:pStyle w:val="a9"/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731A">
        <w:rPr>
          <w:color w:val="000000"/>
          <w:sz w:val="28"/>
          <w:szCs w:val="28"/>
        </w:rPr>
        <w:t>Мировая экономика. – М., 2010</w:t>
      </w:r>
    </w:p>
    <w:p w:rsidR="00270EF0" w:rsidRDefault="00270EF0" w:rsidP="009632DF">
      <w:pPr>
        <w:pStyle w:val="a9"/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731A">
        <w:rPr>
          <w:color w:val="000000"/>
          <w:sz w:val="28"/>
          <w:szCs w:val="28"/>
        </w:rPr>
        <w:t>Исламские банки: проблемы современности. – М., 2007</w:t>
      </w:r>
    </w:p>
    <w:p w:rsidR="001D731A" w:rsidRPr="001D731A" w:rsidRDefault="001D731A" w:rsidP="001D731A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bookmarkStart w:id="3" w:name="_GoBack"/>
      <w:bookmarkEnd w:id="3"/>
    </w:p>
    <w:sectPr w:rsidR="001D731A" w:rsidRPr="001D731A" w:rsidSect="001D731A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06" w:rsidRDefault="00182406" w:rsidP="00270EF0">
      <w:r>
        <w:separator/>
      </w:r>
    </w:p>
  </w:endnote>
  <w:endnote w:type="continuationSeparator" w:id="0">
    <w:p w:rsidR="00182406" w:rsidRDefault="00182406" w:rsidP="0027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F0" w:rsidRDefault="00653A5C">
    <w:pPr>
      <w:pStyle w:val="a7"/>
      <w:jc w:val="center"/>
    </w:pPr>
    <w:r>
      <w:rPr>
        <w:noProof/>
      </w:rPr>
      <w:t>2</w:t>
    </w:r>
  </w:p>
  <w:p w:rsidR="00270EF0" w:rsidRDefault="00270E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06" w:rsidRDefault="00182406" w:rsidP="00270EF0">
      <w:r>
        <w:separator/>
      </w:r>
    </w:p>
  </w:footnote>
  <w:footnote w:type="continuationSeparator" w:id="0">
    <w:p w:rsidR="00182406" w:rsidRDefault="00182406" w:rsidP="0027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1A" w:rsidRPr="001D731A" w:rsidRDefault="001D731A" w:rsidP="001D731A">
    <w:pPr>
      <w:pStyle w:val="a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1A" w:rsidRPr="001D731A" w:rsidRDefault="001D731A" w:rsidP="001D731A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F64A2"/>
    <w:multiLevelType w:val="hybridMultilevel"/>
    <w:tmpl w:val="E00A9D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80A"/>
    <w:rsid w:val="00182406"/>
    <w:rsid w:val="001D731A"/>
    <w:rsid w:val="001F452C"/>
    <w:rsid w:val="00270EF0"/>
    <w:rsid w:val="00386B43"/>
    <w:rsid w:val="00653A5C"/>
    <w:rsid w:val="0076380C"/>
    <w:rsid w:val="007B2186"/>
    <w:rsid w:val="0082610A"/>
    <w:rsid w:val="0094780A"/>
    <w:rsid w:val="009632DF"/>
    <w:rsid w:val="009F79EF"/>
    <w:rsid w:val="00AE6305"/>
    <w:rsid w:val="00E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ADB79C-C21C-4DC7-BF90-83E1B74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0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6380C"/>
    <w:pPr>
      <w:ind w:firstLine="709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6380C"/>
    <w:rPr>
      <w:rFonts w:ascii="Arial" w:hAnsi="Arial" w:cs="Arial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76380C"/>
    <w:pPr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6380C"/>
    <w:rPr>
      <w:rFonts w:ascii="Arial" w:hAnsi="Arial" w:cs="Arial"/>
      <w:sz w:val="28"/>
      <w:szCs w:val="28"/>
      <w:lang w:val="x-none" w:eastAsia="ru-RU"/>
    </w:rPr>
  </w:style>
  <w:style w:type="paragraph" w:styleId="a5">
    <w:name w:val="header"/>
    <w:basedOn w:val="a"/>
    <w:link w:val="a6"/>
    <w:uiPriority w:val="99"/>
    <w:rsid w:val="00270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0E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rsid w:val="00270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0E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99"/>
    <w:qFormat/>
    <w:rsid w:val="0027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Развитие бэнкинга в арабских странах</vt:lpstr>
    </vt:vector>
  </TitlesOfParts>
  <Company/>
  <LinksUpToDate>false</LinksUpToDate>
  <CharactersWithSpaces>22536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Развитие бэнкинга в арабских странах</dc:title>
  <dc:subject/>
  <dc:creator>SbO</dc:creator>
  <cp:keywords/>
  <dc:description/>
  <cp:lastModifiedBy>admin</cp:lastModifiedBy>
  <cp:revision>2</cp:revision>
  <dcterms:created xsi:type="dcterms:W3CDTF">2014-03-24T12:32:00Z</dcterms:created>
  <dcterms:modified xsi:type="dcterms:W3CDTF">2014-03-24T12:32:00Z</dcterms:modified>
</cp:coreProperties>
</file>