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E23BEC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36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Реферат: </w:t>
      </w:r>
    </w:p>
    <w:p w:rsidR="008204A2" w:rsidRDefault="00E23BEC" w:rsidP="003636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3644">
        <w:rPr>
          <w:rFonts w:ascii="Times New Roman" w:hAnsi="Times New Roman"/>
          <w:b/>
          <w:bCs/>
          <w:sz w:val="28"/>
          <w:szCs w:val="28"/>
          <w:lang w:eastAsia="ru-RU"/>
        </w:rPr>
        <w:t>Развитие Северной Африки в постколониальный период</w:t>
      </w:r>
    </w:p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3644" w:rsidRDefault="0036364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нынешнем году исполняется пятьдесят лет государственной самостоятельности трех североафриканских арабских стран: Судана, Туниса и Марокко, ставших независимыми в 1956 г. За пять лет до этого, в 1951 г. независимость обрела Ливия. В 1952 г. подлинной политической независимости добился Египет (формально Египет стал независимым государством еще в 1922 г.).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1960 г. независимость получила Мавритания. А в 1962 г. после многолетней вооруженной борьбы свою независимость завоевал народ Алжира. Война за независимость здесь началась 1 ноября 1954 г. и закончилась 5 июля 1962 г. Свои жизни в этой войне отдали более 1,5 млн. алжирцев.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Таким образом, декада с начала 50 до начала 60-х годов стала исходным рубежом независимого развития стран Северной Африки. К моменту достижения государственной самостоятельности эти арабские страны находились на разных уровнях социально-экономического развития. Объясняется это многими причинами исторического, географического и социально-политического характера. Важнейшие среди них – степень развития капитализма, наличие богатых разведанных запасов природного сырья, географическая близость к метрополиям и к Европе вообще, военно-стратегическое положение, существование колоний переселенцев из метрополий и национальных общин из других европейских государств, влияние культур их народов на процесс исторического и социально-экономического развития этих арабских стран.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результате многовекового и многовекторного воздействия этого комплекса и многих других факторов разные арабские страны пришли к независимости, однако все они оставались слабыми аграрными странами. Поэтому основные различия, имевшиеся между ними, выражались лишь в степени отсталости. Свидетельством этому могут служить такие показатели, как, например, численность самодеятельного населения, занятого в сельском хозяйстве арабских стран Северной Африки, и структура их экспорта, в частности, доля в нем сельскохозяйственной продукции (см. табл. 1, 2, 3).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Таблица 1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Самодеятельное население стран Северной Африки</w:t>
      </w:r>
      <w:r w:rsidR="003636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в 1950-е – 1960-е годы</w:t>
      </w:r>
    </w:p>
    <w:tbl>
      <w:tblPr>
        <w:tblW w:w="4744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771"/>
        <w:gridCol w:w="1179"/>
        <w:gridCol w:w="2122"/>
        <w:gridCol w:w="1843"/>
        <w:gridCol w:w="1982"/>
      </w:tblGrid>
      <w:tr w:rsidR="00363644" w:rsidRPr="00363644" w:rsidTr="00363644">
        <w:trPr>
          <w:trHeight w:val="505"/>
        </w:trPr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(тыс. чел.)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т.ч. в промышленности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 строительстве,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т.ч. в промышленности,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т.ч.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сельском 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хозяйстве,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63644" w:rsidRPr="00363644" w:rsidTr="00363644">
        <w:tc>
          <w:tcPr>
            <w:tcW w:w="5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2564,0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363644" w:rsidRPr="00363644" w:rsidTr="00363644">
        <w:tc>
          <w:tcPr>
            <w:tcW w:w="5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7782,0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363644" w:rsidRPr="00363644" w:rsidTr="00363644">
        <w:tc>
          <w:tcPr>
            <w:tcW w:w="5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363644" w:rsidRPr="00363644" w:rsidTr="00363644">
        <w:tc>
          <w:tcPr>
            <w:tcW w:w="5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3254,4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56,3</w:t>
            </w:r>
          </w:p>
        </w:tc>
      </w:tr>
      <w:tr w:rsidR="00363644" w:rsidRPr="00363644" w:rsidTr="00363644">
        <w:tc>
          <w:tcPr>
            <w:tcW w:w="5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Судан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4915,0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363644" w:rsidRPr="00363644" w:rsidTr="00363644">
        <w:tc>
          <w:tcPr>
            <w:tcW w:w="5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Тунис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867,5</w:t>
            </w:r>
          </w:p>
        </w:tc>
        <w:tc>
          <w:tcPr>
            <w:tcW w:w="118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32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</w:tbl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Анализируя эти цифры, следует иметь в виду, что в различных арабских странах в категорию самодеятельного населения включаются различные возрастные группы. В Судане, например, многие дети, особенно мальчики, начинают трудиться очень рано, еще до 15 лет. В городах работает большинство подростков, не охваченных школьным обучением. А в деревнях и кочевых племенах дети по традиции уже с 5 лет помогают взрослым пасти скот. Поэтому дети в возрасте 5 и более лет включались суданской статистикой в течение многих лет в самодеятельное население. При таких разных подходах к раскрытию содержания одного и того же понятия абсолютные показатели по отдельным североафриканским странам мало сопоставимы между собой. Гораздо более показательны сопоставления долей самодеятельного населения, занятого в промышленности и сельском хозяйстве (см. табл. 2).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Из приведенных данных видно, что в 60-х годах в промышленности арабских стран Северной Африки было занято в среднем около одной десятой части самодеятельного населения. (С учетом занятых в строительстве удельный вес занятых в этих двух отраслях повышался в ряде стран до одной пятой). Это соответствовало крайне отсталому аграрному характеру их экономики. Исключением была лишь Мавритания.</w:t>
      </w:r>
    </w:p>
    <w:p w:rsidR="006A6812" w:rsidRPr="005F5F35" w:rsidRDefault="006A6812" w:rsidP="006A68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5F5F35">
        <w:rPr>
          <w:rFonts w:ascii="Times New Roman" w:hAnsi="Times New Roman"/>
          <w:color w:val="FFFFFF"/>
          <w:sz w:val="28"/>
          <w:szCs w:val="28"/>
        </w:rPr>
        <w:t>североафриканский арабский геополитическая капитализм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Таблица 2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Динамика структуры занятости в арабских странах</w:t>
      </w:r>
      <w:r w:rsidR="003636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Северной Африки в 1960 г.</w:t>
      </w:r>
      <w:r w:rsidRPr="00363644">
        <w:rPr>
          <w:rFonts w:ascii="Times New Roman" w:hAnsi="Times New Roman"/>
          <w:sz w:val="28"/>
          <w:szCs w:val="28"/>
          <w:lang w:eastAsia="ru-RU"/>
        </w:rPr>
        <w:t xml:space="preserve"> (% по отраслям)</w:t>
      </w:r>
    </w:p>
    <w:tbl>
      <w:tblPr>
        <w:tblW w:w="4744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707"/>
        <w:gridCol w:w="2166"/>
        <w:gridCol w:w="3684"/>
      </w:tblGrid>
      <w:tr w:rsidR="008204A2" w:rsidRPr="00363644" w:rsidTr="00363644">
        <w:trPr>
          <w:trHeight w:val="789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сельском</w:t>
            </w:r>
            <w:r w:rsidR="00363644"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хозяйстве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промышленности и строительстве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торговле,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транспорте,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сфере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обслуживания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Мавритания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Судан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</w:tr>
      <w:tr w:rsidR="008204A2" w:rsidRPr="00363644" w:rsidTr="00363644">
        <w:tc>
          <w:tcPr>
            <w:tcW w:w="76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Тунис</w:t>
            </w:r>
          </w:p>
        </w:tc>
        <w:tc>
          <w:tcPr>
            <w:tcW w:w="95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</w:tbl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При этом следует учитывать, что в большинстве стран Северной Африки промышленность в современном понимании до начала 60-х гг. практически отсутствовала. Основная масса самодеятельного населения стран региона была занята в сельском хозяйстве. Та же часть самодеятельного населения, которая находила себе применение в промышленности, не имела, как правило, достаточных знаний, навыков и опыта, чтобы выдвигаться на инженерно-технические должности. Поэтому их занимали обычно иностранные специалисты. На долю же арабов приходился главным образом малоквалифицированный и малооплачиваемый труд.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Для определения уровня социально-экономического развития той или иной страны важное значение имеют и такие показатели, как доли промышленной и сельскохозяйственной продукции в ее экспорте. Представление об этом дают данные табл. 3.</w:t>
      </w:r>
    </w:p>
    <w:p w:rsidR="008204A2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644" w:rsidRDefault="0036364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Таблица 3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Структура экспорта стран Северной Африки</w:t>
      </w:r>
      <w:r w:rsidR="003636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в первой половине 60-х годов</w:t>
      </w:r>
    </w:p>
    <w:tbl>
      <w:tblPr>
        <w:tblW w:w="4744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138"/>
        <w:gridCol w:w="2502"/>
        <w:gridCol w:w="3059"/>
      </w:tblGrid>
      <w:tr w:rsidR="008204A2" w:rsidRPr="00363644" w:rsidTr="00363644">
        <w:trPr>
          <w:trHeight w:val="953"/>
        </w:trPr>
        <w:tc>
          <w:tcPr>
            <w:tcW w:w="689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Экспорт в 1960 г.,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долл.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Доля</w:t>
            </w:r>
            <w:r w:rsidR="00363644"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промышленной</w:t>
            </w:r>
            <w:r w:rsidR="00363644"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продукции,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Доля </w:t>
            </w:r>
            <w:r w:rsidR="00363644"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сельскохозяйственной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продукции,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394,2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29,0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66,0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Мавритания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89,3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60,9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39,1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Судан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</w:tr>
      <w:tr w:rsidR="008204A2" w:rsidRPr="00363644" w:rsidTr="00363644">
        <w:tc>
          <w:tcPr>
            <w:tcW w:w="68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Тунис</w:t>
            </w:r>
          </w:p>
        </w:tc>
        <w:tc>
          <w:tcPr>
            <w:tcW w:w="119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4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37,4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1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62,6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</w:tbl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Представленные здесь страны по структуре экспорта отчетливо подразделяются на две группы. К первой из них причислялись Марокко и Ливия, доля продукции сельского хозяйства в экспорте которых была менее 40%. Относительно Марокко это объясняется высоким удельным весом в экспорте продукции горнодобывающей промышленности, в частности, фосфатов. А Ливия в 1961 г. вошла в число нефтедобывающих стран, и это сразу изменило структуру ее экспорта. До 1961 г. структура экспорта и импорта Ливии были аналогичны показателям Мавритании.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Ко второй группе относились остальные страны Северной Африки. У них сельскохозяйственная продукция составляла от 60 до 99% экспорта.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Таким образом, ни в одной из представленных стран не было развитой обрабатывающей промышленности, продукция которой поступала бы на экспорт. Имевшиеся в ряде стран предприятия горно- и нефтедобывающей промышленности в подавляющем большинстве принадлежали иностранному капиталу и представляли собой фактически инородный анклав в крайне отсталой аграрной экономике региона с неразвитыми производительными силами. Лишь в некоторых из стран работали предприятия легкой и пищевой промышленности, которые можно было назвать современными. В остальных отраслях преобладали мелкие и мельчайшие предприятия, основанные на личном труде собственников и их семей, использовавших примитивные орудия труда.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Неравномерность развития различных отраслей экономики усугублялась неравномерным размещением их по территориям североафриканских стран. Предприятия обрабатывающей промышленности располагались, как правило, в прибрежной зоне, т.е. поблизости от портовых городов, являвшихся пунктами снабжения импортным сырьем и рынками сбыта. Предприятия же горно- и нефтедобывающей промышленности находились обычно в глубине территорий арабских стран, нередко в пустынных и малообжитых районах.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Общая технико-экономическая отсталость арабских стран и вытекавшая из этого с неизбежностью зависимость от бывших метрополий в начале 60-х годов проявлялись и в их социально-экономической отсталости. Это объяснялось указанным выше преобладанием мелких товарных хозяйств с примитивными техникой и технологией, едва обеспечивавшими прожиточный минимум их владельцев. Товарное производство было сконцентрировано преимущественно в крупных населенных пунктах и в тех сельских районах, где оно велось главным образом иностранными колонистами.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Производившаяся в традиционном секторе товарная продукция реализовалась обычно на местных рынках, что не ликвидировало хозяйственной изоляции одних районов от других во многих арабских странах. На деле это означало отсутствие единого национального хозяйства и его главного признака и составной части – общенационального рынка. Производство же товаров в современном секторе предназначалось для нужд рынков прежних метрополий, с которыми арабские страны по традиции сохраняли тесные экономические связи.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пределах двух главных видов производства – натурального и товарного – имелось пять укладов: патриархально-общинный, феодальный, мелкотоварный, частнокапиталистический и государственный. Многоукладность была и остается по сей день типичной для экономики и социальных отношений стран Северной Африки. Она является еще одним признаком отсталости стран этого региона. Наряду с этим многоукладность означала в начале 60-х годов отсутствие в арабских странах Северной Африки ведущего или преобладающего уклада или способа производства.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К общности исторических судеб стран Северной Африки добавлялась общность географическая и социально-экономическая. Вместе с тем в социально-политическом развитии этих стран с самого начала их существования как самостоятельных государств проявились принципиальные различия.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Все страны Северной Африки после провозглашения независимости оказались перед необходимостью изменения прежней структуры национальной экономики, ее диверсификации, создания основы для высоких темпов роста в будущем, перестройки внешних экономических связей. Ставилась задача создать новые отрасли промышленности, увеличить объем сельскохозяйственного производства, проложить новые коммуникации, модернизировать сферу финансов и кредита, диверсифицировать внешние экономические связи, подготовить национальные кадры различных уровней квалификации, развить энергетическую базу, повысить культурный уровень населения и решить многие другие социально-экономические проблемы.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Выбор подхода к преодолению этих проблем, путей и сроков их решения, мобилизации финансовых и трудовых ресурсов зависел от политики правящих кругов. Она же диктовалась в различных странах Северной Африки различными социальными приоритетами, классовыми интересами, наличием природных и финансовых ресурсов и другими факторами.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За истекшие пять десятилетий страны региона для решения своих острых социально-экономических, демографических, этноконфессиональных и других проблем использовали самые разные методы, подходы и модели развития, нередко меняя их и чередуя, забегая вперед и возвращаясь к прошлому опыту. Эти методы, подходы и модели развития, эволюционные в одних случаях и радикальные в других, обстоятельно описаны в трудах отечественных и зарубежных исследователей, специализирующихся на изучении проблем североафриканских стран. Поэтому формат небольшой статьи позволяет подвести лишь самые общие итоги независимого существования стран североафриканского региона и высказать некоторые предположения о возможных путях их дальнейшего развития.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За истекшие полвека страны Северной Африки развивались крайне неравномерными темпами.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Таблица 4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 xml:space="preserve">Среднегодовые темпы роста ВВП стран Северной Африки в 1960–2000 гг. </w:t>
      </w:r>
      <w:r w:rsidRPr="00363644">
        <w:rPr>
          <w:rFonts w:ascii="Times New Roman" w:hAnsi="Times New Roman"/>
          <w:sz w:val="28"/>
          <w:szCs w:val="28"/>
          <w:lang w:eastAsia="ru-RU"/>
        </w:rPr>
        <w:t>(в %)</w:t>
      </w:r>
    </w:p>
    <w:tbl>
      <w:tblPr>
        <w:tblW w:w="391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498"/>
        <w:gridCol w:w="1498"/>
        <w:gridCol w:w="1498"/>
        <w:gridCol w:w="1497"/>
      </w:tblGrid>
      <w:tr w:rsidR="008204A2" w:rsidRPr="00363644" w:rsidTr="00363644">
        <w:trPr>
          <w:trHeight w:val="299"/>
        </w:trPr>
        <w:tc>
          <w:tcPr>
            <w:tcW w:w="929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1970 гг.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1980 гг.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1990 гг.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1990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гг.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Тунис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Мавритания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8204A2" w:rsidRPr="00363644" w:rsidTr="00363644">
        <w:tc>
          <w:tcPr>
            <w:tcW w:w="92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Судан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</w:tr>
    </w:tbl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Данные таблицы отчетливо свидетельствуют, что ни одна из стран исследуемого региона в указанные годы не развивалась равномерно и плавно. Темпы роста ВВП в тех странах, где такой рост был, то повышались, то снижались. В Алжире в первой половине 90-х годов роста вообще не было из-за военно-политического конфликта с исламскими экстремистами и вызванной им приостановки функционирования целых отраслей.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А в Ливии на протяжении десятилетия (1980–1990 гг.) шло неуклонное снижение массы ВВП, хотя декадой раньше (1960–1970 гг.) именно Ливия продемонстрировала наивысшие во всем регионе темпы его роста. В те годы это объяснялось открытием месторождений нефти, быстрым ростом ее добычи и экспорта. На протяжении следующей декады 1970–1980 гг. темпы роста ВВП Ливии, как видно из таблицы, снизились более чем в 8 раз. Это уникальный случай, не повторявшийся в дальнейшем ни в одной из стран региона на протяжении ХХ столетия.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К рубежу ХХ и ХХ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63644">
        <w:rPr>
          <w:rFonts w:ascii="Times New Roman" w:hAnsi="Times New Roman"/>
          <w:sz w:val="28"/>
          <w:szCs w:val="28"/>
          <w:lang w:eastAsia="ru-RU"/>
        </w:rPr>
        <w:t xml:space="preserve"> вв. главные итоги труда народов входящих в регион стран, выраженные в показателях и душевого дохода или ВВП на душу населения и в абсолютных показателях валового ВВП, выглядели следующим образом: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Таблица 5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ВВП и ВВП на душу населения стран Северной Африки</w:t>
      </w:r>
      <w:r w:rsidR="003636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 xml:space="preserve">в 1991–2000 гг. </w:t>
      </w:r>
      <w:r w:rsidRPr="00363644">
        <w:rPr>
          <w:rFonts w:ascii="Times New Roman" w:hAnsi="Times New Roman"/>
          <w:sz w:val="28"/>
          <w:szCs w:val="28"/>
          <w:lang w:eastAsia="ru-RU"/>
        </w:rPr>
        <w:t>(долл. США)</w:t>
      </w:r>
    </w:p>
    <w:tbl>
      <w:tblPr>
        <w:tblW w:w="4669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471"/>
        <w:gridCol w:w="1165"/>
        <w:gridCol w:w="1468"/>
        <w:gridCol w:w="1165"/>
        <w:gridCol w:w="1192"/>
        <w:gridCol w:w="1134"/>
      </w:tblGrid>
      <w:tr w:rsidR="008204A2" w:rsidRPr="00363644" w:rsidTr="00363644">
        <w:trPr>
          <w:trHeight w:val="284"/>
        </w:trPr>
        <w:tc>
          <w:tcPr>
            <w:tcW w:w="6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500" w:type="pct"/>
            <w:gridSpan w:val="2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1991 г.</w:t>
            </w:r>
          </w:p>
        </w:tc>
        <w:tc>
          <w:tcPr>
            <w:tcW w:w="1498" w:type="pct"/>
            <w:gridSpan w:val="2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1995 г.</w:t>
            </w:r>
          </w:p>
        </w:tc>
        <w:tc>
          <w:tcPr>
            <w:tcW w:w="1323" w:type="pct"/>
            <w:gridSpan w:val="2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г.</w:t>
            </w:r>
          </w:p>
        </w:tc>
      </w:tr>
      <w:tr w:rsidR="008204A2" w:rsidRPr="00363644" w:rsidTr="00363644">
        <w:trPr>
          <w:trHeight w:val="701"/>
        </w:trPr>
        <w:tc>
          <w:tcPr>
            <w:tcW w:w="679" w:type="pct"/>
            <w:vMerge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ВВП на душу 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ВВП (абс.) 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(млн.)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ВВП на душу</w:t>
            </w:r>
          </w:p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ВВП (абс.)</w:t>
            </w:r>
          </w:p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(млн.)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ВВП на душу</w:t>
            </w:r>
            <w:r w:rsid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ВВП (абс.)</w:t>
            </w:r>
          </w:p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(млн.)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9551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44967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4036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22050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Тунис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13188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19462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43940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41400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53306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27653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33345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30358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47300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98725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Судан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11516</w:t>
            </w:r>
          </w:p>
        </w:tc>
      </w:tr>
      <w:tr w:rsidR="008204A2" w:rsidRPr="00363644" w:rsidTr="00363644">
        <w:tc>
          <w:tcPr>
            <w:tcW w:w="679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Мавритания</w:t>
            </w:r>
          </w:p>
        </w:tc>
        <w:tc>
          <w:tcPr>
            <w:tcW w:w="837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663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78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45" w:type="pct"/>
            <w:tcMar>
              <w:left w:w="28" w:type="dxa"/>
              <w:right w:w="28" w:type="dxa"/>
            </w:tcMar>
            <w:vAlign w:val="bottom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935</w:t>
            </w:r>
          </w:p>
        </w:tc>
      </w:tr>
    </w:tbl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Составлено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63644">
        <w:rPr>
          <w:rFonts w:ascii="Times New Roman" w:hAnsi="Times New Roman"/>
          <w:sz w:val="28"/>
          <w:szCs w:val="28"/>
          <w:lang w:eastAsia="ru-RU"/>
        </w:rPr>
        <w:t>по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: 1) Handbook of International Trade and Development Statistics, UN, 1993, New York and Geneva, 1994,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430–433.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2) Handbook of International Trade and Development Statistics, UN, 1996/97, New York and Geneva, 1999,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319–323.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3) UNCTAD. Handbook of Statistics 2002, UN, New York and Geneva, 2002,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318–319.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Из-за отсутствия цифр по Ливии, которая после 1995 г. не представляет в ООН статистических данных, суммарный ВВП стран Северной Африки в 2000 г. точно подсчитать невозможно. Без Ливии он равнялся 216,4 млрд. долл. Если к этой сумме добавить последние имеющиеся данные по ВВП Ливии за 1995 г., когда он составил, как видно из таблицы 4, 22050 млн. долл., то в итоге суммарный ВВП стран Северной Африки достигал бы в 2000 г. 238,4 млрд. долл. Это меньше, чем ВВП одной Швейцарии, который в том же году оценивался в 239,4 млрд. долл. А население Швейцарии, на тот период насчитывавшее 7,2 млн. чел., равнялось всего 4% совокупного населения стран Северной Африки, составлявшего 176,6 млн. человек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363644">
        <w:rPr>
          <w:rFonts w:ascii="Times New Roman" w:hAnsi="Times New Roman"/>
          <w:sz w:val="28"/>
          <w:szCs w:val="28"/>
          <w:lang w:eastAsia="ru-RU"/>
        </w:rPr>
        <w:t>. Это сравнение свидетельствует о крайне низком уровне общественного производства здесь, о социально-экономической отсталости, которую не удалось преодолеть за полвека, и огромной пропасти, отделяющей страны Северной Африки от промышленно развитых государств.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Процессом, который дал странам Северной Африки на рубеже веков шанс ускорить свое социально-экономическое развитие и сократить разрыв от развитого мира, стала глобализация. По мнению автора, основанному на изучении результатов исследований многих отечественных и зарубежных авторов, под глобализацией можно понимать все более интенсивно развивающееся вовлечение многих отраслей экономики и инфраструктуры самых разных стран в мирохозяйственные связи и в мировое информационное пространство.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полном объеме процесс, а вернее, процессы глобализации в Северной Африки начались в 90-е годы ХХ в. после развала мировой социалистической системы, а также краха коммунистической идеологии, на основе которой строилась экономика социалистических стран и их внешнеэкономические связи. До этого временного рубежа рыночные отношения и закон стоимости в Северной Африке, да и вообще в арабском мире, разумеется, действовали. Но происходило это на фоне средневековых феодальных, а порой и дофеодальных пережитков в сфере экономики, а в ряде других – в рамках сознательной экономической политики режимов так называемой социалистической ориентации.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Реальными шагами по стимулированию процессов глобализации и преодолению препятствий на пути действия закона стоимости стал комплекс проводимых в ряде стран Северной Африки мероприятий по приватизации и реприватизации различных государственных и смешанных предприятий и компаний.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Но эти изменения начались не сразу и не внезапно. Им предшествовала сложная эволюция взглядов и представлений правящих кругов, плановиков и экономистов североафриканских стран о месте государства в развитии национальной экономики.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Главной причиной такой эволюции стали усиливавшиеся хозяйственные диспропорции и возникшие на их основе социально-экономические противоречия, в условиях которых в ряде стран Северной Африки наметился переход к политике так называемой экономической либерализации. Ею предусматривались отход от государственного регулирования и ориентация на использование смешанных форм предпринимательства в целях более полной мобилизации потенциала частно</w:t>
      </w:r>
      <w:r w:rsidR="00363644">
        <w:rPr>
          <w:rFonts w:ascii="Times New Roman" w:hAnsi="Times New Roman"/>
          <w:sz w:val="28"/>
          <w:szCs w:val="28"/>
          <w:lang w:eastAsia="ru-RU"/>
        </w:rPr>
        <w:t>-</w:t>
      </w:r>
      <w:r w:rsidRPr="00363644">
        <w:rPr>
          <w:rFonts w:ascii="Times New Roman" w:hAnsi="Times New Roman"/>
          <w:sz w:val="28"/>
          <w:szCs w:val="28"/>
          <w:lang w:eastAsia="ru-RU"/>
        </w:rPr>
        <w:t>хозяйственного капиталистического уклада, увеличения социальной стабильности и превращения хозяйственной системы регулирования в более гибкий механизм, позволяющий привести в действие рыночные силы, стимулировать инициативу собственника.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Одной из главных причин этого была деятельность частного сектора, который, в силу имманентных ему законов, не подчиняется общей народнохозяйственной необходимости, а функционирует на основе законов стоимости и спроса и предложения. Поэтому в разных североафриканских странах государство и ранее, в 50–70-е годы, было вынуждено считаться с этим и разрабатывало и осуществляло с разной степенью эффективности меры по регулированию частного сектора и направления его деятельности в русло, отвечающее общенациональным задачам социально-экономического развития.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Еще одной важной причиной все большего внимания государства к частному сектору стали экономические трудности, все острее осложнявшие развитие североафриканских стран в 80-е годы, особенно из-за «демографического взрыва» и падения мировых цен на нефть. Они ограничивали возможности выполнения уже принятых и утвержденных планов, способствовали увеличению объемов незавершенного строительства. Все это сопровождалось снижением эффективности валовых капиталовложений, недоиспользованием производственных мощностей на многих предприятиях, особенно обрабатывающей промышленности.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Нараставшие хозяйственные диспропорции продиктовали необходимость внесения корректив в экономическую политику североафриканских стран и разработки программ либерализации хозяйства и повышения его эффективности путем стимулирования деловой активности частного предпринимательства.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Так, в Египте закон № 203 от 1991 г. разрешил продавать частникам доли госсектора в смешанных компаниях. В 1996 г. процессы приватизации активизировались. На этом этапе отчуждались главным образом через биржу активы предприятий и компаний, приносивших прибыли. А на третьем этапе, начавшемся в 1999 г., приватизации подлежали менее прибыльные предприятия.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Известный отечественный исследователь Египта Б.Н.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sz w:val="28"/>
          <w:szCs w:val="28"/>
          <w:lang w:eastAsia="ru-RU"/>
        </w:rPr>
        <w:t>Гашев следующим образом характеризует цели приватизации в АРЕ: «Это расширение базы частной собственности как одна из основных задач экономической реформы, начатой на рубеже 80–90-х годов. Выправление перекосов в технической, экономической и финансовой сторонах деятельности, характерных для госпредприятий. Более оптимальное распределение государственных ресурсов с направлением их в наиболее перспективные и прибыльные компании. Преодоление застоя в убыточных компаниях с ликвидацией их в случае необходимости. Ориентирование государственных и частных компаний на конкурентное соперничество в поисках рыночной ниши, считая сбыт продукции, в особенности на экспорт, одной из основных задач. Уменьшение монополизма, диктующего потребителю высокие цены и навязывающего ему свою продукцию. Облегчение доступа к современной технологии и иностранным денежным фондам и инвестициям. Ослабление бремени, лежащего на государственном бюджете по финансированию инвестиций на текущие производственные нужды госпредприятий, на ремонт, обновление оборудования и на устранение других узких мест. Модернизация производственных структур, рост производства и производительности труда в количественном и качественном отношениях»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63644">
        <w:rPr>
          <w:rFonts w:ascii="Times New Roman" w:hAnsi="Times New Roman"/>
          <w:sz w:val="28"/>
          <w:szCs w:val="28"/>
          <w:lang w:eastAsia="ru-RU"/>
        </w:rPr>
        <w:t>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Средства от приватизации правительство направляет на погашение дефицита государственного бюджета и выплату внутреннего государственного долга. Приватизации подлежат не все подряд предприятия, а лишь те, которые относятся к специальному перечню и которые вызывают по разным причинам интерес покупателей-инвесторов. К последним относятся, например, цементные заводы и предприятия по производству алюминия.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Приватизация не распространилась на стратегически важные отрасли: военную промышленность, электроэнергетику, нефтепереработку, телефонную связь, страхование, водоснабжение, железнодорожный транспорт, Суэцкий канал, морские порты, Египетскую авиакомпанию. К середине 2000 г. из 314 компаний, в которых имелся государственный капитал, 116, или 37%, были приватизированы. 19 предприятий (6%) после частичной приватизации остались в составе госсектора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363644">
        <w:rPr>
          <w:rFonts w:ascii="Times New Roman" w:hAnsi="Times New Roman"/>
          <w:sz w:val="28"/>
          <w:szCs w:val="28"/>
          <w:lang w:eastAsia="ru-RU"/>
        </w:rPr>
        <w:t>. Своего пика приватизация достигла в 2001 г., когда в частные руки перешли многие крупные цементные предприятия. После 2001 г. темпы приватизации замедлились. В числе причин – явное противодействие чиновничьего сословия, теряющего «тепленькие» места в государственных структурах.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К ним можно добавить еще такие, как большая финансовая задолженность госпредприятий, накопленная на протяжении многих лет их неэффективного управления и отсутствие постоянной модернизации в бесконкурентной среде. Доля промышленности в создании ВВП страны в 2001/02 г. составила 33,0% по сравнению с 45% в 1990 г. и 27% в 1965 г. По данным Всемирного банка, за период 1990–2001 гг. эта доля возрастала в среднем на 4,6% ежегодно. Главной причиной этого относительно низкого темпа роста было резкое снижение мировых цен на нефть в 1998 г. и в первой половине 1999 г.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Аналогичные процессы происходят в Алжире. Но и там процесс приватизации продвигается с большими трудностями не только технического и организационного планов. В социальной сфере приватизация вызывает нарастание безработицы, особенно в среде молодежи. Так, по опубликованным официальным данным на середину 2005 г., безработными в Алжире были 17,5% трудоспособного населения, или 1,7 млн. человек, из которых 73% – люди моложе 30 лет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363644">
        <w:rPr>
          <w:rFonts w:ascii="Times New Roman" w:hAnsi="Times New Roman"/>
          <w:sz w:val="28"/>
          <w:szCs w:val="28"/>
          <w:lang w:eastAsia="ru-RU"/>
        </w:rPr>
        <w:t>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Таким образом, именно в Египте и Алжире как странах, наиболее продвинувшихся по пути промышленного развития в Северной Африке за годы независимости, в новых исторических условиях была официально осознана необходимость отказа от прежней политики индустриализации под государственным контролем и перехода к политике приватизации на основе развития рыночных отношений, на основе учета действия закона стоимости и закона спроса и предложения.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На ближайшие годы в тех странах Северной Африки, которые примыкают к Средиземному морю, экономическое положение представляется относительно устойчивым и не чреватым какими-либо внезапными потрясениями. Гарантией такой стабильности являются, в частности, растущие доходы от экспорта углеводородов.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Так, доходы Алжира от экспорта нефти выросли в 2005 г. на 45% по сравнению с предыдущим годом и достигли 45,6 млрд. долл. Экспорт природного газа возрос на 13%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363644">
        <w:rPr>
          <w:rFonts w:ascii="Times New Roman" w:hAnsi="Times New Roman"/>
          <w:sz w:val="28"/>
          <w:szCs w:val="28"/>
          <w:lang w:eastAsia="ru-RU"/>
        </w:rPr>
        <w:t>. Государственный долг Алжира сократился вдвое и составил 16 млрд. динаров. Это дает возможность направлять ассигнования на неотложные социально-экономические нужды, в том числе на создание новых рабочих мест, строительство жилья, школ и других объектов социальной инфраструктуры. Относительно благополучное социально-экономическое положение в данный период в средиземноморских странах Северной Африки позволяет поддерживать здесь видимую политическую стабильность.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По-иному складывается ситуация в Мавритании и Судане – двух беднейших странах Северной Африки, душевой доход в которых, как видно из таблицы № 5, находится на крайне низком уровне. За полвека независимого развития Мавритания и Судан не добились ни процветания или хотя бы относительно благополучного положения, ни политической стабильности.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Мавритании уже почти три десятилетия с небольшими перерывами не прекращается череда военных переворотов. В 1978 г. здесь был свергнут первый президент страны Моктар ульд Дадда. В 1984 г. в стране произошел новый переворот, получивший название «дворцовой революции».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С 1984 г. во главе правившего страной военного режима находился Маауйя Сиди Ахмед Тайя. Первые президентские выборы на многопартийной основе были проведены в стране в 1992 г. За Тайю было подано более 60% голосов. В дальнейшем он еще дважды – в 1997 г. и 2003 г. побеждал на выборах, однако оппозиция каждый раз обвиняла его в их фальсификации. В июне 2003 г. в стране была подавлена попытка военного переворота, предпринятая группой офицеров бронетанковых войск и ВВС. Два антиправительственных заговора удалось раскрыть в 2004 г.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3 августа 2005 г. Тайя был все-таки свергнут группой высших армейских офицеров во главе с шефом службы национальной безопасности полковником Эли ульд Мохаммедом Валем в результате бескровного переворота. Заговорщики опирались на широкий круг недовольных режимом Тайи и его политикой.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Среди них была арабская часть населения, противящаяся установлению связей с Израилем, и оппозиция, которую режим жестко подавлял, пытаясь представить репрессии как борьбу с исламскими радикалами. Оппозиция упрекала власти в разгуле коррупции, необдуманной политике либерализации экономики и приватизации, присвоении основной массы денежных средств, вырученных от продажи на внешнем рынке сырьевых ресурсов. В первую очередь, речь шла об экспортируемой Мавританией железной руде, обеспечивающей около 80% валютных поступлений страны, а также о продаже лицензий на лов рыбы в мавританских прибрежных водах, которые считаются одной из наиболее богатых биоресурсами зон в мире. Эта критика стала особенно острой после того, как в стране были найдены нефтяные месторождения. Именно это обстоятельство обострило борьбу за власть и возможность распоряжаться будущими доходами от экспорта нефти.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Пришедшая к власти 3 августа 2005 г. хунта объявила о создании высшего органа управления – Военного совета за справедливость и демократию, срок полномочий которого определен в два года. Предполагается, что за это время в стране будут созданы условия для формирования демократических институтов.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Для Мавритании межэтнические и межконфессиональные конфликты – явление весьма редкое и исключительное. Один из таких конфликтов произошел в 1989 г., когда сотни человек стали жертвами острого кризиса во взаимоотношениях между коренными мавританцами и выходцами из Сенегала.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отличие от Мавритании для Судана межэтнические и межконфессиональные конфликты на всем протяжении его существования как независимого государства стали обыденным явлением. Причем если одни конфликты на какое-то время стихают и прекращаются, то другие в это же время вспыхивают и разгораются. В основе их лежат в подавляющем большинстве случаев социально-экономические интересы различных народностей, кланов, племенных объединений, бедность и социальная незащищенность основной массы населения страны. По последним данным, из примерно 33 миллионов суданцев 90% проживают ниже черты бедности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7</w:t>
      </w:r>
      <w:r w:rsidRPr="00363644">
        <w:rPr>
          <w:rFonts w:ascii="Times New Roman" w:hAnsi="Times New Roman"/>
          <w:sz w:val="28"/>
          <w:szCs w:val="28"/>
          <w:lang w:eastAsia="ru-RU"/>
        </w:rPr>
        <w:t>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феврале 1972 г. было подписано соглашение о предоставлении Югу Судана автономии в рамках единого государства, а также закон об амнистии всем южно</w:t>
      </w:r>
      <w:r w:rsidR="00363644">
        <w:rPr>
          <w:rFonts w:ascii="Times New Roman" w:hAnsi="Times New Roman"/>
          <w:sz w:val="28"/>
          <w:szCs w:val="28"/>
          <w:lang w:eastAsia="ru-RU"/>
        </w:rPr>
        <w:t>-</w:t>
      </w:r>
      <w:r w:rsidRPr="00363644">
        <w:rPr>
          <w:rFonts w:ascii="Times New Roman" w:hAnsi="Times New Roman"/>
          <w:sz w:val="28"/>
          <w:szCs w:val="28"/>
          <w:lang w:eastAsia="ru-RU"/>
        </w:rPr>
        <w:t>суданским повстанцам, которые прекратят военные действия и вернутся к мирному труду. Выходцы с Юга заняли посты в политических и государственных органах страны на разных уровнях. Тогда, в 1972 г., казалось, что проблема Юга – самая острая этнополитическая проблема Судана, наконец, решена. За 17 лет (1955–1972 гг.) гражданской войны между Севером и Югом с обеих сторон погибло около 600 тыс. человек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363644">
        <w:rPr>
          <w:rFonts w:ascii="Times New Roman" w:hAnsi="Times New Roman"/>
          <w:sz w:val="28"/>
          <w:szCs w:val="28"/>
          <w:lang w:eastAsia="ru-RU"/>
        </w:rPr>
        <w:t>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Корни проблемы уходили в колониальное прошлое страны и сознательную политику англичан по противопоставлению мусульманского Севера и христианско-языческого Юга, населенного негроидными нилотскими народами. Первые национальные правительства Судана отказывались признавать и закреплять в конституции страны региональные права африканского населения Юга, отвергали его самобытную национальную культуру.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1972 г. Организация африканского единства убедила суданские стороны подписать в столице Эфиопии мирный договор. Перемирие длилось 11 лет, но в 1983 г. после того, как Хартум объявил о намерении распространить законы шариата на всю территорию страны, в том числе и на немусульманский юг, война возобновилась. Теперь ее вела народно-освободи-тельная армия Судана (НОАС), во главе которой встал офицер суданской армии Дж.Гаранг.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Лишь к 1994 г. региональная Межправительственная организация развития (ИГАД) сумела добиться от правительства и повстанцев подписания декларации, определившей основные принципы урегулирования. К ним отнесли необходимость решить проблемы с автономией Юга, отделения государственной власти от религии, распределение доходов, обеспечения безопасности. Понадобилось три года, чтобы правительство под давлением международного сообщества согласилось ратифицировать декларацию.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Еще пять лет ушли на переговоры, в ходе которых к процессу наряду с ИГАД официально присоединились представители США, Великобритании, Норвегии, Италии, Африканского союза и ООН. Наконец, 20 июля 2002 г. в кенийском городе Мачакос был достигнут долгожданный итог. Центральное суданское правительство было поставлено в такие условия, когда ему не оставалось ничего другого, как признать права южан на независимость и свободу от шариата.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Следующие два с половиной года были посвящены согласованию конкретных аспектов мирного договора. Результатом изматывающих споров стали восемь протоколов. Эти протоколы определяют принципы раздела власти в переходный период, меры безопасности, пределы действия шариата, статус расположенных на границе между Севером и Югом спорных районов Южный Кордофан, Нубийские горы, Южный Голубой Нил и Абьей, принципы раздела доходов от природных ресурсов, ведения экономической и финансовой деятельности. Подписывались они постепенно, по мере согласования, и последние два документа были скреплены подписями 31 декабря 2004 г. В совокупности эти восемь протоколов общим объемом 240 страниц составили договор о всеобъемлющем урегулировании, который был подписан 9 января 2005 г. в столице Кении г. Найроби.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По завершении переходного периода, который продлится несколько лет, в 2008 г. в Судане намечено провести свободные выборы на всех уровнях, а в 2011 г. референдум о независимости Южного Судана. В настоящее время мало кто из специалистов и наблюдателей, включая автора этих строк, работавшего в Судане, сомневается, что референдум закончится отделением Юга и провозглашением на его территории нового независимого государства.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Но полувековой конфликт между Севером и Югом, унесший два миллиона жизней, не единственный на территории Судана. Мелкие конфликты, главным образом из-за пользования источниками воды и пастбищами, разгорались здесь постоянно. А в 2003 г. в западной провинции Дарфур вспыхнул крупный конфликт, за первые два года которого погибли десятки тысяч человек, а более 1,5 млн. стали беженцами</w:t>
      </w:r>
      <w:r w:rsidRPr="00363644">
        <w:rPr>
          <w:rFonts w:ascii="Times New Roman" w:hAnsi="Times New Roman"/>
          <w:sz w:val="28"/>
          <w:szCs w:val="28"/>
          <w:vertAlign w:val="superscript"/>
          <w:lang w:eastAsia="ru-RU"/>
        </w:rPr>
        <w:t>9</w:t>
      </w:r>
      <w:r w:rsidRPr="00363644">
        <w:rPr>
          <w:rFonts w:ascii="Times New Roman" w:hAnsi="Times New Roman"/>
          <w:sz w:val="28"/>
          <w:szCs w:val="28"/>
          <w:lang w:eastAsia="ru-RU"/>
        </w:rPr>
        <w:t>. В данном случае его можно только упомянуть, поскольку подробное рассмотрение причин, хода и последствий этого конфликта выходит за рамки основной темы данной статьи.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Уже три десятилетия не поддается решению конфликт из-за Западной Сахары. Марокко считает эту территорию своей, в то время как поддерживаемый Алжиром и Ливией Фронт ПОЛИСАРИО добивается независимости для населяющих эту территорию жителей. Западносахарская проблема препятствует развитию политического и экономического сотрудничества между странами Северной Африки, в частности, в рамках Союза Арабского Магриба (САМ), образованного в 1989 г. с целью создания зоны свободной торговли в регионе и развития интеграции. Последний саммит САМ состоялся в 1994 г. в Тунисе. Очередная попытка созыва встречи лидеров САМ в мае 2005 г. вновь провалилась.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Итак, во второе пятидесятилетие своего независимого существования Северная Африка вступила с несколькими нерешенными этно</w:t>
      </w:r>
      <w:r w:rsidR="00363644">
        <w:rPr>
          <w:rFonts w:ascii="Times New Roman" w:hAnsi="Times New Roman"/>
          <w:sz w:val="28"/>
          <w:szCs w:val="28"/>
          <w:lang w:eastAsia="ru-RU"/>
        </w:rPr>
        <w:t>-</w:t>
      </w:r>
      <w:r w:rsidRPr="00363644">
        <w:rPr>
          <w:rFonts w:ascii="Times New Roman" w:hAnsi="Times New Roman"/>
          <w:sz w:val="28"/>
          <w:szCs w:val="28"/>
          <w:lang w:eastAsia="ru-RU"/>
        </w:rPr>
        <w:t>конфессиональными проблемами (в Судане, берберская проблема в Алжире и пр.), территориальными спорами (из-за Западной Сахары, из-за испанских анклавов в Марокко и пр.).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Помимо этого, нерешенным в эти полвека остался вызванный «демографическим взрывом» целый комплекс проблем. К нему относятся проблемы миграции и эмиграции, падения показателей ВВП на душу населения, роста проявлений исламского фундаментализма и экстремизма, наконец, наиболее острая проблема – международного терроризма. О том, как и какими темпами возрастала численность населения стран Северной Африки, свидетельствует приводимая ниже таблица 6.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Таблица 6</w:t>
      </w:r>
      <w:r w:rsid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Население стран Северной Африки</w:t>
      </w:r>
      <w:r w:rsidR="003636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b/>
          <w:sz w:val="28"/>
          <w:szCs w:val="28"/>
          <w:lang w:eastAsia="ru-RU"/>
        </w:rPr>
        <w:t>и среднегодовые темпы его роста в 1970–2000 гг.</w:t>
      </w:r>
    </w:p>
    <w:tbl>
      <w:tblPr>
        <w:tblW w:w="4594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212"/>
        <w:gridCol w:w="1214"/>
        <w:gridCol w:w="2266"/>
        <w:gridCol w:w="2120"/>
      </w:tblGrid>
      <w:tr w:rsidR="008204A2" w:rsidRPr="00363644" w:rsidTr="00363644">
        <w:tc>
          <w:tcPr>
            <w:tcW w:w="10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403" w:type="pct"/>
            <w:gridSpan w:val="2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</w:t>
            </w:r>
            <w:r w:rsidR="00363644"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(тыс. чел.)</w:t>
            </w:r>
          </w:p>
        </w:tc>
        <w:tc>
          <w:tcPr>
            <w:tcW w:w="2536" w:type="pct"/>
            <w:gridSpan w:val="2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Среднегодовые темпы роста</w:t>
            </w:r>
            <w:r w:rsidR="00363644"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(в %%)</w:t>
            </w:r>
          </w:p>
        </w:tc>
      </w:tr>
      <w:tr w:rsidR="008204A2" w:rsidRPr="00363644" w:rsidTr="00363644">
        <w:trPr>
          <w:trHeight w:val="332"/>
        </w:trPr>
        <w:tc>
          <w:tcPr>
            <w:tcW w:w="1061" w:type="pct"/>
            <w:vMerge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1990 г.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г.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1970–90 гг.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  <w:vAlign w:val="center"/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1990–2000 гг.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24960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30291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Египет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52426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67884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4545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5290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Мавритания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Марокко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25061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29878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Судан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25203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31095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Тунис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8057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9459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204A2" w:rsidRPr="00363644" w:rsidTr="00363644">
        <w:tc>
          <w:tcPr>
            <w:tcW w:w="106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142276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644">
              <w:rPr>
                <w:rFonts w:ascii="Times New Roman" w:hAnsi="Times New Roman"/>
                <w:sz w:val="20"/>
                <w:szCs w:val="20"/>
                <w:lang w:eastAsia="ru-RU"/>
              </w:rPr>
              <w:t>176562</w:t>
            </w:r>
          </w:p>
        </w:tc>
        <w:tc>
          <w:tcPr>
            <w:tcW w:w="1310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  <w:tcMar>
              <w:left w:w="28" w:type="dxa"/>
              <w:right w:w="28" w:type="dxa"/>
            </w:tcMar>
          </w:tcPr>
          <w:p w:rsidR="008204A2" w:rsidRPr="00363644" w:rsidRDefault="008204A2" w:rsidP="003636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63644" w:rsidRDefault="00363644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Из этой таблицы явствует, что в 1970–1990 гг. максимальными среднегодовыми темпами в регионе росло население Ливии (4,2%). Несмотря на сложности социально-экономического положения Ливии, на протяжении 70-х годов жизненный уровень ее населения оставался относительно высоким, особенно по сравнению с соседними Египтом и Тунисом. Это обеспечивало Ливии большой приток иммигрантов и высокий уровень рождаемости. В 80-е годы началось снижение иммиграции и рождаемости, которое, как видно из таблицы, продолжилось, и на протяжении следующего десятилетия.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Рекордсменом по абсолютной численности населения среди стран региона был Египет. В декабре 1996 г. на открытии межарабской конференции по народонаселению министр здравоохранения АРЕ сообщил, что более чем 60-миллионное население Египта занимает всего 5% территории страны. 100 лет тому назад в начале ХХ в. на этой же площади проживали 6,5 млн. чел.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Таким образом, за одно столетие население АРЕ выросло примерно в 10 раз. Для Египта и других стран Северной Африки это – серьезная угроза их дальнейшему социально-экономическому развитию. Причем главным фактором этой угрозы является не сам бесконтрольный рост населения, а то обстоятельство, что темпы его прибавления опережают темпы роста ВВП.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Кроме того, это ведет к падению жизненного уровня многих социальных слоев, росту социального недовольства, усилению хозяйственных диспропорций, возникновению новых волн эмиграции и пополнению резервов международного терроризма.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 xml:space="preserve">Стремясь преодолеть эти негативные тенденции, власти североафриканских стран прилагают активные усилия в экономической и социальной сферах для изменения создавшегося положения. Так, король Марокко Мохаммед 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363644">
        <w:rPr>
          <w:rFonts w:ascii="Times New Roman" w:hAnsi="Times New Roman"/>
          <w:sz w:val="28"/>
          <w:szCs w:val="28"/>
          <w:lang w:eastAsia="ru-RU"/>
        </w:rPr>
        <w:t xml:space="preserve"> выступил с «общенациональной инициативой гуманитарного развития общества». Целью ее является борьба с бедностью и другими негативными социальными явлениями. Новый «социальный проект» вписывается в рамки углубления процесса, который предусматривает «расширение демократических свобод, прав женщин, детей и беднейших слоев населения», а план социально-экономического развития станет «краеугольным камнем» всей жизни страны.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Позитивные тенденции наметились в социально-экономической ситуации в Ливии после ее отказа от планов производства оружия массового поражения и признания ответственности за известное «дело Локерби». Благодаря этому США исключили Ливию из списка государств, связанных с терроризмом.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конце 2004 г. после 40 лет перерыва Ливия вновь выдала лицензии на разведку нефти на своем шельфе, считающемся богатейшим в Африке. Из 15 лицензий большинство досталось компаниям из США. Пять лицензий получила «Оксидентал петролеум», еще одну – «Шеврон-Тексако», доли в четырех участках на разведку получила австралийская «Вудсайд петролеум». Лицензии позволяют вести разведку нефти на площади 127 тыс. кв. км, главным образом в заливе Сидра. Предполагается, что каждая из получивших лицензии компаний вложит в ливийскую экономику около 750 млн. долл. Ливия будет получать свою долю доходов от добычи нефти и вновь войдет в число крупнейших нефтеэкспортеров.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Аналогичная ситуация сложилась, как отмечалось выше, в Мавритании.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целом можно считать, что за полвека независимого существования, как видно из приведенных выше цифр, страны Северной Африки добились значительных успехов в экономическом развитии. Но отсталость их от развитых стран была настолько велика, что лишь Тунису и Ливии через 50 лет удалось приблизиться по ряду показателей к среднеразвитым странам Южной Европы, но не достичь их уровня.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В социально-политическом отношении средиземноморские арабские страны добились относительной стабильности благодаря своим экономическим успехам.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А вот в Судане и Мавритании, выполняющих своеобразную роль мостов, связывающих Северную Африку с Тропической, социально-политическое положение остается неустойчивым и чреватым новыми крупными и мелкими конфликтами.</w:t>
      </w:r>
    </w:p>
    <w:p w:rsidR="00363644" w:rsidRDefault="00363644" w:rsidP="00363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BEC" w:rsidRPr="00363644" w:rsidRDefault="00E23BEC" w:rsidP="00363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04A2" w:rsidRPr="00363644" w:rsidRDefault="00E23BEC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3644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</w:t>
      </w:r>
    </w:p>
    <w:p w:rsidR="00E23BEC" w:rsidRPr="00363644" w:rsidRDefault="00E23BEC" w:rsidP="00363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>1 </w:t>
      </w:r>
      <w:r w:rsidRPr="00363644">
        <w:rPr>
          <w:rFonts w:ascii="Times New Roman" w:hAnsi="Times New Roman"/>
          <w:sz w:val="28"/>
          <w:szCs w:val="28"/>
          <w:lang w:eastAsia="ru-RU"/>
        </w:rPr>
        <w:t>Рассчитано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63644">
        <w:rPr>
          <w:rFonts w:ascii="Times New Roman" w:hAnsi="Times New Roman"/>
          <w:sz w:val="28"/>
          <w:szCs w:val="28"/>
          <w:lang w:eastAsia="ru-RU"/>
        </w:rPr>
        <w:t>по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63644">
        <w:rPr>
          <w:rFonts w:ascii="Times New Roman" w:hAnsi="Times New Roman"/>
          <w:sz w:val="28"/>
          <w:szCs w:val="28"/>
          <w:lang w:eastAsia="ru-RU"/>
        </w:rPr>
        <w:t>данным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 UNCTAD Handbook of Statistics New York and Geneva, 2002,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316, 318.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2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63644">
        <w:rPr>
          <w:rFonts w:ascii="Times New Roman" w:hAnsi="Times New Roman"/>
          <w:sz w:val="28"/>
          <w:szCs w:val="28"/>
          <w:lang w:eastAsia="ru-RU"/>
        </w:rPr>
        <w:t>Арабские страны Западной Азии и Северной Африки. М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., 2002, </w:t>
      </w:r>
      <w:r w:rsidRPr="00363644">
        <w:rPr>
          <w:rFonts w:ascii="Times New Roman" w:hAnsi="Times New Roman"/>
          <w:sz w:val="28"/>
          <w:szCs w:val="28"/>
          <w:lang w:eastAsia="ru-RU"/>
        </w:rPr>
        <w:t>вып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. 5,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385.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3 National Bank of Egypt. Economic Bulletin, Cairo, 2000, № 3,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51.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>4 The Middle East and North Africa. L</w:t>
      </w:r>
      <w:r w:rsidRPr="003636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363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63644">
        <w:rPr>
          <w:rFonts w:ascii="Times New Roman" w:hAnsi="Times New Roman"/>
          <w:sz w:val="28"/>
          <w:szCs w:val="28"/>
          <w:lang w:eastAsia="ru-RU"/>
        </w:rPr>
        <w:t>.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363644">
        <w:rPr>
          <w:rFonts w:ascii="Times New Roman" w:hAnsi="Times New Roman"/>
          <w:sz w:val="28"/>
          <w:szCs w:val="28"/>
          <w:lang w:eastAsia="ru-RU"/>
        </w:rPr>
        <w:t>., 2004, с. 328.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5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63644">
        <w:rPr>
          <w:rFonts w:ascii="Times New Roman" w:hAnsi="Times New Roman"/>
          <w:sz w:val="28"/>
          <w:szCs w:val="28"/>
          <w:lang w:eastAsia="ru-RU"/>
        </w:rPr>
        <w:t xml:space="preserve">Пульс планеты. 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27.09.2005.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>6 </w:t>
      </w:r>
      <w:r w:rsidRPr="00363644">
        <w:rPr>
          <w:rFonts w:ascii="Times New Roman" w:hAnsi="Times New Roman"/>
          <w:sz w:val="28"/>
          <w:szCs w:val="28"/>
          <w:lang w:eastAsia="ru-RU"/>
        </w:rPr>
        <w:t>Пульс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63644">
        <w:rPr>
          <w:rFonts w:ascii="Times New Roman" w:hAnsi="Times New Roman"/>
          <w:sz w:val="28"/>
          <w:szCs w:val="28"/>
          <w:lang w:eastAsia="ru-RU"/>
        </w:rPr>
        <w:t>планеты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. 31.01.2006,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8.</w:t>
      </w:r>
    </w:p>
    <w:p w:rsidR="008204A2" w:rsidRPr="00363644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644">
        <w:rPr>
          <w:rFonts w:ascii="Times New Roman" w:hAnsi="Times New Roman"/>
          <w:sz w:val="28"/>
          <w:szCs w:val="28"/>
          <w:lang w:val="en-US" w:eastAsia="ru-RU"/>
        </w:rPr>
        <w:t xml:space="preserve">7 Internationale Politik und Gesellschaft, Bonn, 2005, № 2, </w:t>
      </w:r>
      <w:r w:rsidRPr="00363644">
        <w:rPr>
          <w:rFonts w:ascii="Times New Roman" w:hAnsi="Times New Roman"/>
          <w:sz w:val="28"/>
          <w:szCs w:val="28"/>
          <w:lang w:eastAsia="ru-RU"/>
        </w:rPr>
        <w:t>с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. 151.</w:t>
      </w:r>
    </w:p>
    <w:p w:rsidR="008204A2" w:rsidRPr="00363644" w:rsidRDefault="008204A2" w:rsidP="003636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8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63644">
        <w:rPr>
          <w:rFonts w:ascii="Times New Roman" w:hAnsi="Times New Roman"/>
          <w:sz w:val="28"/>
          <w:szCs w:val="28"/>
          <w:lang w:eastAsia="ru-RU"/>
        </w:rPr>
        <w:t>Гусаров В.И. Советско-суданская дружба в середине 70-х: между желаемым и действительностью. М., 2000, с. 24.</w:t>
      </w:r>
    </w:p>
    <w:p w:rsidR="008204A2" w:rsidRDefault="008204A2" w:rsidP="00363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644">
        <w:rPr>
          <w:rFonts w:ascii="Times New Roman" w:hAnsi="Times New Roman"/>
          <w:sz w:val="28"/>
          <w:szCs w:val="28"/>
          <w:lang w:eastAsia="ru-RU"/>
        </w:rPr>
        <w:t>9</w:t>
      </w:r>
      <w:r w:rsidRPr="0036364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63644">
        <w:rPr>
          <w:rFonts w:ascii="Times New Roman" w:hAnsi="Times New Roman"/>
          <w:sz w:val="28"/>
          <w:szCs w:val="28"/>
          <w:lang w:eastAsia="ru-RU"/>
        </w:rPr>
        <w:t>Компас, 2005, № 3, с. 47–48.</w:t>
      </w:r>
    </w:p>
    <w:p w:rsidR="00363644" w:rsidRPr="00363644" w:rsidRDefault="00363644" w:rsidP="0036364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63644" w:rsidRPr="00363644" w:rsidSect="00573C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50" w:rsidRDefault="00032250" w:rsidP="008204A2">
      <w:pPr>
        <w:spacing w:after="0" w:line="240" w:lineRule="auto"/>
      </w:pPr>
      <w:r>
        <w:separator/>
      </w:r>
    </w:p>
  </w:endnote>
  <w:endnote w:type="continuationSeparator" w:id="0">
    <w:p w:rsidR="00032250" w:rsidRDefault="00032250" w:rsidP="0082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50" w:rsidRDefault="00032250" w:rsidP="008204A2">
      <w:pPr>
        <w:spacing w:after="0" w:line="240" w:lineRule="auto"/>
      </w:pPr>
      <w:r>
        <w:separator/>
      </w:r>
    </w:p>
  </w:footnote>
  <w:footnote w:type="continuationSeparator" w:id="0">
    <w:p w:rsidR="00032250" w:rsidRDefault="00032250" w:rsidP="0082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44" w:rsidRPr="00363644" w:rsidRDefault="00363644" w:rsidP="00363644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8B6"/>
    <w:multiLevelType w:val="multilevel"/>
    <w:tmpl w:val="8F6E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hebrew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"/>
        <w:szCs w:val="22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"/>
        <w:szCs w:val="22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"/>
        <w:szCs w:val="22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136C4070"/>
    <w:multiLevelType w:val="multilevel"/>
    <w:tmpl w:val="06DE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43F90"/>
    <w:multiLevelType w:val="hybridMultilevel"/>
    <w:tmpl w:val="B56A3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F31AA"/>
    <w:multiLevelType w:val="hybridMultilevel"/>
    <w:tmpl w:val="06DEF4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AB35A5"/>
    <w:multiLevelType w:val="singleLevel"/>
    <w:tmpl w:val="27EE4F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MS Mincho" w:hint="cs"/>
        <w:color w:val="FF0000"/>
        <w:sz w:val="24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89F"/>
    <w:rsid w:val="00032250"/>
    <w:rsid w:val="001B1F1D"/>
    <w:rsid w:val="00363644"/>
    <w:rsid w:val="003D589F"/>
    <w:rsid w:val="00573CF2"/>
    <w:rsid w:val="005F5F35"/>
    <w:rsid w:val="006A6812"/>
    <w:rsid w:val="008204A2"/>
    <w:rsid w:val="00965BD8"/>
    <w:rsid w:val="009F5203"/>
    <w:rsid w:val="00A826F9"/>
    <w:rsid w:val="00B13478"/>
    <w:rsid w:val="00E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2DCD94-C5CA-4BB9-B03B-B3E36497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F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04A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204A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04A2"/>
    <w:pPr>
      <w:keepNext/>
      <w:widowControl w:val="0"/>
      <w:tabs>
        <w:tab w:val="left" w:pos="9000"/>
      </w:tabs>
      <w:autoSpaceDE w:val="0"/>
      <w:autoSpaceDN w:val="0"/>
      <w:bidi/>
      <w:spacing w:after="0" w:line="360" w:lineRule="auto"/>
      <w:jc w:val="both"/>
      <w:outlineLvl w:val="2"/>
    </w:pPr>
    <w:rPr>
      <w:rFonts w:ascii="Times New Roman" w:hAnsi="Times New Roman"/>
      <w:color w:val="0000FF"/>
      <w:sz w:val="20"/>
      <w:szCs w:val="24"/>
      <w:lang w:val="en-US" w:bidi="he-IL"/>
    </w:rPr>
  </w:style>
  <w:style w:type="paragraph" w:styleId="4">
    <w:name w:val="heading 4"/>
    <w:basedOn w:val="a"/>
    <w:next w:val="a"/>
    <w:link w:val="40"/>
    <w:uiPriority w:val="9"/>
    <w:qFormat/>
    <w:rsid w:val="008204A2"/>
    <w:pPr>
      <w:keepNext/>
      <w:widowControl w:val="0"/>
      <w:autoSpaceDE w:val="0"/>
      <w:autoSpaceDN w:val="0"/>
      <w:bidi/>
      <w:spacing w:after="0" w:line="360" w:lineRule="auto"/>
      <w:jc w:val="both"/>
      <w:outlineLvl w:val="3"/>
    </w:pPr>
    <w:rPr>
      <w:rFonts w:ascii="Times New Roman" w:hAnsi="Times New Roman"/>
      <w:b/>
      <w:bCs/>
      <w:noProof/>
      <w:color w:val="0000FF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4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204A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204A2"/>
    <w:rPr>
      <w:rFonts w:ascii="Times New Roman" w:hAnsi="Times New Roman" w:cs="Times New Roman"/>
      <w:color w:val="0000FF"/>
      <w:sz w:val="24"/>
      <w:szCs w:val="24"/>
      <w:lang w:val="en-US" w:eastAsia="x-none" w:bidi="he-IL"/>
    </w:rPr>
  </w:style>
  <w:style w:type="character" w:customStyle="1" w:styleId="40">
    <w:name w:val="Заголовок 4 Знак"/>
    <w:link w:val="4"/>
    <w:uiPriority w:val="9"/>
    <w:locked/>
    <w:rsid w:val="008204A2"/>
    <w:rPr>
      <w:rFonts w:ascii="Times New Roman" w:hAnsi="Times New Roman" w:cs="Times New Roman"/>
      <w:b/>
      <w:bCs/>
      <w:noProof/>
      <w:color w:val="0000FF"/>
      <w:sz w:val="24"/>
      <w:szCs w:val="24"/>
      <w:lang w:val="en-US" w:bidi="he-IL"/>
    </w:rPr>
  </w:style>
  <w:style w:type="paragraph" w:styleId="a3">
    <w:name w:val="footer"/>
    <w:basedOn w:val="a"/>
    <w:link w:val="a4"/>
    <w:uiPriority w:val="99"/>
    <w:rsid w:val="008204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204A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8204A2"/>
    <w:rPr>
      <w:rFonts w:cs="Times New Roman"/>
    </w:rPr>
  </w:style>
  <w:style w:type="paragraph" w:styleId="a6">
    <w:name w:val="header"/>
    <w:basedOn w:val="a"/>
    <w:link w:val="a7"/>
    <w:uiPriority w:val="99"/>
    <w:rsid w:val="008204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8204A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llowedHyperlink"/>
    <w:uiPriority w:val="99"/>
    <w:rsid w:val="008204A2"/>
    <w:rPr>
      <w:rFonts w:cs="Times New Roman"/>
      <w:color w:val="800080"/>
      <w:u w:val="single"/>
    </w:rPr>
  </w:style>
  <w:style w:type="character" w:styleId="a9">
    <w:name w:val="endnote reference"/>
    <w:uiPriority w:val="99"/>
    <w:semiHidden/>
    <w:rsid w:val="008204A2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8204A2"/>
    <w:pPr>
      <w:spacing w:after="0" w:line="360" w:lineRule="auto"/>
      <w:ind w:firstLine="90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8204A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d"/>
    <w:uiPriority w:val="99"/>
    <w:rsid w:val="008204A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8204A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e">
    <w:name w:val="footnote reference"/>
    <w:uiPriority w:val="99"/>
    <w:semiHidden/>
    <w:rsid w:val="008204A2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8204A2"/>
    <w:pPr>
      <w:spacing w:after="0" w:line="240" w:lineRule="auto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8204A2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1">
    <w:name w:val="endnote text"/>
    <w:basedOn w:val="a"/>
    <w:link w:val="af2"/>
    <w:uiPriority w:val="99"/>
    <w:semiHidden/>
    <w:rsid w:val="008204A2"/>
    <w:pPr>
      <w:widowControl w:val="0"/>
      <w:spacing w:before="100"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8204A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Название1"/>
    <w:rsid w:val="008204A2"/>
    <w:rPr>
      <w:rFonts w:ascii="Verdana" w:hAnsi="Verdana" w:cs="Times New Roman"/>
      <w:b/>
      <w:bCs/>
      <w:color w:val="030367"/>
      <w:sz w:val="27"/>
      <w:szCs w:val="27"/>
    </w:rPr>
  </w:style>
  <w:style w:type="character" w:customStyle="1" w:styleId="text">
    <w:name w:val="text"/>
    <w:rsid w:val="008204A2"/>
    <w:rPr>
      <w:rFonts w:ascii="Verdana" w:hAnsi="Verdan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204A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8204A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3">
    <w:name w:val="Рустам"/>
    <w:basedOn w:val="a"/>
    <w:rsid w:val="008204A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8204A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8204A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Signature"/>
    <w:basedOn w:val="12"/>
    <w:link w:val="af5"/>
    <w:uiPriority w:val="99"/>
    <w:rsid w:val="008204A2"/>
    <w:pPr>
      <w:spacing w:after="57" w:line="200" w:lineRule="atLeast"/>
      <w:ind w:firstLine="0"/>
      <w:jc w:val="center"/>
    </w:pPr>
    <w:rPr>
      <w:i/>
      <w:sz w:val="18"/>
    </w:rPr>
  </w:style>
  <w:style w:type="character" w:customStyle="1" w:styleId="af5">
    <w:name w:val="Подпись Знак"/>
    <w:link w:val="af4"/>
    <w:uiPriority w:val="99"/>
    <w:locked/>
    <w:rsid w:val="008204A2"/>
    <w:rPr>
      <w:rFonts w:ascii="JournalCTT" w:hAnsi="JournalCTT" w:cs="Times New Roman"/>
      <w:i/>
      <w:color w:val="000000"/>
      <w:sz w:val="20"/>
      <w:szCs w:val="20"/>
      <w:lang w:val="x-none" w:eastAsia="ru-RU"/>
    </w:rPr>
  </w:style>
  <w:style w:type="paragraph" w:customStyle="1" w:styleId="12">
    <w:name w:val="Основной текст1"/>
    <w:rsid w:val="008204A2"/>
    <w:pPr>
      <w:overflowPunct w:val="0"/>
      <w:autoSpaceDE w:val="0"/>
      <w:autoSpaceDN w:val="0"/>
      <w:adjustRightInd w:val="0"/>
      <w:spacing w:line="220" w:lineRule="atLeast"/>
      <w:ind w:firstLine="283"/>
      <w:jc w:val="both"/>
      <w:textAlignment w:val="baseline"/>
    </w:pPr>
    <w:rPr>
      <w:rFonts w:ascii="JournalCTT" w:hAnsi="JournalCTT" w:cs="Times New Roman"/>
      <w:color w:val="000000"/>
    </w:rPr>
  </w:style>
  <w:style w:type="character" w:customStyle="1" w:styleId="kw">
    <w:name w:val="kw"/>
    <w:rsid w:val="008204A2"/>
    <w:rPr>
      <w:rFonts w:cs="Times New Roman"/>
    </w:rPr>
  </w:style>
  <w:style w:type="character" w:customStyle="1" w:styleId="frag">
    <w:name w:val="frag"/>
    <w:rsid w:val="008204A2"/>
    <w:rPr>
      <w:rFonts w:cs="Times New Roman"/>
    </w:rPr>
  </w:style>
  <w:style w:type="character" w:styleId="HTML">
    <w:name w:val="HTML Code"/>
    <w:uiPriority w:val="99"/>
    <w:rsid w:val="008204A2"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sid w:val="008204A2"/>
    <w:rPr>
      <w:rFonts w:cs="Times New Roman"/>
      <w:color w:val="0000FF"/>
      <w:u w:val="single"/>
    </w:rPr>
  </w:style>
  <w:style w:type="character" w:customStyle="1" w:styleId="printtitle1">
    <w:name w:val="print_title1"/>
    <w:rsid w:val="008204A2"/>
    <w:rPr>
      <w:rFonts w:ascii="Arial" w:hAnsi="Arial" w:cs="Arial"/>
      <w:b/>
      <w:bCs/>
      <w:color w:val="666666"/>
      <w:sz w:val="21"/>
      <w:szCs w:val="21"/>
    </w:rPr>
  </w:style>
  <w:style w:type="paragraph" w:styleId="31">
    <w:name w:val="Body Text Indent 3"/>
    <w:basedOn w:val="a"/>
    <w:link w:val="32"/>
    <w:uiPriority w:val="99"/>
    <w:rsid w:val="008204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8204A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7">
    <w:name w:val="Normal (Web)"/>
    <w:basedOn w:val="a"/>
    <w:uiPriority w:val="99"/>
    <w:rsid w:val="008204A2"/>
    <w:pPr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204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8">
    <w:name w:val="Strong"/>
    <w:uiPriority w:val="22"/>
    <w:qFormat/>
    <w:rsid w:val="008204A2"/>
    <w:rPr>
      <w:rFonts w:cs="Times New Roman"/>
      <w:b/>
      <w:bCs/>
    </w:rPr>
  </w:style>
  <w:style w:type="character" w:customStyle="1" w:styleId="rightpodheadstyle1">
    <w:name w:val="rightpodheadstyle1"/>
    <w:rsid w:val="008204A2"/>
    <w:rPr>
      <w:rFonts w:ascii="Verdana" w:hAnsi="Verdana" w:cs="Times New Roman"/>
      <w:color w:val="737373"/>
      <w:sz w:val="18"/>
      <w:szCs w:val="18"/>
    </w:rPr>
  </w:style>
  <w:style w:type="character" w:customStyle="1" w:styleId="righttextstyle1">
    <w:name w:val="righttextstyle1"/>
    <w:rsid w:val="008204A2"/>
    <w:rPr>
      <w:rFonts w:ascii="Tahoma" w:hAnsi="Tahoma" w:cs="Tahoma"/>
      <w:color w:val="000000"/>
      <w:sz w:val="18"/>
      <w:szCs w:val="18"/>
    </w:rPr>
  </w:style>
  <w:style w:type="paragraph" w:customStyle="1" w:styleId="33">
    <w:name w:val="3ДА"/>
    <w:basedOn w:val="a"/>
    <w:rsid w:val="008204A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8204A2"/>
    <w:pPr>
      <w:keepNext/>
      <w:snapToGri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af9">
    <w:name w:val="Title"/>
    <w:basedOn w:val="a"/>
    <w:link w:val="afa"/>
    <w:uiPriority w:val="10"/>
    <w:qFormat/>
    <w:rsid w:val="008204A2"/>
    <w:pPr>
      <w:widowControl w:val="0"/>
      <w:autoSpaceDE w:val="0"/>
      <w:autoSpaceDN w:val="0"/>
      <w:bidi/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val="en-US" w:bidi="he-IL"/>
    </w:rPr>
  </w:style>
  <w:style w:type="character" w:customStyle="1" w:styleId="afa">
    <w:name w:val="Название Знак"/>
    <w:link w:val="af9"/>
    <w:uiPriority w:val="10"/>
    <w:locked/>
    <w:rsid w:val="008204A2"/>
    <w:rPr>
      <w:rFonts w:ascii="Times New Roman" w:hAnsi="Times New Roman" w:cs="Times New Roman"/>
      <w:color w:val="FF0000"/>
      <w:sz w:val="24"/>
      <w:szCs w:val="24"/>
      <w:lang w:val="en-US" w:eastAsia="x-none" w:bidi="he-IL"/>
    </w:rPr>
  </w:style>
  <w:style w:type="paragraph" w:styleId="afb">
    <w:name w:val="Block Text"/>
    <w:basedOn w:val="a"/>
    <w:uiPriority w:val="99"/>
    <w:rsid w:val="008204A2"/>
    <w:pPr>
      <w:widowControl w:val="0"/>
      <w:autoSpaceDE w:val="0"/>
      <w:autoSpaceDN w:val="0"/>
      <w:bidi/>
      <w:spacing w:after="0" w:line="240" w:lineRule="auto"/>
      <w:ind w:left="567" w:right="567"/>
      <w:jc w:val="both"/>
    </w:pPr>
    <w:rPr>
      <w:rFonts w:ascii="Times New Roman" w:hAnsi="Times New Roman"/>
      <w:color w:val="0000FF"/>
      <w:sz w:val="24"/>
      <w:szCs w:val="24"/>
      <w:lang w:val="en-US" w:bidi="he-IL"/>
    </w:rPr>
  </w:style>
  <w:style w:type="paragraph" w:styleId="afc">
    <w:name w:val="Subtitle"/>
    <w:basedOn w:val="a"/>
    <w:link w:val="afd"/>
    <w:uiPriority w:val="11"/>
    <w:qFormat/>
    <w:rsid w:val="008204A2"/>
    <w:pPr>
      <w:widowControl w:val="0"/>
      <w:tabs>
        <w:tab w:val="left" w:pos="9000"/>
      </w:tabs>
      <w:autoSpaceDE w:val="0"/>
      <w:autoSpaceDN w:val="0"/>
      <w:bidi/>
      <w:spacing w:after="0" w:line="240" w:lineRule="auto"/>
      <w:jc w:val="both"/>
    </w:pPr>
    <w:rPr>
      <w:rFonts w:ascii="Times New Roman" w:hAnsi="Times New Roman"/>
      <w:color w:val="0000FF"/>
      <w:sz w:val="20"/>
      <w:szCs w:val="32"/>
      <w:lang w:val="en-US" w:bidi="he-IL"/>
    </w:rPr>
  </w:style>
  <w:style w:type="character" w:customStyle="1" w:styleId="afd">
    <w:name w:val="Подзаголовок Знак"/>
    <w:link w:val="afc"/>
    <w:uiPriority w:val="11"/>
    <w:locked/>
    <w:rsid w:val="008204A2"/>
    <w:rPr>
      <w:rFonts w:ascii="Times New Roman" w:hAnsi="Times New Roman" w:cs="Times New Roman"/>
      <w:color w:val="0000FF"/>
      <w:sz w:val="32"/>
      <w:szCs w:val="32"/>
      <w:lang w:val="en-US" w:eastAsia="x-none" w:bidi="he-IL"/>
    </w:rPr>
  </w:style>
  <w:style w:type="character" w:customStyle="1" w:styleId="hl1">
    <w:name w:val="hl1"/>
    <w:rsid w:val="008204A2"/>
    <w:rPr>
      <w:rFonts w:cs="Times New Roman"/>
      <w:sz w:val="22"/>
      <w:szCs w:val="22"/>
    </w:rPr>
  </w:style>
  <w:style w:type="character" w:customStyle="1" w:styleId="hu1">
    <w:name w:val="hu1"/>
    <w:rsid w:val="008204A2"/>
    <w:rPr>
      <w:rFonts w:cs="Times New Roman"/>
      <w:sz w:val="22"/>
      <w:szCs w:val="22"/>
    </w:rPr>
  </w:style>
  <w:style w:type="paragraph" w:customStyle="1" w:styleId="13">
    <w:name w:val="Обычный1"/>
    <w:rsid w:val="008204A2"/>
    <w:pPr>
      <w:autoSpaceDE w:val="0"/>
      <w:autoSpaceDN w:val="0"/>
    </w:pPr>
    <w:rPr>
      <w:rFonts w:ascii="Times New Roman" w:hAnsi="Times New Roman" w:cs="Times New Roman"/>
      <w:lang w:eastAsia="he-IL" w:bidi="he-IL"/>
    </w:rPr>
  </w:style>
  <w:style w:type="paragraph" w:styleId="34">
    <w:name w:val="Body Text 3"/>
    <w:basedOn w:val="a"/>
    <w:link w:val="35"/>
    <w:uiPriority w:val="99"/>
    <w:rsid w:val="008204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8204A2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Par">
    <w:name w:val="NormalPar"/>
    <w:rsid w:val="008204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 w:bidi="he-IL"/>
    </w:rPr>
  </w:style>
  <w:style w:type="character" w:customStyle="1" w:styleId="endnotereference">
    <w:name w:val="endnote_reference"/>
    <w:rsid w:val="008204A2"/>
    <w:rPr>
      <w:rFonts w:ascii="Times New Roman" w:hAnsi="Times New Roman" w:cs="Times New Roman"/>
    </w:rPr>
  </w:style>
  <w:style w:type="paragraph" w:customStyle="1" w:styleId="NormalWeb">
    <w:name w:val="Normal_(Web)"/>
    <w:basedOn w:val="a"/>
    <w:rsid w:val="008204A2"/>
    <w:pPr>
      <w:autoSpaceDE w:val="0"/>
      <w:autoSpaceDN w:val="0"/>
      <w:bidi/>
      <w:adjustRightInd w:val="0"/>
      <w:spacing w:before="100" w:after="100" w:line="240" w:lineRule="auto"/>
      <w:jc w:val="right"/>
    </w:pPr>
    <w:rPr>
      <w:rFonts w:ascii="Times New Roman" w:hAnsi="Times New Roman"/>
      <w:noProof/>
      <w:sz w:val="24"/>
      <w:szCs w:val="24"/>
      <w:lang w:val="en-US" w:bidi="he-IL"/>
    </w:rPr>
  </w:style>
  <w:style w:type="character" w:customStyle="1" w:styleId="n2-date">
    <w:name w:val="n2-date"/>
    <w:rsid w:val="008204A2"/>
    <w:rPr>
      <w:rFonts w:ascii="Times New Roman" w:hAnsi="Times New Roman" w:cs="Times New Roman"/>
    </w:rPr>
  </w:style>
  <w:style w:type="paragraph" w:customStyle="1" w:styleId="14">
    <w:name w:val="Обычный (веб)1"/>
    <w:basedOn w:val="a"/>
    <w:rsid w:val="00820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he-IL" w:bidi="he-IL"/>
    </w:rPr>
  </w:style>
  <w:style w:type="character" w:customStyle="1" w:styleId="t11">
    <w:name w:val="t11"/>
    <w:rsid w:val="008204A2"/>
    <w:rPr>
      <w:rFonts w:ascii="Times New Roman" w:hAnsi="Times New Roman" w:cs="Times New Roman"/>
    </w:rPr>
  </w:style>
  <w:style w:type="character" w:customStyle="1" w:styleId="endnotereference21">
    <w:name w:val="endnote_reference21"/>
    <w:rsid w:val="008204A2"/>
    <w:rPr>
      <w:rFonts w:ascii="Arial" w:hAnsi="Arial"/>
    </w:rPr>
  </w:style>
  <w:style w:type="character" w:customStyle="1" w:styleId="n2-text">
    <w:name w:val="n2-text"/>
    <w:rsid w:val="008204A2"/>
  </w:style>
  <w:style w:type="character" w:customStyle="1" w:styleId="15">
    <w:name w:val="Верхний колонтитул1"/>
    <w:rsid w:val="008204A2"/>
    <w:rPr>
      <w:rFonts w:cs="Times New Roman"/>
    </w:rPr>
  </w:style>
  <w:style w:type="paragraph" w:customStyle="1" w:styleId="endnotetext">
    <w:name w:val="endnote_text"/>
    <w:basedOn w:val="a"/>
    <w:rsid w:val="008204A2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ext1">
    <w:name w:val="text1"/>
    <w:rsid w:val="008204A2"/>
    <w:rPr>
      <w:rFonts w:ascii="Verdana" w:hAnsi="Verdana"/>
      <w:color w:val="000000"/>
      <w:sz w:val="18"/>
    </w:rPr>
  </w:style>
  <w:style w:type="character" w:styleId="afe">
    <w:name w:val="Emphasis"/>
    <w:uiPriority w:val="20"/>
    <w:qFormat/>
    <w:rsid w:val="008204A2"/>
    <w:rPr>
      <w:rFonts w:ascii="Times New Roman" w:hAnsi="Times New Roman" w:cs="Times New Roman"/>
      <w:i/>
    </w:rPr>
  </w:style>
  <w:style w:type="character" w:customStyle="1" w:styleId="endnotereference2123">
    <w:name w:val="endnote_reference2123"/>
    <w:rsid w:val="008204A2"/>
    <w:rPr>
      <w:rFonts w:ascii="Arial" w:hAnsi="Arial"/>
    </w:rPr>
  </w:style>
  <w:style w:type="paragraph" w:customStyle="1" w:styleId="endnotetext34">
    <w:name w:val="endnote_text34"/>
    <w:basedOn w:val="a"/>
    <w:rsid w:val="008204A2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13">
    <w:name w:val="t13"/>
    <w:rsid w:val="008204A2"/>
    <w:rPr>
      <w:rFonts w:ascii="Times New Roman" w:hAnsi="Times New Roman" w:cs="Times New Roman"/>
    </w:rPr>
  </w:style>
  <w:style w:type="character" w:customStyle="1" w:styleId="footnotereference">
    <w:name w:val="footnote_reference"/>
    <w:rsid w:val="008204A2"/>
    <w:rPr>
      <w:rFonts w:ascii="Times New Roman" w:hAnsi="Times New Roman" w:cs="Times New Roman"/>
    </w:rPr>
  </w:style>
  <w:style w:type="character" w:customStyle="1" w:styleId="HTMLTypewriter">
    <w:name w:val="HTML_Typewriter"/>
    <w:rsid w:val="008204A2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</dc:creator>
  <cp:keywords/>
  <dc:description/>
  <cp:lastModifiedBy>admin</cp:lastModifiedBy>
  <cp:revision>2</cp:revision>
  <dcterms:created xsi:type="dcterms:W3CDTF">2014-03-25T10:04:00Z</dcterms:created>
  <dcterms:modified xsi:type="dcterms:W3CDTF">2014-03-25T10:04:00Z</dcterms:modified>
</cp:coreProperties>
</file>