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2C" w:rsidRDefault="00604E2C">
      <w:pPr>
        <w:spacing w:line="360" w:lineRule="auto"/>
        <w:jc w:val="center"/>
        <w:rPr>
          <w:spacing w:val="20"/>
          <w:sz w:val="28"/>
        </w:rPr>
      </w:pPr>
    </w:p>
    <w:p w:rsidR="00604E2C" w:rsidRDefault="00604E2C">
      <w:pPr>
        <w:pStyle w:val="1"/>
        <w:ind w:firstLine="0"/>
        <w:jc w:val="center"/>
        <w:rPr>
          <w:spacing w:val="20"/>
          <w:sz w:val="32"/>
          <w:u w:val="single"/>
        </w:rPr>
      </w:pPr>
      <w:r>
        <w:rPr>
          <w:spacing w:val="20"/>
          <w:sz w:val="32"/>
          <w:u w:val="single"/>
        </w:rPr>
        <w:t xml:space="preserve">ПЛАН </w:t>
      </w:r>
    </w:p>
    <w:p w:rsidR="00604E2C" w:rsidRDefault="00604E2C">
      <w:pPr>
        <w:pStyle w:val="1"/>
        <w:ind w:firstLine="0"/>
        <w:jc w:val="center"/>
        <w:rPr>
          <w:spacing w:val="20"/>
          <w:sz w:val="32"/>
          <w:u w:val="single"/>
        </w:rPr>
      </w:pPr>
      <w:r>
        <w:rPr>
          <w:spacing w:val="20"/>
          <w:sz w:val="32"/>
          <w:u w:val="single"/>
        </w:rPr>
        <w:t>КУРСОВОЙ РАБОТЫ</w:t>
      </w: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pStyle w:val="aa"/>
        <w:spacing w:line="360" w:lineRule="auto"/>
        <w:jc w:val="both"/>
        <w:rPr>
          <w:rFonts w:ascii="Times New Roman" w:hAnsi="Times New Roman"/>
          <w:spacing w:val="20"/>
          <w:sz w:val="28"/>
        </w:rPr>
      </w:pPr>
    </w:p>
    <w:tbl>
      <w:tblPr>
        <w:tblW w:w="0" w:type="auto"/>
        <w:tblLayout w:type="fixed"/>
        <w:tblLook w:val="0000" w:firstRow="0" w:lastRow="0" w:firstColumn="0" w:lastColumn="0" w:noHBand="0" w:noVBand="0"/>
      </w:tblPr>
      <w:tblGrid>
        <w:gridCol w:w="8755"/>
        <w:gridCol w:w="567"/>
      </w:tblGrid>
      <w:tr w:rsidR="00604E2C">
        <w:tc>
          <w:tcPr>
            <w:tcW w:w="8755" w:type="dxa"/>
          </w:tcPr>
          <w:p w:rsidR="00604E2C" w:rsidRDefault="00604E2C">
            <w:pPr>
              <w:pStyle w:val="aa"/>
              <w:numPr>
                <w:ilvl w:val="0"/>
                <w:numId w:val="25"/>
              </w:numPr>
              <w:spacing w:line="360" w:lineRule="auto"/>
              <w:jc w:val="both"/>
              <w:rPr>
                <w:rFonts w:ascii="Times New Roman" w:hAnsi="Times New Roman"/>
                <w:spacing w:val="20"/>
                <w:sz w:val="28"/>
              </w:rPr>
            </w:pPr>
            <w:r>
              <w:rPr>
                <w:rFonts w:ascii="Times New Roman" w:hAnsi="Times New Roman"/>
                <w:b/>
                <w:spacing w:val="20"/>
                <w:sz w:val="28"/>
              </w:rPr>
              <w:t>Введение</w:t>
            </w:r>
            <w:r>
              <w:rPr>
                <w:rFonts w:ascii="Times New Roman" w:hAnsi="Times New Roman"/>
                <w:spacing w:val="20"/>
                <w:sz w:val="28"/>
              </w:rPr>
              <w:t>……….………………….………...………...………...</w:t>
            </w:r>
          </w:p>
          <w:p w:rsidR="00604E2C" w:rsidRDefault="00604E2C">
            <w:pPr>
              <w:pStyle w:val="aa"/>
              <w:spacing w:line="360" w:lineRule="auto"/>
              <w:jc w:val="both"/>
              <w:rPr>
                <w:rFonts w:ascii="Times New Roman" w:hAnsi="Times New Roman"/>
                <w:spacing w:val="20"/>
                <w:sz w:val="28"/>
              </w:rPr>
            </w:pPr>
          </w:p>
        </w:tc>
        <w:tc>
          <w:tcPr>
            <w:tcW w:w="567" w:type="dxa"/>
          </w:tcPr>
          <w:p w:rsidR="00604E2C" w:rsidRDefault="00604E2C">
            <w:pPr>
              <w:pStyle w:val="aa"/>
              <w:spacing w:line="360" w:lineRule="auto"/>
              <w:jc w:val="right"/>
              <w:rPr>
                <w:rFonts w:ascii="Times New Roman" w:hAnsi="Times New Roman"/>
                <w:b/>
                <w:spacing w:val="20"/>
                <w:sz w:val="28"/>
              </w:rPr>
            </w:pPr>
            <w:r>
              <w:rPr>
                <w:rFonts w:ascii="Times New Roman" w:hAnsi="Times New Roman"/>
                <w:b/>
                <w:spacing w:val="20"/>
                <w:sz w:val="28"/>
              </w:rPr>
              <w:t>2</w:t>
            </w:r>
          </w:p>
        </w:tc>
      </w:tr>
      <w:tr w:rsidR="00604E2C">
        <w:tc>
          <w:tcPr>
            <w:tcW w:w="8755" w:type="dxa"/>
          </w:tcPr>
          <w:p w:rsidR="00604E2C" w:rsidRDefault="00604E2C">
            <w:pPr>
              <w:pStyle w:val="aa"/>
              <w:numPr>
                <w:ilvl w:val="0"/>
                <w:numId w:val="25"/>
              </w:numPr>
              <w:jc w:val="both"/>
              <w:rPr>
                <w:rFonts w:ascii="Times New Roman" w:hAnsi="Times New Roman"/>
                <w:spacing w:val="20"/>
                <w:sz w:val="28"/>
              </w:rPr>
            </w:pPr>
            <w:r>
              <w:rPr>
                <w:rFonts w:ascii="Times New Roman" w:hAnsi="Times New Roman"/>
                <w:b/>
                <w:spacing w:val="20"/>
                <w:sz w:val="28"/>
              </w:rPr>
              <w:t>Понятие реорганизации и её отличия от ликвидации</w:t>
            </w:r>
            <w:r>
              <w:rPr>
                <w:rFonts w:ascii="Times New Roman" w:hAnsi="Times New Roman"/>
                <w:spacing w:val="20"/>
                <w:sz w:val="28"/>
              </w:rPr>
              <w:t>…………………………………………………..….</w:t>
            </w:r>
          </w:p>
          <w:p w:rsidR="00604E2C" w:rsidRDefault="00604E2C">
            <w:pPr>
              <w:pStyle w:val="aa"/>
              <w:jc w:val="both"/>
              <w:rPr>
                <w:rFonts w:ascii="Times New Roman" w:hAnsi="Times New Roman"/>
                <w:spacing w:val="20"/>
                <w:sz w:val="28"/>
              </w:rPr>
            </w:pPr>
          </w:p>
        </w:tc>
        <w:tc>
          <w:tcPr>
            <w:tcW w:w="567" w:type="dxa"/>
          </w:tcPr>
          <w:p w:rsidR="00604E2C" w:rsidRDefault="00604E2C">
            <w:pPr>
              <w:pStyle w:val="aa"/>
              <w:jc w:val="right"/>
              <w:rPr>
                <w:rFonts w:ascii="Times New Roman" w:hAnsi="Times New Roman"/>
                <w:b/>
                <w:spacing w:val="20"/>
                <w:sz w:val="28"/>
              </w:rPr>
            </w:pPr>
            <w:r>
              <w:rPr>
                <w:rFonts w:ascii="Times New Roman" w:hAnsi="Times New Roman"/>
                <w:b/>
                <w:spacing w:val="20"/>
                <w:sz w:val="28"/>
              </w:rPr>
              <w:t>3</w:t>
            </w:r>
          </w:p>
        </w:tc>
      </w:tr>
      <w:tr w:rsidR="00604E2C">
        <w:tc>
          <w:tcPr>
            <w:tcW w:w="8755" w:type="dxa"/>
          </w:tcPr>
          <w:p w:rsidR="00604E2C" w:rsidRDefault="00604E2C">
            <w:pPr>
              <w:pStyle w:val="aa"/>
              <w:numPr>
                <w:ilvl w:val="0"/>
                <w:numId w:val="25"/>
              </w:numPr>
              <w:jc w:val="left"/>
              <w:rPr>
                <w:rFonts w:ascii="Times New Roman" w:hAnsi="Times New Roman"/>
                <w:b/>
                <w:spacing w:val="20"/>
                <w:sz w:val="28"/>
              </w:rPr>
            </w:pPr>
            <w:r>
              <w:rPr>
                <w:rFonts w:ascii="Times New Roman" w:hAnsi="Times New Roman"/>
                <w:b/>
                <w:spacing w:val="20"/>
                <w:sz w:val="28"/>
              </w:rPr>
              <w:t>Виды реорганизации</w:t>
            </w:r>
            <w:r>
              <w:rPr>
                <w:rFonts w:ascii="Times New Roman" w:hAnsi="Times New Roman"/>
                <w:spacing w:val="20"/>
                <w:sz w:val="28"/>
              </w:rPr>
              <w:t>……………....………………………….</w:t>
            </w:r>
          </w:p>
          <w:p w:rsidR="00604E2C" w:rsidRDefault="00604E2C">
            <w:pPr>
              <w:pStyle w:val="aa"/>
              <w:numPr>
                <w:ilvl w:val="1"/>
                <w:numId w:val="25"/>
              </w:numPr>
              <w:jc w:val="left"/>
              <w:rPr>
                <w:rFonts w:ascii="Times New Roman" w:hAnsi="Times New Roman"/>
                <w:b/>
                <w:spacing w:val="20"/>
                <w:sz w:val="28"/>
              </w:rPr>
            </w:pPr>
            <w:r>
              <w:rPr>
                <w:rFonts w:ascii="Times New Roman" w:hAnsi="Times New Roman"/>
                <w:b/>
                <w:spacing w:val="20"/>
                <w:sz w:val="28"/>
              </w:rPr>
              <w:t>Слияние</w:t>
            </w:r>
          </w:p>
          <w:p w:rsidR="00604E2C" w:rsidRDefault="00604E2C">
            <w:pPr>
              <w:pStyle w:val="aa"/>
              <w:numPr>
                <w:ilvl w:val="1"/>
                <w:numId w:val="25"/>
              </w:numPr>
              <w:jc w:val="left"/>
              <w:rPr>
                <w:rFonts w:ascii="Times New Roman" w:hAnsi="Times New Roman"/>
                <w:b/>
                <w:spacing w:val="20"/>
                <w:sz w:val="28"/>
              </w:rPr>
            </w:pPr>
            <w:r>
              <w:rPr>
                <w:rFonts w:ascii="Times New Roman" w:hAnsi="Times New Roman"/>
                <w:b/>
                <w:spacing w:val="20"/>
                <w:sz w:val="28"/>
              </w:rPr>
              <w:t>Присоединение</w:t>
            </w:r>
          </w:p>
          <w:p w:rsidR="00604E2C" w:rsidRDefault="00604E2C">
            <w:pPr>
              <w:pStyle w:val="aa"/>
              <w:numPr>
                <w:ilvl w:val="1"/>
                <w:numId w:val="25"/>
              </w:numPr>
              <w:jc w:val="left"/>
              <w:rPr>
                <w:rFonts w:ascii="Times New Roman" w:hAnsi="Times New Roman"/>
                <w:b/>
                <w:spacing w:val="20"/>
                <w:sz w:val="28"/>
              </w:rPr>
            </w:pPr>
            <w:r>
              <w:rPr>
                <w:rFonts w:ascii="Times New Roman" w:hAnsi="Times New Roman"/>
                <w:b/>
                <w:spacing w:val="20"/>
                <w:sz w:val="28"/>
              </w:rPr>
              <w:t>Разделение</w:t>
            </w:r>
          </w:p>
          <w:p w:rsidR="00604E2C" w:rsidRDefault="00604E2C">
            <w:pPr>
              <w:pStyle w:val="aa"/>
              <w:numPr>
                <w:ilvl w:val="1"/>
                <w:numId w:val="25"/>
              </w:numPr>
              <w:jc w:val="left"/>
              <w:rPr>
                <w:rFonts w:ascii="Times New Roman" w:hAnsi="Times New Roman"/>
                <w:b/>
                <w:spacing w:val="20"/>
                <w:sz w:val="28"/>
              </w:rPr>
            </w:pPr>
            <w:r>
              <w:rPr>
                <w:rFonts w:ascii="Times New Roman" w:hAnsi="Times New Roman"/>
                <w:b/>
                <w:spacing w:val="20"/>
                <w:sz w:val="28"/>
              </w:rPr>
              <w:t>Выделение</w:t>
            </w:r>
          </w:p>
          <w:p w:rsidR="00604E2C" w:rsidRDefault="00604E2C">
            <w:pPr>
              <w:pStyle w:val="aa"/>
              <w:numPr>
                <w:ilvl w:val="1"/>
                <w:numId w:val="25"/>
              </w:numPr>
              <w:jc w:val="left"/>
              <w:rPr>
                <w:rFonts w:ascii="Times New Roman" w:hAnsi="Times New Roman"/>
                <w:b/>
                <w:spacing w:val="20"/>
                <w:sz w:val="28"/>
              </w:rPr>
            </w:pPr>
            <w:r>
              <w:rPr>
                <w:rFonts w:ascii="Times New Roman" w:hAnsi="Times New Roman"/>
                <w:b/>
                <w:spacing w:val="20"/>
                <w:sz w:val="28"/>
              </w:rPr>
              <w:t>Преобразование</w:t>
            </w:r>
          </w:p>
          <w:p w:rsidR="00604E2C" w:rsidRDefault="00604E2C">
            <w:pPr>
              <w:pStyle w:val="aa"/>
              <w:jc w:val="both"/>
              <w:rPr>
                <w:rFonts w:ascii="Times New Roman" w:hAnsi="Times New Roman"/>
                <w:b/>
                <w:spacing w:val="20"/>
                <w:sz w:val="28"/>
              </w:rPr>
            </w:pPr>
          </w:p>
        </w:tc>
        <w:tc>
          <w:tcPr>
            <w:tcW w:w="567" w:type="dxa"/>
          </w:tcPr>
          <w:p w:rsidR="00604E2C" w:rsidRDefault="00604E2C">
            <w:pPr>
              <w:pStyle w:val="aa"/>
              <w:spacing w:line="360" w:lineRule="auto"/>
              <w:jc w:val="right"/>
              <w:rPr>
                <w:rFonts w:ascii="Times New Roman" w:hAnsi="Times New Roman"/>
                <w:b/>
                <w:spacing w:val="20"/>
                <w:sz w:val="28"/>
              </w:rPr>
            </w:pPr>
            <w:r>
              <w:rPr>
                <w:rFonts w:ascii="Times New Roman" w:hAnsi="Times New Roman"/>
                <w:b/>
                <w:spacing w:val="20"/>
                <w:sz w:val="28"/>
              </w:rPr>
              <w:t>10</w:t>
            </w:r>
          </w:p>
          <w:p w:rsidR="00604E2C" w:rsidRDefault="00604E2C">
            <w:pPr>
              <w:pStyle w:val="aa"/>
              <w:spacing w:line="360" w:lineRule="auto"/>
              <w:jc w:val="right"/>
              <w:rPr>
                <w:rFonts w:ascii="Times New Roman" w:hAnsi="Times New Roman"/>
                <w:b/>
                <w:spacing w:val="20"/>
                <w:sz w:val="28"/>
              </w:rPr>
            </w:pPr>
          </w:p>
        </w:tc>
      </w:tr>
      <w:tr w:rsidR="00604E2C">
        <w:tc>
          <w:tcPr>
            <w:tcW w:w="8755" w:type="dxa"/>
          </w:tcPr>
          <w:p w:rsidR="00604E2C" w:rsidRDefault="00604E2C">
            <w:pPr>
              <w:pStyle w:val="aa"/>
              <w:numPr>
                <w:ilvl w:val="0"/>
                <w:numId w:val="28"/>
              </w:numPr>
              <w:spacing w:line="360" w:lineRule="auto"/>
              <w:jc w:val="both"/>
              <w:rPr>
                <w:rFonts w:ascii="Times New Roman" w:hAnsi="Times New Roman"/>
                <w:spacing w:val="20"/>
                <w:sz w:val="28"/>
              </w:rPr>
            </w:pPr>
            <w:r>
              <w:rPr>
                <w:rFonts w:ascii="Times New Roman" w:hAnsi="Times New Roman"/>
                <w:b/>
                <w:spacing w:val="20"/>
                <w:sz w:val="28"/>
              </w:rPr>
              <w:t xml:space="preserve"> Заключение</w:t>
            </w:r>
            <w:r>
              <w:rPr>
                <w:rFonts w:ascii="Times New Roman" w:hAnsi="Times New Roman"/>
                <w:spacing w:val="20"/>
                <w:sz w:val="28"/>
              </w:rPr>
              <w:t>….…….…………………….……………………...</w:t>
            </w:r>
          </w:p>
          <w:p w:rsidR="00604E2C" w:rsidRDefault="00604E2C">
            <w:pPr>
              <w:pStyle w:val="aa"/>
              <w:spacing w:line="360" w:lineRule="auto"/>
              <w:jc w:val="both"/>
              <w:rPr>
                <w:rFonts w:ascii="Times New Roman" w:hAnsi="Times New Roman"/>
                <w:spacing w:val="20"/>
                <w:sz w:val="28"/>
              </w:rPr>
            </w:pPr>
          </w:p>
        </w:tc>
        <w:tc>
          <w:tcPr>
            <w:tcW w:w="567" w:type="dxa"/>
          </w:tcPr>
          <w:p w:rsidR="00604E2C" w:rsidRDefault="00604E2C">
            <w:pPr>
              <w:pStyle w:val="aa"/>
              <w:spacing w:line="360" w:lineRule="auto"/>
              <w:jc w:val="right"/>
              <w:rPr>
                <w:rFonts w:ascii="Times New Roman" w:hAnsi="Times New Roman"/>
                <w:b/>
                <w:spacing w:val="20"/>
                <w:sz w:val="28"/>
              </w:rPr>
            </w:pPr>
            <w:r>
              <w:rPr>
                <w:rFonts w:ascii="Times New Roman" w:hAnsi="Times New Roman"/>
                <w:b/>
                <w:spacing w:val="20"/>
                <w:sz w:val="28"/>
              </w:rPr>
              <w:t>14</w:t>
            </w:r>
          </w:p>
        </w:tc>
      </w:tr>
      <w:tr w:rsidR="00604E2C">
        <w:tc>
          <w:tcPr>
            <w:tcW w:w="8755" w:type="dxa"/>
          </w:tcPr>
          <w:p w:rsidR="00604E2C" w:rsidRDefault="00604E2C">
            <w:pPr>
              <w:pStyle w:val="aa"/>
              <w:spacing w:line="360" w:lineRule="auto"/>
              <w:jc w:val="both"/>
              <w:rPr>
                <w:rFonts w:ascii="Times New Roman" w:hAnsi="Times New Roman"/>
                <w:b/>
                <w:spacing w:val="20"/>
                <w:sz w:val="28"/>
              </w:rPr>
            </w:pPr>
            <w:r>
              <w:rPr>
                <w:rFonts w:ascii="Times New Roman" w:hAnsi="Times New Roman"/>
                <w:b/>
                <w:spacing w:val="20"/>
                <w:sz w:val="28"/>
              </w:rPr>
              <w:t>5.  Список используемой литературы</w:t>
            </w:r>
            <w:r>
              <w:rPr>
                <w:rFonts w:ascii="Times New Roman" w:hAnsi="Times New Roman"/>
                <w:spacing w:val="20"/>
                <w:sz w:val="28"/>
              </w:rPr>
              <w:t>…………………………</w:t>
            </w:r>
          </w:p>
          <w:p w:rsidR="00604E2C" w:rsidRDefault="00604E2C">
            <w:pPr>
              <w:pStyle w:val="aa"/>
              <w:spacing w:line="360" w:lineRule="auto"/>
              <w:jc w:val="both"/>
              <w:rPr>
                <w:rFonts w:ascii="Times New Roman" w:hAnsi="Times New Roman"/>
                <w:b/>
                <w:spacing w:val="20"/>
                <w:sz w:val="28"/>
              </w:rPr>
            </w:pPr>
          </w:p>
        </w:tc>
        <w:tc>
          <w:tcPr>
            <w:tcW w:w="567" w:type="dxa"/>
          </w:tcPr>
          <w:p w:rsidR="00604E2C" w:rsidRDefault="00604E2C">
            <w:pPr>
              <w:pStyle w:val="aa"/>
              <w:spacing w:line="360" w:lineRule="auto"/>
              <w:jc w:val="right"/>
              <w:rPr>
                <w:rFonts w:ascii="Times New Roman" w:hAnsi="Times New Roman"/>
                <w:b/>
                <w:spacing w:val="20"/>
                <w:sz w:val="28"/>
              </w:rPr>
            </w:pPr>
            <w:r>
              <w:rPr>
                <w:rFonts w:ascii="Times New Roman" w:hAnsi="Times New Roman"/>
                <w:b/>
                <w:spacing w:val="20"/>
                <w:sz w:val="28"/>
              </w:rPr>
              <w:t>18</w:t>
            </w:r>
          </w:p>
        </w:tc>
      </w:tr>
    </w:tbl>
    <w:p w:rsidR="00604E2C" w:rsidRDefault="00604E2C">
      <w:pPr>
        <w:pStyle w:val="5"/>
        <w:rPr>
          <w:spacing w:val="20"/>
        </w:rPr>
      </w:pP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pStyle w:val="a6"/>
        <w:spacing w:line="360" w:lineRule="auto"/>
        <w:rPr>
          <w:spacing w:val="20"/>
          <w:sz w:val="28"/>
        </w:rPr>
      </w:pP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spacing w:line="360" w:lineRule="auto"/>
        <w:rPr>
          <w:spacing w:val="20"/>
          <w:sz w:val="28"/>
        </w:rPr>
      </w:pPr>
    </w:p>
    <w:p w:rsidR="00604E2C" w:rsidRDefault="00604E2C">
      <w:pPr>
        <w:pStyle w:val="5"/>
        <w:spacing w:before="60" w:line="240" w:lineRule="auto"/>
        <w:rPr>
          <w:spacing w:val="20"/>
          <w:sz w:val="10"/>
        </w:rPr>
      </w:pPr>
    </w:p>
    <w:p w:rsidR="00604E2C" w:rsidRDefault="00604E2C">
      <w:pPr>
        <w:pStyle w:val="5"/>
        <w:spacing w:before="60" w:line="240" w:lineRule="auto"/>
        <w:rPr>
          <w:spacing w:val="20"/>
          <w:sz w:val="32"/>
        </w:rPr>
      </w:pPr>
      <w:r>
        <w:rPr>
          <w:spacing w:val="20"/>
          <w:sz w:val="32"/>
        </w:rPr>
        <w:t>1. ВВЕДЕНИЕ</w:t>
      </w:r>
    </w:p>
    <w:p w:rsidR="00604E2C" w:rsidRDefault="00604E2C">
      <w:pPr>
        <w:rPr>
          <w:spacing w:val="20"/>
          <w:sz w:val="16"/>
        </w:rPr>
      </w:pPr>
    </w:p>
    <w:p w:rsidR="00604E2C" w:rsidRDefault="00604E2C">
      <w:pPr>
        <w:rPr>
          <w:spacing w:val="20"/>
          <w:sz w:val="28"/>
        </w:rPr>
      </w:pPr>
    </w:p>
    <w:p w:rsidR="00604E2C" w:rsidRDefault="00604E2C">
      <w:pPr>
        <w:spacing w:line="360" w:lineRule="auto"/>
        <w:ind w:firstLine="709"/>
        <w:jc w:val="both"/>
        <w:rPr>
          <w:snapToGrid w:val="0"/>
          <w:spacing w:val="20"/>
          <w:sz w:val="28"/>
        </w:rPr>
      </w:pPr>
      <w:r>
        <w:rPr>
          <w:snapToGrid w:val="0"/>
          <w:spacing w:val="20"/>
          <w:sz w:val="28"/>
        </w:rPr>
        <w:t>Тема реорганизации юридических лиц сложна и обширна. Реорганизация - это прекращение деятельности юридического лица, сопровождающееся общим правопреемством. В результате реорганизации возникают одно либо несколько новых юридических лиц, являющихся обязанными по отношениям, в которых участвовало прекратившее существование юридическое лицо.</w:t>
      </w:r>
    </w:p>
    <w:p w:rsidR="00604E2C" w:rsidRDefault="00604E2C">
      <w:pPr>
        <w:spacing w:line="360" w:lineRule="auto"/>
        <w:ind w:firstLine="709"/>
        <w:jc w:val="both"/>
        <w:rPr>
          <w:snapToGrid w:val="0"/>
          <w:spacing w:val="20"/>
          <w:sz w:val="28"/>
        </w:rPr>
      </w:pPr>
      <w:r>
        <w:rPr>
          <w:snapToGrid w:val="0"/>
          <w:spacing w:val="20"/>
          <w:sz w:val="28"/>
        </w:rPr>
        <w:t>Ликвидация представляет собой прекращение деятельности юридического лица без правопреемства, т.е. прекращение как самого юридического лица, так и его прав и обязанностей.</w:t>
      </w:r>
    </w:p>
    <w:p w:rsidR="00604E2C" w:rsidRDefault="00604E2C">
      <w:pPr>
        <w:pStyle w:val="ac"/>
        <w:spacing w:line="360" w:lineRule="auto"/>
        <w:ind w:firstLine="709"/>
        <w:jc w:val="both"/>
        <w:rPr>
          <w:rFonts w:ascii="Times New Roman" w:hAnsi="Times New Roman"/>
          <w:spacing w:val="20"/>
          <w:sz w:val="28"/>
          <w:lang w:val="en-US"/>
        </w:rPr>
      </w:pPr>
      <w:r>
        <w:rPr>
          <w:rFonts w:ascii="Times New Roman" w:hAnsi="Times New Roman"/>
          <w:snapToGrid w:val="0"/>
          <w:spacing w:val="20"/>
          <w:sz w:val="28"/>
        </w:rPr>
        <w:t>И реорганизация, и ликвидация могут осуществляться как добровольно, так и принудительно.</w:t>
      </w:r>
    </w:p>
    <w:p w:rsidR="00604E2C" w:rsidRDefault="00604E2C">
      <w:pPr>
        <w:spacing w:line="360" w:lineRule="auto"/>
        <w:ind w:firstLine="709"/>
        <w:jc w:val="both"/>
        <w:rPr>
          <w:snapToGrid w:val="0"/>
          <w:spacing w:val="20"/>
          <w:sz w:val="28"/>
        </w:rPr>
      </w:pPr>
      <w:r>
        <w:rPr>
          <w:snapToGrid w:val="0"/>
          <w:spacing w:val="20"/>
          <w:sz w:val="28"/>
        </w:rPr>
        <w:t>Реорганизация представляет собой специфический способ прекращения действующих и образования новых юридических лиц (кроме случаев реорганизации в формах присоединения и выделения), влекущий переход прав и обязанностей от ранее действовавших юридических лиц к вновь возникшим.</w:t>
      </w:r>
    </w:p>
    <w:p w:rsidR="00604E2C" w:rsidRDefault="00604E2C">
      <w:pPr>
        <w:spacing w:line="360" w:lineRule="auto"/>
        <w:ind w:firstLine="709"/>
        <w:jc w:val="both"/>
        <w:rPr>
          <w:snapToGrid w:val="0"/>
          <w:spacing w:val="20"/>
          <w:sz w:val="28"/>
        </w:rPr>
      </w:pPr>
      <w:r>
        <w:rPr>
          <w:snapToGrid w:val="0"/>
          <w:spacing w:val="20"/>
          <w:sz w:val="28"/>
        </w:rPr>
        <w:t>Поскольку реорганизация всегда связана с имущественным правопреемством между юридическими лицами, при ее проведении существенное значение имеет вопрос об объеме прав и обязанностей, переходящих к правопреемнику. В результате реорганизации права и обязанности реорганизованных юридических лиц могут переходить:</w:t>
      </w:r>
    </w:p>
    <w:p w:rsidR="00604E2C" w:rsidRDefault="00604E2C">
      <w:pPr>
        <w:spacing w:line="360" w:lineRule="auto"/>
        <w:ind w:firstLine="709"/>
        <w:jc w:val="both"/>
        <w:rPr>
          <w:snapToGrid w:val="0"/>
          <w:spacing w:val="20"/>
          <w:sz w:val="28"/>
        </w:rPr>
      </w:pPr>
      <w:r>
        <w:rPr>
          <w:snapToGrid w:val="0"/>
          <w:spacing w:val="20"/>
          <w:sz w:val="28"/>
        </w:rPr>
        <w:t>а) в полном объеме только к одному правопреемнику (при слиянии, присоединении и преобразовании);</w:t>
      </w:r>
    </w:p>
    <w:p w:rsidR="00604E2C" w:rsidRDefault="00604E2C">
      <w:pPr>
        <w:spacing w:line="360" w:lineRule="auto"/>
        <w:ind w:firstLine="709"/>
        <w:jc w:val="both"/>
        <w:rPr>
          <w:snapToGrid w:val="0"/>
          <w:spacing w:val="20"/>
          <w:sz w:val="28"/>
        </w:rPr>
      </w:pPr>
      <w:r>
        <w:rPr>
          <w:snapToGrid w:val="0"/>
          <w:spacing w:val="20"/>
          <w:sz w:val="28"/>
        </w:rPr>
        <w:t>б) в полном объеме, но к нескольким правопреемникам в соответствующих частях (при разделении);</w:t>
      </w:r>
    </w:p>
    <w:p w:rsidR="00604E2C" w:rsidRDefault="00604E2C">
      <w:pPr>
        <w:pStyle w:val="ac"/>
        <w:spacing w:line="360" w:lineRule="auto"/>
        <w:ind w:firstLine="709"/>
        <w:jc w:val="both"/>
        <w:rPr>
          <w:rFonts w:ascii="Times New Roman" w:hAnsi="Times New Roman"/>
          <w:spacing w:val="20"/>
          <w:sz w:val="28"/>
          <w:lang w:val="en-US"/>
        </w:rPr>
      </w:pPr>
      <w:r>
        <w:rPr>
          <w:rFonts w:ascii="Times New Roman" w:hAnsi="Times New Roman"/>
          <w:snapToGrid w:val="0"/>
          <w:spacing w:val="20"/>
          <w:sz w:val="28"/>
        </w:rPr>
        <w:t>в) частично как к одному, так и к нескольким правопреемникам (при выделении).</w:t>
      </w:r>
    </w:p>
    <w:p w:rsidR="00604E2C" w:rsidRDefault="00604E2C">
      <w:pPr>
        <w:pStyle w:val="a6"/>
        <w:rPr>
          <w:spacing w:val="20"/>
        </w:rPr>
      </w:pPr>
    </w:p>
    <w:p w:rsidR="00604E2C" w:rsidRDefault="00604E2C">
      <w:pPr>
        <w:pStyle w:val="5"/>
        <w:spacing w:line="240" w:lineRule="auto"/>
        <w:rPr>
          <w:spacing w:val="20"/>
          <w:sz w:val="32"/>
        </w:rPr>
      </w:pPr>
      <w:r>
        <w:rPr>
          <w:spacing w:val="20"/>
          <w:sz w:val="32"/>
        </w:rPr>
        <w:t>2. ПОНЯТИЕ РЕОРГАНИЗАЦИИ</w:t>
      </w:r>
    </w:p>
    <w:p w:rsidR="00604E2C" w:rsidRDefault="00604E2C">
      <w:pPr>
        <w:pStyle w:val="5"/>
        <w:rPr>
          <w:spacing w:val="20"/>
          <w:sz w:val="32"/>
        </w:rPr>
      </w:pPr>
      <w:r>
        <w:rPr>
          <w:spacing w:val="20"/>
          <w:sz w:val="32"/>
        </w:rPr>
        <w:t>И ЕЁ ОТЛИЧИЯ ОТ ЛИКВИДАЦИИ</w:t>
      </w:r>
    </w:p>
    <w:p w:rsidR="00604E2C" w:rsidRDefault="00604E2C">
      <w:pPr>
        <w:rPr>
          <w:spacing w:val="20"/>
          <w:sz w:val="28"/>
        </w:rPr>
      </w:pP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Реорганизация   представляет   собой   одну   из   форм прекращения деятельности юридических лиц и создания новых.  В отличие от ликвидации  реорганизация  не  означает  погашения  обязательств юридического лица,  прекращающего  деятельность.</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 xml:space="preserve"> Все его права и обязанности переходят  к  вновь  образованным юридическим лицам  - его правопреемникам.</w:t>
      </w:r>
    </w:p>
    <w:p w:rsidR="00604E2C" w:rsidRDefault="00604E2C">
      <w:pPr>
        <w:spacing w:line="360" w:lineRule="auto"/>
        <w:ind w:firstLine="709"/>
        <w:jc w:val="both"/>
        <w:rPr>
          <w:snapToGrid w:val="0"/>
          <w:spacing w:val="20"/>
          <w:sz w:val="28"/>
        </w:rPr>
      </w:pPr>
      <w:r>
        <w:rPr>
          <w:spacing w:val="20"/>
          <w:sz w:val="28"/>
        </w:rPr>
        <w:t xml:space="preserve"> Правопреемство при  реорганизации  носит  универсальный</w:t>
      </w:r>
      <w:r>
        <w:rPr>
          <w:spacing w:val="20"/>
          <w:sz w:val="28"/>
          <w:lang w:val="en-US"/>
        </w:rPr>
        <w:t xml:space="preserve"> </w:t>
      </w:r>
      <w:r>
        <w:rPr>
          <w:spacing w:val="20"/>
          <w:sz w:val="28"/>
        </w:rPr>
        <w:t>(общий) характер.   Предполагается,    что,    во-первых,</w:t>
      </w:r>
      <w:r>
        <w:rPr>
          <w:spacing w:val="20"/>
          <w:sz w:val="28"/>
          <w:lang w:val="en-US"/>
        </w:rPr>
        <w:t xml:space="preserve"> п</w:t>
      </w:r>
      <w:r>
        <w:rPr>
          <w:spacing w:val="20"/>
          <w:sz w:val="28"/>
        </w:rPr>
        <w:t>равопреемникам передаются не отдельные права и  обязанности, а весь их комплекс. И,  во-вторых,  организация-правопреемник не вправе  отказаться  от  принятия  каких-либо  обязательств реорганизуемого юридического лица.</w:t>
      </w:r>
      <w:r>
        <w:rPr>
          <w:snapToGrid w:val="0"/>
          <w:spacing w:val="20"/>
          <w:sz w:val="28"/>
        </w:rPr>
        <w:t xml:space="preserve"> </w:t>
      </w:r>
    </w:p>
    <w:p w:rsidR="00604E2C" w:rsidRDefault="00604E2C">
      <w:pPr>
        <w:spacing w:line="360" w:lineRule="auto"/>
        <w:ind w:firstLine="709"/>
        <w:jc w:val="both"/>
        <w:rPr>
          <w:snapToGrid w:val="0"/>
          <w:spacing w:val="20"/>
          <w:sz w:val="28"/>
        </w:rPr>
      </w:pPr>
      <w:r>
        <w:rPr>
          <w:snapToGrid w:val="0"/>
          <w:spacing w:val="20"/>
          <w:sz w:val="28"/>
        </w:rPr>
        <w:t>В процессе реорганизации необходимо решить все вопросы, связанные с определением субъектов, к которым переходят конкретные права и обязанности. Наиболее актуальна эта проблема, безусловно, для реорганизации в формах разделения и выделения, поскольку при слиянии, присоединении и преобразовании возникает одно юридическое лицо, которое и является правопреемником всех реорганизованных.</w:t>
      </w:r>
    </w:p>
    <w:p w:rsidR="00604E2C" w:rsidRDefault="00604E2C">
      <w:pPr>
        <w:spacing w:line="360" w:lineRule="auto"/>
        <w:ind w:firstLine="709"/>
        <w:jc w:val="both"/>
        <w:rPr>
          <w:snapToGrid w:val="0"/>
          <w:spacing w:val="20"/>
          <w:sz w:val="28"/>
        </w:rPr>
      </w:pPr>
      <w:r>
        <w:rPr>
          <w:snapToGrid w:val="0"/>
          <w:spacing w:val="20"/>
          <w:sz w:val="28"/>
        </w:rPr>
        <w:t>При реорганизации составляется разделительный баланс (в случаях разделения и выделения) или передаточный акт (в случаях слияния, преобразования и присоединения).</w:t>
      </w:r>
    </w:p>
    <w:p w:rsidR="00604E2C" w:rsidRDefault="00604E2C">
      <w:pPr>
        <w:spacing w:line="360" w:lineRule="auto"/>
        <w:ind w:firstLine="709"/>
        <w:jc w:val="both"/>
        <w:rPr>
          <w:snapToGrid w:val="0"/>
          <w:spacing w:val="20"/>
          <w:sz w:val="28"/>
        </w:rPr>
      </w:pPr>
      <w:r>
        <w:rPr>
          <w:snapToGrid w:val="0"/>
          <w:spacing w:val="20"/>
          <w:sz w:val="28"/>
        </w:rPr>
        <w:t>Разделительный баланс должен содержать однозначный ответ на вопрос о том, к какому именно юридическому лицу перешло каждое конкретное обязательство.</w:t>
      </w:r>
    </w:p>
    <w:p w:rsidR="00604E2C" w:rsidRDefault="00604E2C">
      <w:pPr>
        <w:pStyle w:val="ac"/>
        <w:spacing w:line="360" w:lineRule="auto"/>
        <w:ind w:firstLine="709"/>
        <w:jc w:val="both"/>
        <w:rPr>
          <w:rFonts w:ascii="Times New Roman" w:hAnsi="Times New Roman"/>
          <w:snapToGrid w:val="0"/>
          <w:spacing w:val="20"/>
          <w:sz w:val="28"/>
        </w:rPr>
      </w:pPr>
      <w:r>
        <w:rPr>
          <w:rFonts w:ascii="Times New Roman" w:hAnsi="Times New Roman"/>
          <w:snapToGrid w:val="0"/>
          <w:spacing w:val="20"/>
          <w:sz w:val="28"/>
        </w:rPr>
        <w:t>И передаточный акт, и разделительный баланс должны включать в себя сведения обо всех без исключения обязательствах должника,  включая  те,  в  отношении  которых реорганизующееся</w:t>
      </w:r>
    </w:p>
    <w:p w:rsidR="00604E2C" w:rsidRDefault="00604E2C">
      <w:pPr>
        <w:pStyle w:val="ac"/>
        <w:spacing w:line="360" w:lineRule="auto"/>
        <w:jc w:val="both"/>
        <w:rPr>
          <w:rFonts w:ascii="Times New Roman" w:hAnsi="Times New Roman"/>
          <w:snapToGrid w:val="0"/>
          <w:spacing w:val="20"/>
          <w:sz w:val="28"/>
        </w:rPr>
      </w:pPr>
    </w:p>
    <w:p w:rsidR="00604E2C" w:rsidRDefault="00604E2C">
      <w:pPr>
        <w:pStyle w:val="ac"/>
        <w:spacing w:line="360" w:lineRule="auto"/>
        <w:jc w:val="both"/>
        <w:rPr>
          <w:rFonts w:ascii="Times New Roman" w:hAnsi="Times New Roman"/>
          <w:snapToGrid w:val="0"/>
          <w:spacing w:val="20"/>
          <w:sz w:val="28"/>
        </w:rPr>
      </w:pPr>
    </w:p>
    <w:p w:rsidR="00604E2C" w:rsidRDefault="00604E2C">
      <w:pPr>
        <w:pStyle w:val="ac"/>
        <w:spacing w:line="360" w:lineRule="auto"/>
        <w:jc w:val="both"/>
        <w:rPr>
          <w:rFonts w:ascii="Times New Roman" w:hAnsi="Times New Roman"/>
          <w:spacing w:val="20"/>
          <w:sz w:val="28"/>
        </w:rPr>
      </w:pPr>
      <w:r>
        <w:rPr>
          <w:rFonts w:ascii="Times New Roman" w:hAnsi="Times New Roman"/>
          <w:snapToGrid w:val="0"/>
          <w:spacing w:val="20"/>
          <w:sz w:val="28"/>
        </w:rPr>
        <w:t>юридическое лицо считает, что у него есть основания их не исполнять.</w:t>
      </w:r>
    </w:p>
    <w:p w:rsidR="00604E2C" w:rsidRDefault="00604E2C">
      <w:pPr>
        <w:pStyle w:val="ac"/>
        <w:spacing w:line="360" w:lineRule="auto"/>
        <w:ind w:firstLine="720"/>
        <w:jc w:val="both"/>
        <w:rPr>
          <w:rFonts w:ascii="Times New Roman" w:hAnsi="Times New Roman"/>
          <w:spacing w:val="20"/>
          <w:sz w:val="28"/>
        </w:rPr>
      </w:pPr>
      <w:r>
        <w:rPr>
          <w:rFonts w:ascii="Times New Roman" w:hAnsi="Times New Roman"/>
          <w:spacing w:val="20"/>
          <w:sz w:val="28"/>
        </w:rPr>
        <w:t xml:space="preserve">Решение   о   реорганизации    может    быть    принято учредителями  (участниками)  либо   соответствующим   органом юридического лица. Здесь все зависит от  его  организационно-правовой  формы. </w:t>
      </w:r>
    </w:p>
    <w:p w:rsidR="00604E2C" w:rsidRDefault="00604E2C">
      <w:pPr>
        <w:pStyle w:val="ac"/>
        <w:spacing w:line="360" w:lineRule="auto"/>
        <w:ind w:firstLine="720"/>
        <w:jc w:val="both"/>
        <w:rPr>
          <w:rFonts w:ascii="Times New Roman" w:hAnsi="Times New Roman"/>
          <w:spacing w:val="20"/>
          <w:sz w:val="28"/>
        </w:rPr>
      </w:pPr>
      <w:r>
        <w:rPr>
          <w:rFonts w:ascii="Times New Roman" w:hAnsi="Times New Roman"/>
          <w:spacing w:val="20"/>
          <w:sz w:val="28"/>
        </w:rPr>
        <w:t>В  ряде  случаев  для  реорганизации   в   форме слияния, присоединения и преобразования  может  потребоваться согласие Государственного комитета  Российской  Федерации  по антимонопольной  политике  и  поддержке  новых  экономических структур (ГКАП РФ).</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 xml:space="preserve"> Законодательство  о  конкуренции  и   монополистической деятельности допускает принудительную реорганизацию  в  форме разделения   и    выделения.    Решение    о    необходимости реорганизации принимается  ГКАП  РФ  и  его  территориальными управлениями. Юридические лица, получившие  его  предписания, обязаны  провести  реорганизацию  в  установленный  срок.   В противном  случае  суд  по  иску  ГКАП  РФ  должен  назначить внешнего  управляющего  юридическим  лицом  и  поручить   ему провести   реорганизацию.   Учредительные   документы   вновь создающихся  организаций,  а  также   разделительный   баланс утверждаются судом и регистрируются в общем порядке.</w:t>
      </w:r>
    </w:p>
    <w:p w:rsidR="00604E2C" w:rsidRDefault="00604E2C">
      <w:pPr>
        <w:pStyle w:val="ac"/>
        <w:spacing w:line="360" w:lineRule="auto"/>
        <w:ind w:firstLine="709"/>
        <w:jc w:val="both"/>
        <w:rPr>
          <w:rFonts w:ascii="Times New Roman" w:hAnsi="Times New Roman"/>
          <w:snapToGrid w:val="0"/>
          <w:spacing w:val="20"/>
          <w:sz w:val="28"/>
        </w:rPr>
      </w:pPr>
      <w:r>
        <w:rPr>
          <w:rFonts w:ascii="Times New Roman" w:hAnsi="Times New Roman"/>
          <w:snapToGrid w:val="0"/>
          <w:spacing w:val="20"/>
          <w:sz w:val="28"/>
        </w:rPr>
        <w:t>Реорганизация юридического лица может осуществляться только в соответствии с Гражданским кодексом РФ. В противном случае решение о реорганизации или ликвидации юридического лица, а также акт о регистрации юридического лица, созданного в результате реорганизации другого юридического лица, признаются судом недействительными.</w:t>
      </w:r>
    </w:p>
    <w:p w:rsidR="00604E2C" w:rsidRDefault="00604E2C">
      <w:pPr>
        <w:pStyle w:val="ac"/>
        <w:spacing w:line="360" w:lineRule="auto"/>
        <w:ind w:firstLine="709"/>
        <w:jc w:val="both"/>
        <w:rPr>
          <w:rFonts w:ascii="Times New Roman" w:hAnsi="Times New Roman"/>
          <w:snapToGrid w:val="0"/>
          <w:spacing w:val="20"/>
          <w:sz w:val="28"/>
        </w:rPr>
      </w:pPr>
      <w:r>
        <w:rPr>
          <w:rFonts w:ascii="Times New Roman" w:hAnsi="Times New Roman"/>
          <w:snapToGrid w:val="0"/>
          <w:spacing w:val="20"/>
          <w:sz w:val="28"/>
        </w:rPr>
        <w:t xml:space="preserve">Реорганизация акционерного общества может быть осуществлена в форме слияния, присоединения, разделения, </w:t>
      </w:r>
    </w:p>
    <w:p w:rsidR="00604E2C" w:rsidRDefault="00604E2C">
      <w:pPr>
        <w:pStyle w:val="ac"/>
        <w:spacing w:line="360" w:lineRule="auto"/>
        <w:jc w:val="both"/>
        <w:rPr>
          <w:rFonts w:ascii="Times New Roman" w:hAnsi="Times New Roman"/>
          <w:snapToGrid w:val="0"/>
          <w:spacing w:val="20"/>
          <w:sz w:val="28"/>
        </w:rPr>
      </w:pPr>
    </w:p>
    <w:p w:rsidR="00604E2C" w:rsidRDefault="00604E2C">
      <w:pPr>
        <w:pStyle w:val="ac"/>
        <w:spacing w:line="360" w:lineRule="auto"/>
        <w:jc w:val="both"/>
        <w:rPr>
          <w:rFonts w:ascii="Times New Roman" w:hAnsi="Times New Roman"/>
          <w:snapToGrid w:val="0"/>
          <w:spacing w:val="20"/>
          <w:sz w:val="28"/>
        </w:rPr>
      </w:pPr>
    </w:p>
    <w:p w:rsidR="00604E2C" w:rsidRDefault="00604E2C">
      <w:pPr>
        <w:pStyle w:val="ac"/>
        <w:spacing w:line="360" w:lineRule="auto"/>
        <w:jc w:val="both"/>
        <w:rPr>
          <w:rFonts w:ascii="Times New Roman" w:hAnsi="Times New Roman"/>
          <w:snapToGrid w:val="0"/>
          <w:spacing w:val="20"/>
          <w:sz w:val="10"/>
        </w:rPr>
      </w:pPr>
    </w:p>
    <w:p w:rsidR="00604E2C" w:rsidRDefault="00604E2C">
      <w:pPr>
        <w:pStyle w:val="ac"/>
        <w:spacing w:line="360" w:lineRule="auto"/>
        <w:jc w:val="both"/>
        <w:rPr>
          <w:rFonts w:ascii="Times New Roman" w:hAnsi="Times New Roman"/>
          <w:snapToGrid w:val="0"/>
          <w:spacing w:val="20"/>
          <w:sz w:val="28"/>
        </w:rPr>
      </w:pPr>
      <w:r>
        <w:rPr>
          <w:rFonts w:ascii="Times New Roman" w:hAnsi="Times New Roman"/>
          <w:snapToGrid w:val="0"/>
          <w:spacing w:val="20"/>
          <w:sz w:val="28"/>
        </w:rPr>
        <w:t xml:space="preserve">выделения и преобразования. Изменение  типа акционерного общества не является реорганизацией, так как не меняется организационно-правовая форма. Следовательно, в этом случае нормы, касающиеся реорганизации, будут неприменимы. </w:t>
      </w:r>
    </w:p>
    <w:p w:rsidR="00604E2C" w:rsidRDefault="00604E2C">
      <w:pPr>
        <w:pStyle w:val="ac"/>
        <w:spacing w:line="360" w:lineRule="auto"/>
        <w:ind w:firstLine="709"/>
        <w:jc w:val="both"/>
        <w:rPr>
          <w:rFonts w:ascii="Times New Roman" w:hAnsi="Times New Roman"/>
          <w:snapToGrid w:val="0"/>
          <w:spacing w:val="20"/>
          <w:sz w:val="28"/>
        </w:rPr>
      </w:pPr>
      <w:r>
        <w:rPr>
          <w:rFonts w:ascii="Times New Roman" w:hAnsi="Times New Roman"/>
          <w:snapToGrid w:val="0"/>
          <w:spacing w:val="20"/>
          <w:sz w:val="28"/>
        </w:rPr>
        <w:t xml:space="preserve">Любая добровольная реорганизация начинается с принятия соответствующего решения. В акционерном обществе этот вопрос относится к компетенции общего собрания акционеров. Следует принять во внимание такие важные формальные требования: </w:t>
      </w:r>
    </w:p>
    <w:p w:rsidR="00604E2C" w:rsidRDefault="00604E2C">
      <w:pPr>
        <w:pStyle w:val="ac"/>
        <w:spacing w:line="360" w:lineRule="auto"/>
        <w:ind w:firstLine="709"/>
        <w:jc w:val="both"/>
        <w:rPr>
          <w:rFonts w:ascii="Times New Roman" w:hAnsi="Times New Roman"/>
          <w:snapToGrid w:val="0"/>
          <w:spacing w:val="20"/>
          <w:sz w:val="28"/>
        </w:rPr>
      </w:pPr>
      <w:r>
        <w:rPr>
          <w:rFonts w:ascii="Times New Roman" w:hAnsi="Times New Roman"/>
          <w:snapToGrid w:val="0"/>
          <w:spacing w:val="20"/>
          <w:sz w:val="28"/>
        </w:rPr>
        <w:t xml:space="preserve">а) решение о реорганизации принимается только по предложению совета директоров, если иное не установлено уставом общества; </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napToGrid w:val="0"/>
          <w:spacing w:val="20"/>
          <w:sz w:val="28"/>
        </w:rPr>
        <w:t>б) решение о реорганизации принимается общим собранием акционеров большинством в три четверти голосов акционеров владельцев голосующих акций, принимающих участие в общем собрании акционеров, причем при решении вопроса о реорганизации акционеры владельцы привилегированных акций участвуют в общем собрании акционеров с правом голоса.</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Ликвидация коммерческих организаций в отличие от реорганизации влечёт их прекращение без перехода прав и обязанностей в порядке правопреемства к другим лицам (п. 1 ст. 61 ГК).</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 xml:space="preserve">Ликвидация коммерческих организаций может быть </w:t>
      </w:r>
      <w:r>
        <w:rPr>
          <w:rFonts w:ascii="Times New Roman" w:hAnsi="Times New Roman"/>
          <w:i/>
          <w:spacing w:val="20"/>
          <w:sz w:val="28"/>
        </w:rPr>
        <w:t>добровольной</w:t>
      </w:r>
      <w:r>
        <w:rPr>
          <w:rFonts w:ascii="Times New Roman" w:hAnsi="Times New Roman"/>
          <w:spacing w:val="20"/>
          <w:sz w:val="28"/>
        </w:rPr>
        <w:t xml:space="preserve"> или </w:t>
      </w:r>
      <w:r>
        <w:rPr>
          <w:rFonts w:ascii="Times New Roman" w:hAnsi="Times New Roman"/>
          <w:i/>
          <w:spacing w:val="20"/>
          <w:sz w:val="28"/>
        </w:rPr>
        <w:t xml:space="preserve">принудительной. Добровольная </w:t>
      </w:r>
      <w:r>
        <w:rPr>
          <w:rFonts w:ascii="Times New Roman" w:hAnsi="Times New Roman"/>
          <w:spacing w:val="20"/>
          <w:sz w:val="28"/>
        </w:rPr>
        <w:t xml:space="preserve">ликвидация коммерческих организаций осуществляется по решению их учредителей (участников) либо органа коммерческой организации, уполномоченного на то учредительными документами. В данном случае перечень оснований ликвидации коммерческой организации, предусмотренных Гражданским Кодексом, является примерным. В частности к ним относятся: </w:t>
      </w:r>
    </w:p>
    <w:p w:rsidR="00604E2C" w:rsidRDefault="00604E2C">
      <w:pPr>
        <w:pStyle w:val="ac"/>
        <w:spacing w:line="360" w:lineRule="auto"/>
        <w:ind w:firstLine="709"/>
        <w:jc w:val="both"/>
        <w:rPr>
          <w:rFonts w:ascii="Times New Roman" w:hAnsi="Times New Roman"/>
          <w:spacing w:val="20"/>
          <w:sz w:val="28"/>
        </w:rPr>
      </w:pPr>
    </w:p>
    <w:p w:rsidR="00604E2C" w:rsidRDefault="00604E2C">
      <w:pPr>
        <w:pStyle w:val="ac"/>
        <w:spacing w:line="360" w:lineRule="auto"/>
        <w:ind w:firstLine="709"/>
        <w:jc w:val="both"/>
        <w:rPr>
          <w:rFonts w:ascii="Times New Roman" w:hAnsi="Times New Roman"/>
          <w:spacing w:val="20"/>
          <w:sz w:val="36"/>
        </w:rPr>
      </w:pPr>
    </w:p>
    <w:p w:rsidR="00604E2C" w:rsidRDefault="00604E2C">
      <w:pPr>
        <w:pStyle w:val="ac"/>
        <w:numPr>
          <w:ilvl w:val="0"/>
          <w:numId w:val="43"/>
        </w:numPr>
        <w:spacing w:line="360" w:lineRule="auto"/>
        <w:jc w:val="both"/>
        <w:rPr>
          <w:rFonts w:ascii="Times New Roman" w:hAnsi="Times New Roman"/>
          <w:spacing w:val="20"/>
          <w:sz w:val="28"/>
        </w:rPr>
      </w:pPr>
      <w:r>
        <w:rPr>
          <w:rFonts w:ascii="Times New Roman" w:hAnsi="Times New Roman"/>
          <w:spacing w:val="20"/>
          <w:sz w:val="28"/>
        </w:rPr>
        <w:t xml:space="preserve">истечение срока, на который создана коммерческая организация; </w:t>
      </w:r>
    </w:p>
    <w:p w:rsidR="00604E2C" w:rsidRDefault="00604E2C">
      <w:pPr>
        <w:pStyle w:val="ac"/>
        <w:numPr>
          <w:ilvl w:val="0"/>
          <w:numId w:val="43"/>
        </w:numPr>
        <w:spacing w:line="360" w:lineRule="auto"/>
        <w:jc w:val="both"/>
        <w:rPr>
          <w:rFonts w:ascii="Times New Roman" w:hAnsi="Times New Roman"/>
          <w:spacing w:val="20"/>
          <w:sz w:val="28"/>
        </w:rPr>
      </w:pPr>
      <w:r>
        <w:rPr>
          <w:rFonts w:ascii="Times New Roman" w:hAnsi="Times New Roman"/>
          <w:spacing w:val="20"/>
          <w:sz w:val="28"/>
        </w:rPr>
        <w:t>достижение цели, ради которой создана коммерческая организация;</w:t>
      </w:r>
    </w:p>
    <w:p w:rsidR="00604E2C" w:rsidRDefault="00604E2C">
      <w:pPr>
        <w:pStyle w:val="ac"/>
        <w:numPr>
          <w:ilvl w:val="0"/>
          <w:numId w:val="43"/>
        </w:numPr>
        <w:spacing w:line="360" w:lineRule="auto"/>
        <w:jc w:val="both"/>
        <w:rPr>
          <w:rFonts w:ascii="Times New Roman" w:hAnsi="Times New Roman"/>
          <w:spacing w:val="20"/>
          <w:sz w:val="28"/>
        </w:rPr>
      </w:pPr>
      <w:r>
        <w:rPr>
          <w:rFonts w:ascii="Times New Roman" w:hAnsi="Times New Roman"/>
          <w:spacing w:val="20"/>
          <w:sz w:val="28"/>
        </w:rPr>
        <w:t>признание судом недействительной регистрации коммерческой организации.</w:t>
      </w:r>
    </w:p>
    <w:p w:rsidR="00604E2C" w:rsidRDefault="00604E2C">
      <w:pPr>
        <w:pStyle w:val="20"/>
        <w:spacing w:line="360" w:lineRule="auto"/>
        <w:ind w:left="0" w:firstLine="709"/>
        <w:rPr>
          <w:spacing w:val="20"/>
        </w:rPr>
      </w:pPr>
      <w:r>
        <w:rPr>
          <w:i/>
          <w:spacing w:val="20"/>
        </w:rPr>
        <w:t xml:space="preserve">Принудительная </w:t>
      </w:r>
      <w:r>
        <w:rPr>
          <w:spacing w:val="20"/>
        </w:rPr>
        <w:t xml:space="preserve">ликвидация коммерческой организации решением суда  по  основаниям,  предусмотренным  ГК.  </w:t>
      </w:r>
    </w:p>
    <w:p w:rsidR="00604E2C" w:rsidRDefault="00604E2C">
      <w:pPr>
        <w:pStyle w:val="20"/>
        <w:spacing w:line="360" w:lineRule="auto"/>
        <w:ind w:left="0" w:firstLine="709"/>
        <w:rPr>
          <w:spacing w:val="20"/>
        </w:rPr>
      </w:pPr>
      <w:r>
        <w:rPr>
          <w:spacing w:val="20"/>
        </w:rPr>
        <w:t xml:space="preserve">В иных  правовых актах, в том числе в иных законах, такие основания предусмотрены быть не могут. К ним относятся: </w:t>
      </w:r>
    </w:p>
    <w:p w:rsidR="00604E2C" w:rsidRDefault="00604E2C">
      <w:pPr>
        <w:numPr>
          <w:ilvl w:val="0"/>
          <w:numId w:val="42"/>
        </w:numPr>
        <w:spacing w:line="360" w:lineRule="auto"/>
        <w:jc w:val="both"/>
        <w:rPr>
          <w:spacing w:val="20"/>
          <w:sz w:val="28"/>
        </w:rPr>
      </w:pPr>
      <w:r>
        <w:rPr>
          <w:spacing w:val="20"/>
          <w:sz w:val="28"/>
        </w:rPr>
        <w:t>осуществление деятельности, запрещённой законом;</w:t>
      </w:r>
    </w:p>
    <w:p w:rsidR="00604E2C" w:rsidRDefault="00604E2C">
      <w:pPr>
        <w:numPr>
          <w:ilvl w:val="0"/>
          <w:numId w:val="42"/>
        </w:numPr>
        <w:spacing w:line="360" w:lineRule="auto"/>
        <w:jc w:val="both"/>
        <w:rPr>
          <w:b/>
          <w:i/>
          <w:spacing w:val="20"/>
          <w:sz w:val="28"/>
        </w:rPr>
      </w:pPr>
      <w:r>
        <w:rPr>
          <w:spacing w:val="20"/>
          <w:sz w:val="28"/>
        </w:rPr>
        <w:t>осуществление деятельности без надлежащего разрешения (лицензии);</w:t>
      </w:r>
    </w:p>
    <w:p w:rsidR="00604E2C" w:rsidRDefault="00604E2C">
      <w:pPr>
        <w:numPr>
          <w:ilvl w:val="0"/>
          <w:numId w:val="42"/>
        </w:numPr>
        <w:spacing w:line="360" w:lineRule="auto"/>
        <w:jc w:val="both"/>
        <w:rPr>
          <w:b/>
          <w:i/>
          <w:spacing w:val="20"/>
          <w:sz w:val="28"/>
        </w:rPr>
      </w:pPr>
      <w:r>
        <w:rPr>
          <w:spacing w:val="20"/>
          <w:sz w:val="28"/>
        </w:rPr>
        <w:t>осуществление деятельности с иными неоднократными или грубыми нарушениями закона или иных правовых актов                     (п. 2 ст. 61 ГК);</w:t>
      </w:r>
    </w:p>
    <w:p w:rsidR="00604E2C" w:rsidRDefault="00604E2C">
      <w:pPr>
        <w:numPr>
          <w:ilvl w:val="0"/>
          <w:numId w:val="42"/>
        </w:numPr>
        <w:spacing w:line="360" w:lineRule="auto"/>
        <w:jc w:val="both"/>
        <w:rPr>
          <w:b/>
          <w:i/>
          <w:spacing w:val="20"/>
          <w:sz w:val="28"/>
        </w:rPr>
      </w:pPr>
      <w:r>
        <w:rPr>
          <w:spacing w:val="20"/>
          <w:sz w:val="28"/>
        </w:rPr>
        <w:t>признание коммерческих организаций (кроме казённых предприятий) несостоятельными (п. 1 ст. 65 ГК);</w:t>
      </w:r>
    </w:p>
    <w:p w:rsidR="00604E2C" w:rsidRDefault="00604E2C">
      <w:pPr>
        <w:numPr>
          <w:ilvl w:val="0"/>
          <w:numId w:val="42"/>
        </w:numPr>
        <w:spacing w:line="360" w:lineRule="auto"/>
        <w:jc w:val="both"/>
        <w:rPr>
          <w:b/>
          <w:i/>
          <w:spacing w:val="20"/>
          <w:sz w:val="28"/>
        </w:rPr>
      </w:pPr>
      <w:r>
        <w:rPr>
          <w:spacing w:val="20"/>
          <w:sz w:val="28"/>
        </w:rPr>
        <w:t>уменьшение стоимости чистых активов коммерческой организации ниже уровня минимального размера уставного капитала  (п. 4 ст. 90, п. 4 ст. 99, п. 5 ст. 114 ГК).</w:t>
      </w:r>
    </w:p>
    <w:p w:rsidR="00604E2C" w:rsidRDefault="00604E2C">
      <w:pPr>
        <w:spacing w:line="360" w:lineRule="auto"/>
        <w:ind w:firstLine="709"/>
        <w:jc w:val="both"/>
        <w:rPr>
          <w:spacing w:val="20"/>
          <w:sz w:val="28"/>
        </w:rPr>
      </w:pPr>
      <w:r>
        <w:rPr>
          <w:spacing w:val="20"/>
          <w:sz w:val="28"/>
        </w:rPr>
        <w:t>Требование о ликвидации коммерческой организации по основаниям, указанным в п. 2 ст. 61 ГК, может быть предъявлено в арбитражный суд государственным органом или органом местного самоуправления, которому право на предъявление такого требования представлено законом  (п. 3 ст. 61 ГК).</w:t>
      </w:r>
    </w:p>
    <w:p w:rsidR="00604E2C" w:rsidRDefault="00604E2C">
      <w:pPr>
        <w:spacing w:line="360" w:lineRule="auto"/>
        <w:ind w:firstLine="709"/>
        <w:jc w:val="both"/>
        <w:rPr>
          <w:spacing w:val="20"/>
          <w:sz w:val="28"/>
        </w:rPr>
      </w:pPr>
      <w:r>
        <w:rPr>
          <w:spacing w:val="20"/>
          <w:sz w:val="28"/>
        </w:rPr>
        <w:t>Органы, не имеющие по закону соответствующего права, обращаться в арбитражный суд с требованием о ликвидации коммерческой организации не могут.</w:t>
      </w:r>
    </w:p>
    <w:p w:rsidR="00604E2C" w:rsidRDefault="00604E2C">
      <w:pPr>
        <w:spacing w:line="360" w:lineRule="auto"/>
        <w:ind w:firstLine="709"/>
        <w:jc w:val="both"/>
        <w:rPr>
          <w:spacing w:val="20"/>
          <w:sz w:val="28"/>
        </w:rPr>
      </w:pPr>
    </w:p>
    <w:p w:rsidR="00604E2C" w:rsidRDefault="00604E2C">
      <w:pPr>
        <w:spacing w:line="360" w:lineRule="auto"/>
        <w:ind w:firstLine="709"/>
        <w:jc w:val="both"/>
        <w:rPr>
          <w:spacing w:val="20"/>
          <w:sz w:val="16"/>
        </w:rPr>
      </w:pPr>
    </w:p>
    <w:p w:rsidR="00604E2C" w:rsidRDefault="00604E2C">
      <w:pPr>
        <w:spacing w:line="360" w:lineRule="auto"/>
        <w:ind w:firstLine="709"/>
        <w:jc w:val="both"/>
        <w:rPr>
          <w:spacing w:val="20"/>
          <w:sz w:val="16"/>
        </w:rPr>
      </w:pPr>
    </w:p>
    <w:p w:rsidR="00604E2C" w:rsidRDefault="00604E2C">
      <w:pPr>
        <w:spacing w:line="360" w:lineRule="auto"/>
        <w:ind w:firstLine="709"/>
        <w:jc w:val="both"/>
        <w:rPr>
          <w:spacing w:val="20"/>
          <w:sz w:val="28"/>
        </w:rPr>
      </w:pPr>
      <w:r>
        <w:rPr>
          <w:spacing w:val="20"/>
          <w:sz w:val="28"/>
        </w:rPr>
        <w:t xml:space="preserve">Суд, принявший решение о ликвидации коммерческой организации, непосредственно не занимается её ликвидацией. В данном случае обязанности по осуществлению ликвидации коммерческой организации решением суда возлагаются на учредителей коммерческой </w:t>
      </w:r>
    </w:p>
    <w:p w:rsidR="00604E2C" w:rsidRDefault="00604E2C">
      <w:pPr>
        <w:pStyle w:val="a5"/>
        <w:spacing w:after="0" w:line="360" w:lineRule="auto"/>
        <w:ind w:firstLine="709"/>
        <w:rPr>
          <w:spacing w:val="20"/>
          <w:sz w:val="28"/>
        </w:rPr>
      </w:pPr>
      <w:r>
        <w:rPr>
          <w:spacing w:val="20"/>
          <w:sz w:val="28"/>
        </w:rPr>
        <w:t>организации либо орган, уполномоченный на ликвидацию коммерческой организации её учредительными документами (п. 3 ст. 61 ГК).</w:t>
      </w:r>
    </w:p>
    <w:p w:rsidR="00604E2C" w:rsidRDefault="00604E2C">
      <w:pPr>
        <w:spacing w:line="360" w:lineRule="auto"/>
        <w:ind w:firstLine="709"/>
        <w:jc w:val="both"/>
        <w:rPr>
          <w:spacing w:val="20"/>
          <w:sz w:val="28"/>
        </w:rPr>
      </w:pPr>
      <w:r>
        <w:rPr>
          <w:spacing w:val="20"/>
          <w:sz w:val="28"/>
        </w:rPr>
        <w:t>Порядок ликвидации коммерческих организаций в зависимости от последовательности действий ликвидационной комиссии можно разделить на ряд стадий.</w:t>
      </w:r>
    </w:p>
    <w:p w:rsidR="00604E2C" w:rsidRDefault="00604E2C">
      <w:pPr>
        <w:spacing w:line="360" w:lineRule="auto"/>
        <w:ind w:firstLine="709"/>
        <w:jc w:val="both"/>
        <w:rPr>
          <w:spacing w:val="20"/>
          <w:sz w:val="28"/>
        </w:rPr>
      </w:pPr>
      <w:r>
        <w:rPr>
          <w:spacing w:val="20"/>
          <w:sz w:val="28"/>
        </w:rPr>
        <w:t xml:space="preserve">Во-первых, ликвидационная комиссия помещает в органах печати, в которых публикуются данные о государственной регистрации коммерческих организаций, публикацию о её ликвидации. </w:t>
      </w:r>
    </w:p>
    <w:p w:rsidR="00604E2C" w:rsidRDefault="00604E2C">
      <w:pPr>
        <w:spacing w:line="360" w:lineRule="auto"/>
        <w:ind w:firstLine="709"/>
        <w:jc w:val="both"/>
        <w:rPr>
          <w:spacing w:val="20"/>
          <w:sz w:val="28"/>
        </w:rPr>
      </w:pPr>
      <w:r>
        <w:rPr>
          <w:spacing w:val="20"/>
          <w:sz w:val="28"/>
        </w:rPr>
        <w:t>В объявлении указывается порядок и срок заявления кредиторами своих требований к ликвидируемой коммерческой организации. Этот срок не может быть менее двух месяцев с момента публикации о ликвидации.</w:t>
      </w:r>
    </w:p>
    <w:p w:rsidR="00604E2C" w:rsidRDefault="00604E2C">
      <w:pPr>
        <w:spacing w:line="360" w:lineRule="auto"/>
        <w:ind w:firstLine="709"/>
        <w:jc w:val="both"/>
        <w:rPr>
          <w:spacing w:val="20"/>
          <w:sz w:val="28"/>
        </w:rPr>
      </w:pPr>
      <w:r>
        <w:rPr>
          <w:spacing w:val="20"/>
          <w:sz w:val="28"/>
        </w:rPr>
        <w:t>Кроме того, ликвидационная комиссия должна выявить кредиторов ликвидируемой коммерческой организации и персонально уведомить их о ликвидации коммерческой организации, а также установить должников ликвидируемой коммерческой организации и взыскать с них задолженность, в том числе путём предъявления исков  в суд.</w:t>
      </w:r>
    </w:p>
    <w:p w:rsidR="00604E2C" w:rsidRDefault="00604E2C">
      <w:pPr>
        <w:spacing w:line="360" w:lineRule="auto"/>
        <w:ind w:firstLine="709"/>
        <w:jc w:val="both"/>
        <w:rPr>
          <w:spacing w:val="20"/>
          <w:sz w:val="28"/>
        </w:rPr>
      </w:pPr>
      <w:r>
        <w:rPr>
          <w:spacing w:val="20"/>
          <w:sz w:val="28"/>
        </w:rPr>
        <w:t>Во-вторых, ликвидационная комиссия, после истечения срока для предъявления требований кредиторами, составляет промежуточный ликвидационный баланс. Он должен содержать сведения о составе и стоимости имущества ликвидируемой коммерческой организации, перечне предъявленных кредиторам требований и результатах их рассмотрения.</w:t>
      </w:r>
    </w:p>
    <w:p w:rsidR="00604E2C" w:rsidRDefault="00604E2C">
      <w:pPr>
        <w:spacing w:line="360" w:lineRule="auto"/>
        <w:ind w:firstLine="709"/>
        <w:jc w:val="both"/>
        <w:rPr>
          <w:spacing w:val="20"/>
          <w:sz w:val="16"/>
        </w:rPr>
      </w:pPr>
    </w:p>
    <w:p w:rsidR="00604E2C" w:rsidRDefault="00604E2C">
      <w:pPr>
        <w:spacing w:line="360" w:lineRule="auto"/>
        <w:ind w:firstLine="709"/>
        <w:jc w:val="both"/>
        <w:rPr>
          <w:spacing w:val="20"/>
          <w:sz w:val="28"/>
        </w:rPr>
      </w:pPr>
      <w:r>
        <w:rPr>
          <w:spacing w:val="20"/>
          <w:sz w:val="28"/>
        </w:rPr>
        <w:t>В-третьих, при недостаточности у ликвидируемой коммерческой организации денежных средств для удовлетворения требований кредиторов ликвидационная комиссия должна осуществить продажу с публичных торгов имущества коммерческой организации в порядке, установленном для исполнения судебных решений, и в размере, обеспечивающем удовлетворение всех признанных требований кредиторов. При этом следует иметь в виду, что при недостаточности у ликвидируемого казённого предприятия имущества для удовлетворения требований кредиторов последние вправе обратиться в суд с иском об удовлетворении оставшейся части требований за счёт собственника имущества этого предприятия - Российской Федерации (п. 6 ст. 63, п. 5 ст. 115 ГК).</w:t>
      </w:r>
    </w:p>
    <w:p w:rsidR="00604E2C" w:rsidRDefault="00604E2C">
      <w:pPr>
        <w:spacing w:line="360" w:lineRule="auto"/>
        <w:ind w:firstLine="709"/>
        <w:jc w:val="both"/>
        <w:rPr>
          <w:spacing w:val="20"/>
          <w:sz w:val="28"/>
        </w:rPr>
      </w:pPr>
      <w:r>
        <w:rPr>
          <w:spacing w:val="20"/>
          <w:sz w:val="28"/>
        </w:rPr>
        <w:t xml:space="preserve">В-четвёртых, ликвидационная комиссия осуществляет выплату денежных сумм кредиторам ликвидируемой коммерческой организации в порядке очерёдности, установленной ст. 64 ГК. </w:t>
      </w:r>
    </w:p>
    <w:p w:rsidR="00604E2C" w:rsidRDefault="00604E2C">
      <w:pPr>
        <w:spacing w:line="360" w:lineRule="auto"/>
        <w:ind w:firstLine="709"/>
        <w:jc w:val="both"/>
        <w:rPr>
          <w:spacing w:val="20"/>
          <w:sz w:val="28"/>
        </w:rPr>
      </w:pPr>
      <w:r>
        <w:rPr>
          <w:spacing w:val="20"/>
          <w:sz w:val="28"/>
        </w:rPr>
        <w:t>В соответствии со ст. 64 ГК требования кредиторов ликвидируемой коммерческой организации подлежат удовлетворению в следующей очерёдности:</w:t>
      </w:r>
    </w:p>
    <w:p w:rsidR="00604E2C" w:rsidRDefault="00604E2C">
      <w:pPr>
        <w:numPr>
          <w:ilvl w:val="0"/>
          <w:numId w:val="42"/>
        </w:numPr>
        <w:spacing w:line="360" w:lineRule="auto"/>
        <w:jc w:val="both"/>
        <w:rPr>
          <w:spacing w:val="20"/>
          <w:sz w:val="28"/>
        </w:rPr>
      </w:pPr>
      <w:r>
        <w:rPr>
          <w:spacing w:val="20"/>
          <w:sz w:val="28"/>
        </w:rPr>
        <w:t>в первую очередь удовлетворяются требования граждан, перед которыми ликвидируемая организация несёт ответственность за причинение вреда жизни или здоровью. Путём капитализации соответствующих повременных платежей;</w:t>
      </w:r>
    </w:p>
    <w:p w:rsidR="00604E2C" w:rsidRDefault="00604E2C">
      <w:pPr>
        <w:numPr>
          <w:ilvl w:val="0"/>
          <w:numId w:val="42"/>
        </w:numPr>
        <w:spacing w:line="360" w:lineRule="auto"/>
        <w:jc w:val="both"/>
        <w:rPr>
          <w:spacing w:val="20"/>
          <w:sz w:val="28"/>
        </w:rPr>
      </w:pPr>
      <w:r>
        <w:rPr>
          <w:spacing w:val="20"/>
          <w:sz w:val="28"/>
        </w:rPr>
        <w:t>во вторую очередь производятся расчёты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604E2C" w:rsidRDefault="00604E2C">
      <w:pPr>
        <w:numPr>
          <w:ilvl w:val="0"/>
          <w:numId w:val="42"/>
        </w:numPr>
        <w:spacing w:line="360" w:lineRule="auto"/>
        <w:jc w:val="both"/>
        <w:rPr>
          <w:spacing w:val="20"/>
          <w:sz w:val="28"/>
        </w:rPr>
      </w:pPr>
      <w:r>
        <w:rPr>
          <w:spacing w:val="20"/>
          <w:sz w:val="28"/>
        </w:rPr>
        <w:t>в третью очередь удовлетворяются требования кредиторов по обязательствам, обеспеченным залогом имущества ликвидируемой организации;</w:t>
      </w:r>
    </w:p>
    <w:p w:rsidR="00604E2C" w:rsidRDefault="00604E2C">
      <w:pPr>
        <w:spacing w:line="360" w:lineRule="auto"/>
        <w:ind w:left="709"/>
        <w:jc w:val="both"/>
        <w:rPr>
          <w:spacing w:val="20"/>
          <w:sz w:val="28"/>
        </w:rPr>
      </w:pPr>
    </w:p>
    <w:p w:rsidR="00604E2C" w:rsidRDefault="00604E2C">
      <w:pPr>
        <w:numPr>
          <w:ilvl w:val="0"/>
          <w:numId w:val="42"/>
        </w:numPr>
        <w:spacing w:line="360" w:lineRule="auto"/>
        <w:jc w:val="both"/>
        <w:rPr>
          <w:spacing w:val="20"/>
          <w:sz w:val="28"/>
        </w:rPr>
      </w:pPr>
      <w:r>
        <w:rPr>
          <w:spacing w:val="20"/>
          <w:sz w:val="28"/>
        </w:rPr>
        <w:t>в четвёртую очередь погашается задолженность по обязательным платежам в бюджет и во внебюджетные фонды;</w:t>
      </w:r>
    </w:p>
    <w:p w:rsidR="00604E2C" w:rsidRDefault="00604E2C">
      <w:pPr>
        <w:numPr>
          <w:ilvl w:val="0"/>
          <w:numId w:val="42"/>
        </w:numPr>
        <w:spacing w:line="360" w:lineRule="auto"/>
        <w:jc w:val="both"/>
        <w:rPr>
          <w:spacing w:val="20"/>
          <w:sz w:val="28"/>
        </w:rPr>
      </w:pPr>
      <w:r>
        <w:rPr>
          <w:spacing w:val="20"/>
          <w:sz w:val="28"/>
        </w:rPr>
        <w:t>в пятую очередь производятся  расчёты с другими кредиторами.</w:t>
      </w:r>
    </w:p>
    <w:p w:rsidR="00604E2C" w:rsidRDefault="00604E2C">
      <w:pPr>
        <w:pStyle w:val="30"/>
        <w:ind w:firstLine="709"/>
        <w:rPr>
          <w:spacing w:val="20"/>
        </w:rPr>
      </w:pPr>
      <w:r>
        <w:rPr>
          <w:spacing w:val="20"/>
        </w:rPr>
        <w:t>Требования каждой очереди удовлетворяются после полного удовлетворения требований предыдущей очереди. При недостаточности имущества ликвидируемой коммерческой организации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604E2C" w:rsidRDefault="00604E2C">
      <w:pPr>
        <w:spacing w:line="360" w:lineRule="auto"/>
        <w:ind w:firstLine="709"/>
        <w:jc w:val="both"/>
        <w:rPr>
          <w:spacing w:val="20"/>
          <w:sz w:val="28"/>
        </w:rPr>
      </w:pPr>
      <w:r>
        <w:rPr>
          <w:spacing w:val="20"/>
          <w:sz w:val="28"/>
        </w:rPr>
        <w:t>Требования кредиторов. Не удовлетворённые из-за недостаточности имущества ликвидируемой коммерческой организации,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604E2C" w:rsidRDefault="00604E2C">
      <w:pPr>
        <w:spacing w:line="360" w:lineRule="auto"/>
        <w:ind w:firstLine="709"/>
        <w:jc w:val="both"/>
        <w:rPr>
          <w:spacing w:val="20"/>
          <w:sz w:val="28"/>
        </w:rPr>
      </w:pPr>
      <w:r>
        <w:rPr>
          <w:spacing w:val="20"/>
          <w:sz w:val="28"/>
        </w:rPr>
        <w:t>Ликвидация коммерческой организации считается завершённой, а коммерческая организация – прекратившей существование после внесения об этом записи в единый государственный реестр юридических лиц.</w:t>
      </w:r>
    </w:p>
    <w:p w:rsidR="00604E2C" w:rsidRDefault="00604E2C">
      <w:pPr>
        <w:ind w:firstLine="709"/>
        <w:rPr>
          <w:spacing w:val="20"/>
          <w:sz w:val="28"/>
        </w:rPr>
      </w:pPr>
    </w:p>
    <w:p w:rsidR="00604E2C" w:rsidRDefault="00604E2C">
      <w:pPr>
        <w:pStyle w:val="Iauiue"/>
        <w:widowControl w:val="0"/>
        <w:jc w:val="both"/>
        <w:rPr>
          <w:spacing w:val="20"/>
          <w:sz w:val="28"/>
        </w:rPr>
      </w:pPr>
    </w:p>
    <w:p w:rsidR="00604E2C" w:rsidRDefault="00604E2C">
      <w:pPr>
        <w:pStyle w:val="5"/>
        <w:spacing w:line="240" w:lineRule="auto"/>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pStyle w:val="5"/>
        <w:rPr>
          <w:spacing w:val="20"/>
          <w:sz w:val="32"/>
        </w:rPr>
      </w:pPr>
      <w:r>
        <w:rPr>
          <w:spacing w:val="20"/>
          <w:sz w:val="32"/>
        </w:rPr>
        <w:t>3. ВИДЫ РЕОРГАНИЗАЦИИ</w:t>
      </w:r>
    </w:p>
    <w:p w:rsidR="00604E2C" w:rsidRDefault="00604E2C">
      <w:pPr>
        <w:rPr>
          <w:spacing w:val="20"/>
          <w:sz w:val="28"/>
        </w:rPr>
      </w:pP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В Гражданском кодексе выделено пять форм  реорганизации   слияние,   присоединение,   разделение,    выделение и преобразование.</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 xml:space="preserve"> При </w:t>
      </w:r>
      <w:r>
        <w:rPr>
          <w:rFonts w:ascii="Times New Roman" w:hAnsi="Times New Roman"/>
          <w:i/>
          <w:spacing w:val="20"/>
          <w:sz w:val="28"/>
        </w:rPr>
        <w:t>слиянии</w:t>
      </w:r>
      <w:r>
        <w:rPr>
          <w:rFonts w:ascii="Times New Roman" w:hAnsi="Times New Roman"/>
          <w:spacing w:val="20"/>
          <w:sz w:val="28"/>
        </w:rPr>
        <w:t xml:space="preserve"> каждое из  объединяющихся  юридических  лиц</w:t>
      </w:r>
      <w:r>
        <w:rPr>
          <w:rFonts w:ascii="Times New Roman" w:hAnsi="Times New Roman"/>
          <w:spacing w:val="20"/>
          <w:sz w:val="28"/>
          <w:lang w:val="en-US"/>
        </w:rPr>
        <w:t xml:space="preserve"> </w:t>
      </w:r>
      <w:r>
        <w:rPr>
          <w:rFonts w:ascii="Times New Roman" w:hAnsi="Times New Roman"/>
          <w:spacing w:val="20"/>
          <w:sz w:val="28"/>
        </w:rPr>
        <w:t xml:space="preserve">прекращает деятельность, его права и обязанности переходят  к вновь   образованному   юридическому   лицу.  </w:t>
      </w:r>
    </w:p>
    <w:p w:rsidR="00604E2C" w:rsidRDefault="00604E2C">
      <w:pPr>
        <w:spacing w:line="360" w:lineRule="auto"/>
        <w:ind w:firstLine="709"/>
        <w:jc w:val="both"/>
        <w:rPr>
          <w:snapToGrid w:val="0"/>
          <w:spacing w:val="20"/>
          <w:sz w:val="28"/>
        </w:rPr>
      </w:pPr>
      <w:r>
        <w:rPr>
          <w:snapToGrid w:val="0"/>
          <w:spacing w:val="20"/>
          <w:sz w:val="28"/>
        </w:rPr>
        <w:t>В некоторых случаях при реорганизации следует предварительно получить согласие государственных органов. Необходимость такого согласия (точнее, необходимость представления особых документов) может быть установлена законом. В настоящее время закон "О конкуренции и ограничении монополистической деятельности на товарных рынках" от 22 марта 1991 г. N 948-1 предусматривает либо получение согласия Государственного антимонополистического комитета, либо его обязательное уведомление.</w:t>
      </w:r>
    </w:p>
    <w:p w:rsidR="00604E2C" w:rsidRDefault="00604E2C">
      <w:pPr>
        <w:spacing w:line="360" w:lineRule="auto"/>
        <w:ind w:firstLine="709"/>
        <w:jc w:val="both"/>
        <w:rPr>
          <w:snapToGrid w:val="0"/>
          <w:spacing w:val="20"/>
          <w:sz w:val="28"/>
        </w:rPr>
      </w:pPr>
      <w:r>
        <w:rPr>
          <w:snapToGrid w:val="0"/>
          <w:spacing w:val="20"/>
          <w:sz w:val="28"/>
        </w:rPr>
        <w:t>Согласие указанного органа необходимо в следующих случаях:</w:t>
      </w:r>
    </w:p>
    <w:p w:rsidR="00604E2C" w:rsidRDefault="00604E2C">
      <w:pPr>
        <w:spacing w:line="360" w:lineRule="auto"/>
        <w:ind w:firstLine="709"/>
        <w:jc w:val="both"/>
        <w:rPr>
          <w:snapToGrid w:val="0"/>
          <w:spacing w:val="20"/>
          <w:sz w:val="28"/>
        </w:rPr>
      </w:pPr>
      <w:r>
        <w:rPr>
          <w:snapToGrid w:val="0"/>
          <w:spacing w:val="20"/>
          <w:sz w:val="28"/>
        </w:rPr>
        <w:t>а) при слиянии или присоединении любых объединений (ассоциаций и союзов) коммерческих организаций;</w:t>
      </w:r>
    </w:p>
    <w:p w:rsidR="00604E2C" w:rsidRDefault="00604E2C">
      <w:pPr>
        <w:spacing w:line="360" w:lineRule="auto"/>
        <w:ind w:firstLine="709"/>
        <w:jc w:val="both"/>
        <w:rPr>
          <w:snapToGrid w:val="0"/>
          <w:spacing w:val="20"/>
          <w:sz w:val="28"/>
        </w:rPr>
      </w:pPr>
      <w:r>
        <w:rPr>
          <w:snapToGrid w:val="0"/>
          <w:spacing w:val="20"/>
          <w:sz w:val="28"/>
        </w:rPr>
        <w:t>б) при слиянии или присоединении коммерческих организаций, общая сумма активов которых составляет более 100 тыс. минимальных размеров оплаты труда;</w:t>
      </w:r>
    </w:p>
    <w:p w:rsidR="00604E2C" w:rsidRDefault="00604E2C">
      <w:pPr>
        <w:spacing w:line="360" w:lineRule="auto"/>
        <w:ind w:firstLine="709"/>
        <w:jc w:val="both"/>
        <w:rPr>
          <w:snapToGrid w:val="0"/>
          <w:spacing w:val="20"/>
          <w:sz w:val="28"/>
        </w:rPr>
      </w:pPr>
      <w:r>
        <w:rPr>
          <w:snapToGrid w:val="0"/>
          <w:spacing w:val="20"/>
          <w:sz w:val="28"/>
        </w:rPr>
        <w:t>в) при разделении или выделении унитарных предприятий, стоимость активов которых превышает 50 тыс. МРОТ, если в результате появится хозяйствующий субъект, доля которого на рынке превысит 35%.</w:t>
      </w:r>
    </w:p>
    <w:p w:rsidR="00604E2C" w:rsidRDefault="00604E2C">
      <w:pPr>
        <w:spacing w:line="360" w:lineRule="auto"/>
        <w:ind w:firstLine="709"/>
        <w:jc w:val="both"/>
        <w:rPr>
          <w:snapToGrid w:val="0"/>
          <w:spacing w:val="20"/>
          <w:sz w:val="28"/>
        </w:rPr>
      </w:pPr>
      <w:r>
        <w:rPr>
          <w:snapToGrid w:val="0"/>
          <w:spacing w:val="20"/>
          <w:sz w:val="28"/>
        </w:rPr>
        <w:t xml:space="preserve">Уведомление антимонопольных органов о состоявшейся реорганизации   должно   быть   осуществлено,   если  в результате </w:t>
      </w:r>
    </w:p>
    <w:p w:rsidR="00604E2C" w:rsidRDefault="00604E2C">
      <w:pPr>
        <w:spacing w:line="360" w:lineRule="auto"/>
        <w:jc w:val="both"/>
        <w:rPr>
          <w:snapToGrid w:val="0"/>
          <w:spacing w:val="20"/>
          <w:sz w:val="28"/>
        </w:rPr>
      </w:pPr>
    </w:p>
    <w:p w:rsidR="00604E2C" w:rsidRDefault="00604E2C">
      <w:pPr>
        <w:spacing w:line="360" w:lineRule="auto"/>
        <w:jc w:val="both"/>
        <w:rPr>
          <w:snapToGrid w:val="0"/>
          <w:spacing w:val="20"/>
          <w:sz w:val="28"/>
        </w:rPr>
      </w:pPr>
    </w:p>
    <w:p w:rsidR="00604E2C" w:rsidRDefault="00604E2C">
      <w:pPr>
        <w:spacing w:line="360" w:lineRule="auto"/>
        <w:jc w:val="both"/>
        <w:rPr>
          <w:snapToGrid w:val="0"/>
          <w:spacing w:val="20"/>
          <w:sz w:val="28"/>
        </w:rPr>
      </w:pPr>
      <w:r>
        <w:rPr>
          <w:snapToGrid w:val="0"/>
          <w:spacing w:val="20"/>
          <w:sz w:val="28"/>
        </w:rPr>
        <w:t>слияния или присоединения стоимость активов организации превысит 50 тыс. МРОТ.</w:t>
      </w:r>
    </w:p>
    <w:p w:rsidR="00604E2C" w:rsidRDefault="00604E2C">
      <w:pPr>
        <w:pStyle w:val="af"/>
        <w:ind w:left="0" w:right="0" w:firstLine="709"/>
      </w:pPr>
      <w:r>
        <w:t>Судебная практика уточняет, что при отсутствии согласия Антимонопольного комитета РФ (его территориального управления) на создание союза, ассоциации или другого объединения предприятий (акционерного общества) акт государственной регистрации этого объединения должен быть признан недействительным.</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 xml:space="preserve">  </w:t>
      </w:r>
      <w:r>
        <w:rPr>
          <w:rFonts w:ascii="Times New Roman" w:hAnsi="Times New Roman"/>
          <w:i/>
          <w:spacing w:val="20"/>
          <w:sz w:val="28"/>
        </w:rPr>
        <w:t>Присоединение</w:t>
      </w:r>
      <w:r>
        <w:rPr>
          <w:rFonts w:ascii="Times New Roman" w:hAnsi="Times New Roman"/>
          <w:spacing w:val="20"/>
          <w:sz w:val="28"/>
        </w:rPr>
        <w:t xml:space="preserve"> предполагает,   что   одно   юридическое   лицо    прекращает деятельность и его права и обязанности переходят  к  другому, уже  существующему   юридическому   лицу.   Его   статус   не изменяется,  для  него  решение  о  реорганизации  фактически означает  согласие   принять   обязательства   присоединяемой организации и внесение соответствующих изменений в устав. </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i/>
          <w:spacing w:val="20"/>
          <w:sz w:val="28"/>
        </w:rPr>
        <w:t>Разделение и выделение</w:t>
      </w:r>
      <w:r>
        <w:rPr>
          <w:rFonts w:ascii="Times New Roman" w:hAnsi="Times New Roman"/>
          <w:spacing w:val="20"/>
          <w:sz w:val="28"/>
        </w:rPr>
        <w:t>,  в  принципе,  схожи.  Различие состоит  в  том,  что   при   разделении   одна   организация прекращает деятельность и  на  ее  базе  создается  несколько новых юридических лиц, а при выделении  на  базе  структурных единиц  основной  организации  образуются  новые  юридические лица, но сама она продолжает существовать.</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 xml:space="preserve"> Суть </w:t>
      </w:r>
      <w:r>
        <w:rPr>
          <w:rFonts w:ascii="Times New Roman" w:hAnsi="Times New Roman"/>
          <w:i/>
          <w:spacing w:val="20"/>
          <w:sz w:val="28"/>
        </w:rPr>
        <w:t>преобразования</w:t>
      </w:r>
      <w:r>
        <w:rPr>
          <w:rFonts w:ascii="Times New Roman" w:hAnsi="Times New Roman"/>
          <w:spacing w:val="20"/>
          <w:sz w:val="28"/>
        </w:rPr>
        <w:t xml:space="preserve"> в том, что юридическое  лицо  одной организационно-правовой  формы  прекращает  деятельность,   а вместо  него  образуется  новое   юридическое   лицо   другой организационно-правовой   формы.    Никаких    количественных изменений участников гражданского оборота не происходит.  Все права и обязанности организации,  прекратившей  деятельность, переходят к одному правопреемнику.  По  сути,  преобразование является наиболее распространенной  формой  реорганизации.  К примеру,       приватизация         государственных       предприятий </w:t>
      </w:r>
    </w:p>
    <w:p w:rsidR="00604E2C" w:rsidRDefault="00604E2C">
      <w:pPr>
        <w:pStyle w:val="ac"/>
        <w:spacing w:line="360" w:lineRule="auto"/>
        <w:jc w:val="both"/>
        <w:rPr>
          <w:rFonts w:ascii="Times New Roman" w:hAnsi="Times New Roman"/>
          <w:spacing w:val="20"/>
          <w:sz w:val="28"/>
        </w:rPr>
      </w:pPr>
    </w:p>
    <w:p w:rsidR="00604E2C" w:rsidRDefault="00604E2C">
      <w:pPr>
        <w:pStyle w:val="ac"/>
        <w:spacing w:line="360" w:lineRule="auto"/>
        <w:jc w:val="both"/>
        <w:rPr>
          <w:rFonts w:ascii="Times New Roman" w:hAnsi="Times New Roman"/>
          <w:spacing w:val="20"/>
          <w:sz w:val="28"/>
        </w:rPr>
      </w:pPr>
    </w:p>
    <w:p w:rsidR="00604E2C" w:rsidRDefault="00604E2C">
      <w:pPr>
        <w:pStyle w:val="ac"/>
        <w:spacing w:line="360" w:lineRule="auto"/>
        <w:jc w:val="both"/>
        <w:rPr>
          <w:rFonts w:ascii="Times New Roman" w:hAnsi="Times New Roman"/>
          <w:spacing w:val="20"/>
          <w:sz w:val="28"/>
        </w:rPr>
      </w:pPr>
      <w:r>
        <w:rPr>
          <w:rFonts w:ascii="Times New Roman" w:hAnsi="Times New Roman"/>
          <w:spacing w:val="20"/>
          <w:sz w:val="28"/>
        </w:rPr>
        <w:t xml:space="preserve">представляет  собой  не  что  иное   как   преобразование   в акционерное   общество. </w:t>
      </w:r>
    </w:p>
    <w:p w:rsidR="00604E2C" w:rsidRDefault="00604E2C">
      <w:pPr>
        <w:pStyle w:val="ac"/>
        <w:spacing w:line="360" w:lineRule="auto"/>
        <w:ind w:firstLine="709"/>
        <w:jc w:val="both"/>
        <w:rPr>
          <w:rFonts w:ascii="Times New Roman" w:hAnsi="Times New Roman"/>
          <w:spacing w:val="20"/>
          <w:sz w:val="28"/>
        </w:rPr>
      </w:pPr>
      <w:r>
        <w:rPr>
          <w:rFonts w:ascii="Times New Roman" w:hAnsi="Times New Roman"/>
          <w:spacing w:val="20"/>
          <w:sz w:val="28"/>
        </w:rPr>
        <w:t>Гражданский  кодекс и  другие  законы,   в   частности Федеральный   закон    "О    некоммерческих    организациях", устанавливают  определенные  ограничения  на  преобразование.</w:t>
      </w:r>
    </w:p>
    <w:p w:rsidR="00604E2C" w:rsidRDefault="00604E2C">
      <w:pPr>
        <w:pStyle w:val="ac"/>
        <w:tabs>
          <w:tab w:val="left" w:pos="-851"/>
        </w:tabs>
        <w:spacing w:line="360" w:lineRule="auto"/>
        <w:ind w:firstLine="709"/>
        <w:jc w:val="both"/>
        <w:rPr>
          <w:rFonts w:ascii="Times New Roman" w:hAnsi="Times New Roman"/>
          <w:spacing w:val="20"/>
          <w:sz w:val="28"/>
        </w:rPr>
      </w:pPr>
      <w:r>
        <w:rPr>
          <w:rFonts w:ascii="Times New Roman" w:hAnsi="Times New Roman"/>
          <w:spacing w:val="20"/>
          <w:sz w:val="28"/>
        </w:rPr>
        <w:t xml:space="preserve"> Так, коммерческие  организации  не  могут  преобразоваться  в некоммерческие, общества с  ограниченной  ответственностью  и акционерные общества  - в  товарищества  или  государственные</w:t>
      </w:r>
      <w:r>
        <w:rPr>
          <w:rFonts w:ascii="Times New Roman" w:hAnsi="Times New Roman"/>
          <w:spacing w:val="20"/>
          <w:sz w:val="28"/>
          <w:lang w:val="en-US"/>
        </w:rPr>
        <w:t xml:space="preserve"> </w:t>
      </w:r>
      <w:r>
        <w:rPr>
          <w:rFonts w:ascii="Times New Roman" w:hAnsi="Times New Roman"/>
          <w:spacing w:val="20"/>
          <w:sz w:val="28"/>
        </w:rPr>
        <w:t>предприятия.</w:t>
      </w:r>
    </w:p>
    <w:p w:rsidR="00604E2C" w:rsidRDefault="00604E2C">
      <w:pPr>
        <w:pStyle w:val="20"/>
        <w:tabs>
          <w:tab w:val="left" w:pos="-851"/>
        </w:tabs>
        <w:spacing w:line="360" w:lineRule="auto"/>
        <w:ind w:left="0" w:firstLine="709"/>
        <w:rPr>
          <w:spacing w:val="20"/>
        </w:rPr>
      </w:pPr>
      <w:r>
        <w:rPr>
          <w:spacing w:val="20"/>
        </w:rPr>
        <w:t>Реорганизация коммерческих организаций может существенным образом затрагивать интересы их кредиторов. Учитывая это, законодатель предусмотрел гарантии прав кредиторов коммерческой организации при её реорганизации (ст. 60 ГК). Прежде всего это обязанность учредителей (участников) коммерческой организации или органа, принявшего решение о реорганизации коммерческой организации, письменно уведомить об этом кредиторов реорганизуемой коммерческой организации.</w:t>
      </w:r>
    </w:p>
    <w:p w:rsidR="00604E2C" w:rsidRDefault="00604E2C">
      <w:pPr>
        <w:pStyle w:val="20"/>
        <w:tabs>
          <w:tab w:val="left" w:pos="-851"/>
        </w:tabs>
        <w:spacing w:line="360" w:lineRule="auto"/>
        <w:ind w:left="0" w:firstLine="709"/>
        <w:rPr>
          <w:spacing w:val="20"/>
        </w:rPr>
      </w:pPr>
      <w:r>
        <w:rPr>
          <w:spacing w:val="20"/>
        </w:rPr>
        <w:t>По общему правилу, коммерческая организация считается реорганизованной с момента государственной регистрации вновь возникших коммерческих организаций. И лишь при реорганизации коммерческих организаций в форме присоединения реорганизация считается завершённой с момента внесения в единый государственный реестр юридических лиц записи о прекращении деятельности присоединённой коммерческой организации (п. 4 ст. 57 ГК).</w:t>
      </w:r>
    </w:p>
    <w:p w:rsidR="00604E2C" w:rsidRDefault="00604E2C">
      <w:pPr>
        <w:pStyle w:val="20"/>
        <w:tabs>
          <w:tab w:val="left" w:pos="-851"/>
        </w:tabs>
        <w:spacing w:line="360" w:lineRule="auto"/>
        <w:ind w:left="0" w:firstLine="709"/>
        <w:rPr>
          <w:spacing w:val="20"/>
        </w:rPr>
      </w:pPr>
      <w:r>
        <w:rPr>
          <w:spacing w:val="20"/>
        </w:rPr>
        <w:t xml:space="preserve">Государственная регистрация возникших при реорганизации коммерческих организаций, а также внесение записей в единый государственный реестр юридических лиц (при присоединении) происходит в общем порядке. В соответствии со ст. 59 ГК основаниями   для   отказа  в  государственной  регистрации вновь </w:t>
      </w:r>
    </w:p>
    <w:p w:rsidR="00604E2C" w:rsidRDefault="00604E2C">
      <w:pPr>
        <w:pStyle w:val="20"/>
        <w:tabs>
          <w:tab w:val="left" w:pos="-851"/>
        </w:tabs>
        <w:spacing w:line="360" w:lineRule="auto"/>
        <w:ind w:left="0"/>
        <w:rPr>
          <w:spacing w:val="20"/>
        </w:rPr>
      </w:pPr>
    </w:p>
    <w:p w:rsidR="00604E2C" w:rsidRDefault="00604E2C">
      <w:pPr>
        <w:pStyle w:val="20"/>
        <w:tabs>
          <w:tab w:val="left" w:pos="-851"/>
        </w:tabs>
        <w:spacing w:line="360" w:lineRule="auto"/>
        <w:ind w:left="0"/>
        <w:rPr>
          <w:spacing w:val="20"/>
        </w:rPr>
      </w:pPr>
    </w:p>
    <w:p w:rsidR="00604E2C" w:rsidRDefault="00604E2C">
      <w:pPr>
        <w:pStyle w:val="20"/>
        <w:tabs>
          <w:tab w:val="left" w:pos="-851"/>
        </w:tabs>
        <w:spacing w:line="360" w:lineRule="auto"/>
        <w:ind w:left="0"/>
        <w:rPr>
          <w:spacing w:val="20"/>
        </w:rPr>
      </w:pPr>
      <w:r>
        <w:rPr>
          <w:spacing w:val="20"/>
        </w:rPr>
        <w:t>возникших коммерческих организаций являются непредставление вместе с учредительными документами передаточного   акта   или  разделительного  баланса  либо  отсутствие  в  них положений о правопреемстве по обязательствам реорганизованной коммерческой организации. Отказ в государственной регистрации, а также уклонение от такой регистрации могут быть обжалованы в суде.</w:t>
      </w:r>
    </w:p>
    <w:p w:rsidR="00604E2C" w:rsidRDefault="00604E2C">
      <w:pPr>
        <w:pStyle w:val="5"/>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rPr>
      </w:pPr>
    </w:p>
    <w:p w:rsidR="00604E2C" w:rsidRDefault="00604E2C">
      <w:pPr>
        <w:rPr>
          <w:spacing w:val="20"/>
          <w:sz w:val="28"/>
        </w:rPr>
      </w:pPr>
    </w:p>
    <w:p w:rsidR="00604E2C" w:rsidRDefault="00604E2C">
      <w:pPr>
        <w:pStyle w:val="5"/>
        <w:rPr>
          <w:spacing w:val="20"/>
          <w:sz w:val="32"/>
        </w:rPr>
      </w:pPr>
      <w:r>
        <w:rPr>
          <w:spacing w:val="20"/>
          <w:sz w:val="32"/>
        </w:rPr>
        <w:t>4. ЗАКЛЮЧЕНИЕ</w:t>
      </w:r>
    </w:p>
    <w:p w:rsidR="00604E2C" w:rsidRDefault="00604E2C">
      <w:pPr>
        <w:rPr>
          <w:spacing w:val="20"/>
          <w:sz w:val="28"/>
        </w:rPr>
      </w:pPr>
    </w:p>
    <w:p w:rsidR="00604E2C" w:rsidRDefault="00604E2C">
      <w:pPr>
        <w:spacing w:line="360" w:lineRule="auto"/>
        <w:ind w:firstLine="709"/>
        <w:jc w:val="both"/>
        <w:rPr>
          <w:snapToGrid w:val="0"/>
          <w:spacing w:val="20"/>
          <w:sz w:val="28"/>
        </w:rPr>
      </w:pPr>
      <w:r>
        <w:rPr>
          <w:snapToGrid w:val="0"/>
          <w:spacing w:val="20"/>
          <w:sz w:val="28"/>
        </w:rPr>
        <w:t>Реорганизация представляет собой прекращение юридического лица с переходом прав и обязанностей. При ней деятельность подвергшегося реорганизации юридического лица продолжают другие лица.</w:t>
      </w:r>
    </w:p>
    <w:p w:rsidR="00604E2C" w:rsidRDefault="00604E2C">
      <w:pPr>
        <w:spacing w:line="360" w:lineRule="auto"/>
        <w:ind w:firstLine="709"/>
        <w:jc w:val="both"/>
        <w:rPr>
          <w:snapToGrid w:val="0"/>
          <w:spacing w:val="20"/>
          <w:sz w:val="28"/>
        </w:rPr>
      </w:pPr>
      <w:r>
        <w:rPr>
          <w:snapToGrid w:val="0"/>
          <w:spacing w:val="20"/>
          <w:sz w:val="28"/>
        </w:rPr>
        <w:t>Статьи 57 и 58 ГК различают пять видов реорганизации: слияние (два и более юридических лиц превращаются в одно), присоединение (одно или несколько юридических лиц присоединяются к другому), разделение (юридическое лицо делится на два или более юридических лиц), выделение (из состава юридического лица выделяются одно или несколько юридических лиц, при этом юридическое лицо, из которого произошло выделение, продолжает существовать) и преобразование (юридическое лицо одного вида трансформируется в юридическое лицо другого вида).</w:t>
      </w:r>
    </w:p>
    <w:p w:rsidR="00604E2C" w:rsidRDefault="00604E2C">
      <w:pPr>
        <w:spacing w:line="360" w:lineRule="auto"/>
        <w:ind w:firstLine="709"/>
        <w:jc w:val="both"/>
        <w:rPr>
          <w:snapToGrid w:val="0"/>
          <w:spacing w:val="20"/>
          <w:sz w:val="28"/>
        </w:rPr>
      </w:pPr>
      <w:r>
        <w:rPr>
          <w:snapToGrid w:val="0"/>
          <w:spacing w:val="20"/>
          <w:sz w:val="28"/>
        </w:rPr>
        <w:t xml:space="preserve">Приведенные пять видов реорганизации разбиваются на две группы. К первой относятся разделение и выделение. Реорганизация в том и в другом случае происходит либо по воле учредителей (участников) юридического лица, либо его органа, уполномоченного на это учредительными документами, либо, независимо от воли юридического лица, - по решению уполномоченного государственного органа. В этом решении определяется срок реорганизации. И если учредители (участники), уполномоченный ими для этой цели орган или орган самого юридического лица не осуществят реорганизацию в указанный срок, суд по иску уполномоченного государственного органа назначает внешнего управляющего юридическим лицом, которому поручает проведение реорганизации. Внешний управляющий наделяется  правами  органа  реорганизуемого юридического лица.          </w:t>
      </w:r>
    </w:p>
    <w:p w:rsidR="00604E2C" w:rsidRDefault="00604E2C">
      <w:pPr>
        <w:spacing w:line="360" w:lineRule="auto"/>
        <w:jc w:val="both"/>
        <w:rPr>
          <w:snapToGrid w:val="0"/>
          <w:spacing w:val="20"/>
          <w:sz w:val="28"/>
        </w:rPr>
      </w:pPr>
    </w:p>
    <w:p w:rsidR="00604E2C" w:rsidRDefault="00604E2C">
      <w:pPr>
        <w:spacing w:line="360" w:lineRule="auto"/>
        <w:jc w:val="both"/>
        <w:rPr>
          <w:snapToGrid w:val="0"/>
          <w:spacing w:val="20"/>
          <w:sz w:val="36"/>
        </w:rPr>
      </w:pPr>
    </w:p>
    <w:p w:rsidR="00604E2C" w:rsidRDefault="00604E2C">
      <w:pPr>
        <w:spacing w:line="360" w:lineRule="auto"/>
        <w:jc w:val="both"/>
        <w:rPr>
          <w:snapToGrid w:val="0"/>
          <w:spacing w:val="20"/>
          <w:sz w:val="28"/>
        </w:rPr>
      </w:pPr>
      <w:r>
        <w:rPr>
          <w:snapToGrid w:val="0"/>
          <w:spacing w:val="20"/>
          <w:sz w:val="28"/>
        </w:rPr>
        <w:t>В соответствии с поставленной перед ним задачей внешний управляющий составляет разделительный баланс, а также учредительные документы вновь образуемого юридического лица (вновь образованных юридических лиц). Баланс и учредительные документы утверждаются судом, и это утверждение служит необходимым основанием для осуществления регистрации учреждаемого юридического лица.</w:t>
      </w:r>
    </w:p>
    <w:p w:rsidR="00604E2C" w:rsidRDefault="00604E2C">
      <w:pPr>
        <w:spacing w:line="360" w:lineRule="auto"/>
        <w:ind w:firstLine="709"/>
        <w:jc w:val="both"/>
        <w:rPr>
          <w:snapToGrid w:val="0"/>
          <w:spacing w:val="20"/>
          <w:sz w:val="28"/>
        </w:rPr>
      </w:pPr>
      <w:r>
        <w:rPr>
          <w:snapToGrid w:val="0"/>
          <w:spacing w:val="20"/>
          <w:sz w:val="28"/>
        </w:rPr>
        <w:t>Вторую группу составляют слияние, присоединение и преобразование. Все эти три вида реорганизации происходят в случаях, установленных законом, по воле (решению) самого юридического лица с предварительного согласия уполномоченного государственного органа.</w:t>
      </w:r>
    </w:p>
    <w:p w:rsidR="00604E2C" w:rsidRDefault="00604E2C">
      <w:pPr>
        <w:spacing w:line="360" w:lineRule="auto"/>
        <w:ind w:firstLine="709"/>
        <w:jc w:val="both"/>
        <w:rPr>
          <w:snapToGrid w:val="0"/>
          <w:spacing w:val="20"/>
          <w:sz w:val="28"/>
        </w:rPr>
      </w:pPr>
      <w:r>
        <w:rPr>
          <w:snapToGrid w:val="0"/>
          <w:spacing w:val="20"/>
          <w:sz w:val="28"/>
        </w:rPr>
        <w:t>При разделении и выделении составляется разделительный баланс, а при преобразовании - передаточный акт.</w:t>
      </w:r>
    </w:p>
    <w:p w:rsidR="00604E2C" w:rsidRDefault="00604E2C">
      <w:pPr>
        <w:spacing w:line="360" w:lineRule="auto"/>
        <w:ind w:firstLine="709"/>
        <w:jc w:val="both"/>
        <w:rPr>
          <w:snapToGrid w:val="0"/>
          <w:spacing w:val="20"/>
          <w:sz w:val="28"/>
        </w:rPr>
      </w:pPr>
      <w:r>
        <w:rPr>
          <w:snapToGrid w:val="0"/>
          <w:spacing w:val="20"/>
          <w:sz w:val="28"/>
        </w:rPr>
        <w:t>К разделительному балансу и передаточному акту п. 1 ст. 59 ГК предъявляет в принципе одинаковые требования. И тот и другой должны определять, к кому какие именно права и обязанности переходят. В передаточный акт и разделительный баланс необходимо включить весь комплекс обязательств реорганизованного юридического лица, в том числе и те, по которым не наступил срок исполнения, а также обязательства, которые реорганизуемая организация оспаривает. Указанные документы подлежат утверждению лицами, которые приняли решение о реорганизации (слиянии, присоединении, разделении, выделении или преобразовании).</w:t>
      </w:r>
    </w:p>
    <w:p w:rsidR="00604E2C" w:rsidRDefault="00604E2C">
      <w:pPr>
        <w:spacing w:line="360" w:lineRule="auto"/>
        <w:ind w:firstLine="709"/>
        <w:jc w:val="both"/>
        <w:rPr>
          <w:snapToGrid w:val="0"/>
          <w:spacing w:val="20"/>
          <w:sz w:val="28"/>
        </w:rPr>
      </w:pPr>
      <w:r>
        <w:rPr>
          <w:snapToGrid w:val="0"/>
          <w:spacing w:val="20"/>
          <w:sz w:val="28"/>
        </w:rPr>
        <w:t>Применительно к слиянию, присоединению и преобразованию ГК (п. 3 ст. 57) допускает установление в законе случаев, при которых реорганизация признается возможной только с согласия уполномоченных государственных органов.</w:t>
      </w:r>
    </w:p>
    <w:p w:rsidR="00604E2C" w:rsidRDefault="00604E2C">
      <w:pPr>
        <w:spacing w:line="360" w:lineRule="auto"/>
        <w:ind w:firstLine="709"/>
        <w:jc w:val="both"/>
        <w:rPr>
          <w:snapToGrid w:val="0"/>
          <w:spacing w:val="20"/>
          <w:sz w:val="28"/>
        </w:rPr>
      </w:pPr>
    </w:p>
    <w:p w:rsidR="00604E2C" w:rsidRDefault="00604E2C">
      <w:pPr>
        <w:spacing w:line="360" w:lineRule="auto"/>
        <w:ind w:firstLine="709"/>
        <w:jc w:val="both"/>
        <w:rPr>
          <w:snapToGrid w:val="0"/>
          <w:spacing w:val="20"/>
          <w:sz w:val="36"/>
        </w:rPr>
      </w:pPr>
    </w:p>
    <w:p w:rsidR="00604E2C" w:rsidRDefault="00604E2C">
      <w:pPr>
        <w:spacing w:line="360" w:lineRule="auto"/>
        <w:ind w:firstLine="709"/>
        <w:jc w:val="both"/>
        <w:rPr>
          <w:snapToGrid w:val="0"/>
          <w:spacing w:val="20"/>
          <w:sz w:val="28"/>
        </w:rPr>
      </w:pPr>
      <w:r>
        <w:rPr>
          <w:snapToGrid w:val="0"/>
          <w:spacing w:val="20"/>
          <w:sz w:val="28"/>
        </w:rPr>
        <w:t>ГК имеет в виду в данном случае главным образом Закон «О конкуренции и ограничении монополистической деятельности на товарных рынках». Как предусмотрено этим Законом, одна из функций Государственного комитета по антимонопольной политике и поддержке новых экономических структур состоит в осуществлении предварительного контроля за:</w:t>
      </w:r>
    </w:p>
    <w:p w:rsidR="00604E2C" w:rsidRDefault="00604E2C">
      <w:pPr>
        <w:numPr>
          <w:ilvl w:val="0"/>
          <w:numId w:val="42"/>
        </w:numPr>
        <w:spacing w:line="360" w:lineRule="auto"/>
        <w:jc w:val="both"/>
        <w:rPr>
          <w:snapToGrid w:val="0"/>
          <w:spacing w:val="20"/>
          <w:sz w:val="28"/>
        </w:rPr>
      </w:pPr>
      <w:r>
        <w:rPr>
          <w:snapToGrid w:val="0"/>
          <w:spacing w:val="20"/>
          <w:sz w:val="28"/>
        </w:rPr>
        <w:t>слиянием и присоединением союзов, ассоциаций, концернов, межотраслевых, региональных и других объединений предприятий, а также преобразованием в указанные объединения органов управления или хозяйствующих субъектов;</w:t>
      </w:r>
    </w:p>
    <w:p w:rsidR="00604E2C" w:rsidRDefault="00604E2C">
      <w:pPr>
        <w:numPr>
          <w:ilvl w:val="0"/>
          <w:numId w:val="42"/>
        </w:numPr>
        <w:spacing w:line="360" w:lineRule="auto"/>
        <w:jc w:val="both"/>
        <w:rPr>
          <w:snapToGrid w:val="0"/>
          <w:spacing w:val="20"/>
          <w:sz w:val="28"/>
        </w:rPr>
      </w:pPr>
      <w:r>
        <w:rPr>
          <w:snapToGrid w:val="0"/>
          <w:spacing w:val="20"/>
          <w:sz w:val="28"/>
        </w:rPr>
        <w:t xml:space="preserve">слиянием, присоединением государственных и муниципальных предприятий, если это приводит к появлению хозяйствующего   субъекта,    занимающего    доминирующее    положение; </w:t>
      </w:r>
    </w:p>
    <w:p w:rsidR="00604E2C" w:rsidRDefault="00604E2C">
      <w:pPr>
        <w:numPr>
          <w:ilvl w:val="0"/>
          <w:numId w:val="42"/>
        </w:numPr>
        <w:spacing w:line="360" w:lineRule="auto"/>
        <w:jc w:val="both"/>
        <w:rPr>
          <w:snapToGrid w:val="0"/>
          <w:spacing w:val="20"/>
          <w:sz w:val="28"/>
        </w:rPr>
      </w:pPr>
      <w:r>
        <w:rPr>
          <w:snapToGrid w:val="0"/>
          <w:spacing w:val="20"/>
          <w:sz w:val="28"/>
        </w:rPr>
        <w:t xml:space="preserve">созданием,     слиянием     и     присоединением    акционерных    обществ    и товариществ с ограниченной ответственностью (исключение составляют случаи, когда уставный капитал юридического лица не превышает предельную величину, устанавливаемую Государственным комитетом; </w:t>
      </w:r>
    </w:p>
    <w:p w:rsidR="00604E2C" w:rsidRDefault="00604E2C">
      <w:pPr>
        <w:numPr>
          <w:ilvl w:val="0"/>
          <w:numId w:val="42"/>
        </w:numPr>
        <w:spacing w:line="360" w:lineRule="auto"/>
        <w:jc w:val="both"/>
        <w:rPr>
          <w:snapToGrid w:val="0"/>
          <w:spacing w:val="20"/>
          <w:sz w:val="28"/>
        </w:rPr>
      </w:pPr>
      <w:r>
        <w:rPr>
          <w:snapToGrid w:val="0"/>
          <w:spacing w:val="20"/>
          <w:sz w:val="28"/>
        </w:rPr>
        <w:t>слиянием и присоединением других товариществ и обществ, в которых участвуют юридические лица, если это приводит к появлению хозяйствующего субъекта, занимающего доминирующее положение.</w:t>
      </w:r>
    </w:p>
    <w:p w:rsidR="00604E2C" w:rsidRDefault="00604E2C">
      <w:pPr>
        <w:spacing w:line="360" w:lineRule="auto"/>
        <w:ind w:firstLine="709"/>
        <w:jc w:val="both"/>
        <w:rPr>
          <w:snapToGrid w:val="0"/>
          <w:spacing w:val="20"/>
          <w:sz w:val="28"/>
        </w:rPr>
      </w:pPr>
      <w:r>
        <w:rPr>
          <w:snapToGrid w:val="0"/>
          <w:spacing w:val="20"/>
          <w:sz w:val="28"/>
        </w:rPr>
        <w:t xml:space="preserve">Если указанный Государственный комитет, в который обратилось реорганизуемое юридическое лицо, в установленный срок (45 дней с момента направления) не дал согласия на слияние или присоединение либо полученный ответ, содержащий отказ выдать   согласие,   является,   по   мнению   юридического    лица, </w:t>
      </w:r>
    </w:p>
    <w:p w:rsidR="00604E2C" w:rsidRDefault="00604E2C">
      <w:pPr>
        <w:spacing w:line="360" w:lineRule="auto"/>
        <w:jc w:val="both"/>
        <w:rPr>
          <w:snapToGrid w:val="0"/>
          <w:spacing w:val="20"/>
        </w:rPr>
      </w:pPr>
    </w:p>
    <w:p w:rsidR="00604E2C" w:rsidRDefault="00604E2C">
      <w:pPr>
        <w:spacing w:line="360" w:lineRule="auto"/>
        <w:jc w:val="both"/>
        <w:rPr>
          <w:snapToGrid w:val="0"/>
          <w:spacing w:val="20"/>
          <w:sz w:val="28"/>
        </w:rPr>
      </w:pPr>
      <w:r>
        <w:rPr>
          <w:snapToGrid w:val="0"/>
          <w:spacing w:val="20"/>
          <w:sz w:val="28"/>
        </w:rPr>
        <w:t>необоснованным, последнее может обратиться со своим требованием признать отказ необоснованным и  выдать согласие.</w:t>
      </w:r>
    </w:p>
    <w:p w:rsidR="00604E2C" w:rsidRDefault="00604E2C">
      <w:pPr>
        <w:spacing w:line="360" w:lineRule="auto"/>
        <w:ind w:firstLine="709"/>
        <w:jc w:val="both"/>
        <w:rPr>
          <w:snapToGrid w:val="0"/>
          <w:spacing w:val="20"/>
          <w:sz w:val="28"/>
        </w:rPr>
      </w:pPr>
      <w:r>
        <w:rPr>
          <w:snapToGrid w:val="0"/>
          <w:spacing w:val="20"/>
          <w:sz w:val="28"/>
        </w:rPr>
        <w:t>Тот же Закон предусматривает случаи принудительного разделения "хозяйствующих субъектов", которые, занимая доминирующее положение, осуществляют монополистическую деятельность и (или) их действия приводят к существенному ограничению конкуренции. Принудительное разделение допускается при условии, если имеется возможность организационного и (или) территориального обособления предприятий, структурных подразделений либо структурных единиц, либо отсутствует тесная технологическая взаимосвязь между предприятиями, структурными подразделениями или структурными единицами, либо есть возможность разграничить сферы деятельности предприятий, структурных подразделений или структурных единиц в рамках узкой предметной специализации на определенный товар. Принудительное разделение должно быть совершено в установленный в решении срок, но не позднее 6 месяцев с момента его вынесения. Юридическое лицо, которому адресовано предписание о принудительном разделении, вправе обжаловать его в суд.</w:t>
      </w:r>
    </w:p>
    <w:p w:rsidR="00604E2C" w:rsidRDefault="00604E2C">
      <w:pPr>
        <w:spacing w:line="360" w:lineRule="auto"/>
        <w:ind w:firstLine="709"/>
        <w:jc w:val="both"/>
        <w:rPr>
          <w:spacing w:val="20"/>
          <w:sz w:val="28"/>
        </w:rPr>
      </w:pPr>
      <w:r>
        <w:rPr>
          <w:snapToGrid w:val="0"/>
          <w:spacing w:val="20"/>
          <w:sz w:val="28"/>
        </w:rPr>
        <w:t>Специально предусмотрена (ст. 21 Закона) необходимость для Государственного комитета поддерживать не противоречащее закону требование трудового коллектива о выделении структурного подразделения или структурной единицы "хозяйствующего субъекта", если такому выделению препятствуют сам хозяйствующий субъект или соответствующий орган управления.</w:t>
      </w:r>
    </w:p>
    <w:p w:rsidR="00604E2C" w:rsidRDefault="00604E2C">
      <w:pPr>
        <w:pStyle w:val="9"/>
        <w:ind w:firstLine="0"/>
        <w:rPr>
          <w:b/>
          <w:spacing w:val="20"/>
          <w:u w:val="single"/>
        </w:rPr>
      </w:pPr>
    </w:p>
    <w:p w:rsidR="00604E2C" w:rsidRDefault="00604E2C"/>
    <w:p w:rsidR="00604E2C" w:rsidRDefault="00604E2C"/>
    <w:p w:rsidR="00604E2C" w:rsidRDefault="00604E2C"/>
    <w:p w:rsidR="00604E2C" w:rsidRDefault="00604E2C"/>
    <w:p w:rsidR="00604E2C" w:rsidRDefault="00604E2C"/>
    <w:p w:rsidR="00604E2C" w:rsidRDefault="00604E2C">
      <w:pPr>
        <w:pStyle w:val="9"/>
        <w:spacing w:line="240" w:lineRule="auto"/>
        <w:ind w:firstLine="0"/>
        <w:rPr>
          <w:b/>
          <w:spacing w:val="20"/>
          <w:sz w:val="32"/>
          <w:u w:val="single"/>
        </w:rPr>
      </w:pPr>
    </w:p>
    <w:p w:rsidR="00604E2C" w:rsidRDefault="00604E2C">
      <w:pPr>
        <w:pStyle w:val="9"/>
        <w:spacing w:line="240" w:lineRule="auto"/>
        <w:ind w:firstLine="0"/>
        <w:rPr>
          <w:b/>
          <w:spacing w:val="20"/>
          <w:sz w:val="32"/>
          <w:u w:val="single"/>
        </w:rPr>
      </w:pPr>
      <w:r>
        <w:rPr>
          <w:b/>
          <w:spacing w:val="20"/>
          <w:sz w:val="32"/>
          <w:u w:val="single"/>
        </w:rPr>
        <w:t xml:space="preserve">5. СПИСОК </w:t>
      </w:r>
    </w:p>
    <w:p w:rsidR="00604E2C" w:rsidRDefault="00604E2C">
      <w:pPr>
        <w:pStyle w:val="9"/>
        <w:spacing w:line="240" w:lineRule="auto"/>
        <w:ind w:firstLine="0"/>
        <w:rPr>
          <w:b/>
          <w:spacing w:val="20"/>
          <w:sz w:val="32"/>
          <w:u w:val="single"/>
        </w:rPr>
      </w:pPr>
      <w:r>
        <w:rPr>
          <w:b/>
          <w:spacing w:val="20"/>
          <w:sz w:val="32"/>
          <w:u w:val="single"/>
        </w:rPr>
        <w:t>ИСПОЛЬЗУЕМОЙ ЛИТЕРАТУРЫ</w:t>
      </w:r>
    </w:p>
    <w:p w:rsidR="00604E2C" w:rsidRDefault="00604E2C">
      <w:pPr>
        <w:spacing w:line="360" w:lineRule="auto"/>
        <w:jc w:val="both"/>
        <w:rPr>
          <w:spacing w:val="20"/>
          <w:sz w:val="28"/>
        </w:rPr>
      </w:pPr>
    </w:p>
    <w:p w:rsidR="00604E2C" w:rsidRDefault="00604E2C">
      <w:pPr>
        <w:numPr>
          <w:ilvl w:val="0"/>
          <w:numId w:val="37"/>
        </w:numPr>
        <w:spacing w:before="240" w:line="360" w:lineRule="auto"/>
        <w:jc w:val="both"/>
        <w:rPr>
          <w:spacing w:val="20"/>
          <w:sz w:val="28"/>
        </w:rPr>
      </w:pPr>
      <w:r>
        <w:rPr>
          <w:spacing w:val="20"/>
          <w:sz w:val="28"/>
        </w:rPr>
        <w:t>Конституция Российской Федерации от 12 декабря 1993 г. – М., Юридическая литература, 1993 г.</w:t>
      </w:r>
    </w:p>
    <w:p w:rsidR="00604E2C" w:rsidRDefault="00604E2C">
      <w:pPr>
        <w:numPr>
          <w:ilvl w:val="0"/>
          <w:numId w:val="37"/>
        </w:numPr>
        <w:spacing w:before="240" w:line="360" w:lineRule="auto"/>
        <w:jc w:val="both"/>
        <w:rPr>
          <w:spacing w:val="20"/>
          <w:sz w:val="28"/>
        </w:rPr>
      </w:pPr>
      <w:r>
        <w:rPr>
          <w:spacing w:val="20"/>
          <w:sz w:val="28"/>
        </w:rPr>
        <w:t>Гражданский кодекс Российской Федерации. –                       М.: «ТД ЭЛИТ-2000», 2002 г.</w:t>
      </w:r>
    </w:p>
    <w:p w:rsidR="00604E2C" w:rsidRDefault="00604E2C">
      <w:pPr>
        <w:numPr>
          <w:ilvl w:val="0"/>
          <w:numId w:val="37"/>
        </w:numPr>
        <w:spacing w:before="240" w:line="360" w:lineRule="auto"/>
        <w:jc w:val="both"/>
        <w:rPr>
          <w:spacing w:val="20"/>
          <w:sz w:val="28"/>
        </w:rPr>
      </w:pPr>
      <w:r>
        <w:rPr>
          <w:spacing w:val="20"/>
          <w:sz w:val="28"/>
        </w:rPr>
        <w:t>Федеральный закон от 08.02.1998г. № 6-ФЗ                                  «О несостоятельности (банкротстве)» // «Российская газета» от 20.01.1998 г., № 10, от 21.01.1998 г., № 11.</w:t>
      </w:r>
    </w:p>
    <w:p w:rsidR="00604E2C" w:rsidRDefault="00604E2C">
      <w:pPr>
        <w:numPr>
          <w:ilvl w:val="0"/>
          <w:numId w:val="37"/>
        </w:numPr>
        <w:spacing w:before="240" w:line="360" w:lineRule="auto"/>
        <w:jc w:val="both"/>
        <w:rPr>
          <w:spacing w:val="20"/>
          <w:sz w:val="28"/>
        </w:rPr>
      </w:pPr>
      <w:r>
        <w:rPr>
          <w:spacing w:val="20"/>
          <w:sz w:val="28"/>
        </w:rPr>
        <w:t>Приказ Минфина РФ и ФСДН РФ от 19, 22 июня 1998 г.           № 28н, 83 «Об утверждении Порядка осуществления Федеральной службой России по делам о несостоятельности и финансовому оздоровлению прав кредитора по выделяемым ссудам и иным средствам при решении вопросов                        о несостоятельности (банкротстве) организаций».</w:t>
      </w:r>
    </w:p>
    <w:p w:rsidR="00604E2C" w:rsidRDefault="00604E2C">
      <w:pPr>
        <w:numPr>
          <w:ilvl w:val="0"/>
          <w:numId w:val="37"/>
        </w:numPr>
        <w:spacing w:before="240" w:line="360" w:lineRule="auto"/>
        <w:jc w:val="both"/>
        <w:rPr>
          <w:spacing w:val="20"/>
          <w:sz w:val="28"/>
        </w:rPr>
      </w:pPr>
      <w:r>
        <w:rPr>
          <w:spacing w:val="20"/>
          <w:sz w:val="28"/>
        </w:rPr>
        <w:t xml:space="preserve">Гражданское право, Часть </w:t>
      </w:r>
      <w:r>
        <w:rPr>
          <w:spacing w:val="20"/>
          <w:sz w:val="28"/>
          <w:lang w:val="en-US"/>
        </w:rPr>
        <w:t>I</w:t>
      </w:r>
      <w:r>
        <w:rPr>
          <w:spacing w:val="20"/>
          <w:sz w:val="28"/>
        </w:rPr>
        <w:t>: Учебник./ Под ред.                     А.П. Сергеева, Ю.К. Толстого – М.: Проспект, 1998 г.</w:t>
      </w:r>
    </w:p>
    <w:p w:rsidR="00604E2C" w:rsidRDefault="00604E2C">
      <w:pPr>
        <w:numPr>
          <w:ilvl w:val="0"/>
          <w:numId w:val="37"/>
        </w:numPr>
        <w:spacing w:before="240" w:line="360" w:lineRule="auto"/>
        <w:jc w:val="both"/>
        <w:rPr>
          <w:spacing w:val="20"/>
          <w:sz w:val="28"/>
        </w:rPr>
      </w:pPr>
      <w:r>
        <w:rPr>
          <w:spacing w:val="20"/>
          <w:sz w:val="28"/>
        </w:rPr>
        <w:t>Гражданское право: Учебник./Под ред. З.И. Цыбуленко –       М.: Юристь, 1998 г.</w:t>
      </w:r>
    </w:p>
    <w:p w:rsidR="00604E2C" w:rsidRDefault="00604E2C">
      <w:pPr>
        <w:spacing w:before="240" w:line="360" w:lineRule="auto"/>
        <w:jc w:val="both"/>
        <w:rPr>
          <w:spacing w:val="20"/>
          <w:sz w:val="28"/>
        </w:rPr>
      </w:pPr>
      <w:bookmarkStart w:id="0" w:name="_GoBack"/>
      <w:bookmarkEnd w:id="0"/>
    </w:p>
    <w:sectPr w:rsidR="00604E2C">
      <w:headerReference w:type="even" r:id="rId7"/>
      <w:headerReference w:type="default" r:id="rId8"/>
      <w:pgSz w:w="11906" w:h="16838"/>
      <w:pgMar w:top="567" w:right="851"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2C" w:rsidRDefault="00604E2C">
      <w:r>
        <w:separator/>
      </w:r>
    </w:p>
  </w:endnote>
  <w:endnote w:type="continuationSeparator" w:id="0">
    <w:p w:rsidR="00604E2C" w:rsidRDefault="006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2C" w:rsidRDefault="00604E2C">
      <w:r>
        <w:separator/>
      </w:r>
    </w:p>
  </w:footnote>
  <w:footnote w:type="continuationSeparator" w:id="0">
    <w:p w:rsidR="00604E2C" w:rsidRDefault="00604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2C" w:rsidRDefault="00604E2C">
    <w:pPr>
      <w:pStyle w:val="a8"/>
      <w:framePr w:wrap="around" w:vAnchor="text" w:hAnchor="margin" w:xAlign="center" w:y="1"/>
      <w:rPr>
        <w:rStyle w:val="a9"/>
      </w:rPr>
    </w:pPr>
    <w:r>
      <w:rPr>
        <w:rStyle w:val="a9"/>
        <w:noProof/>
      </w:rPr>
      <w:t>1</w:t>
    </w:r>
  </w:p>
  <w:p w:rsidR="00604E2C" w:rsidRDefault="00604E2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E2C" w:rsidRDefault="00B86D4F">
    <w:pPr>
      <w:pStyle w:val="a8"/>
      <w:framePr w:wrap="around" w:vAnchor="text" w:hAnchor="margin" w:xAlign="center" w:y="1"/>
      <w:rPr>
        <w:rStyle w:val="a9"/>
      </w:rPr>
    </w:pPr>
    <w:r>
      <w:rPr>
        <w:rStyle w:val="a9"/>
        <w:noProof/>
      </w:rPr>
      <w:t>1</w:t>
    </w:r>
  </w:p>
  <w:p w:rsidR="00604E2C" w:rsidRDefault="00604E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ED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2AF22ED"/>
    <w:multiLevelType w:val="singleLevel"/>
    <w:tmpl w:val="4EDA69C8"/>
    <w:lvl w:ilvl="0">
      <w:start w:val="7"/>
      <w:numFmt w:val="decimal"/>
      <w:lvlText w:val="%1."/>
      <w:lvlJc w:val="left"/>
      <w:pPr>
        <w:tabs>
          <w:tab w:val="num" w:pos="432"/>
        </w:tabs>
        <w:ind w:left="432" w:hanging="432"/>
      </w:pPr>
      <w:rPr>
        <w:rFonts w:hint="default"/>
        <w:b/>
      </w:rPr>
    </w:lvl>
  </w:abstractNum>
  <w:abstractNum w:abstractNumId="2">
    <w:nsid w:val="05A52BE6"/>
    <w:multiLevelType w:val="multilevel"/>
    <w:tmpl w:val="816ED08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D966D99"/>
    <w:multiLevelType w:val="singleLevel"/>
    <w:tmpl w:val="CE10BB00"/>
    <w:lvl w:ilvl="0">
      <w:start w:val="1"/>
      <w:numFmt w:val="decimal"/>
      <w:lvlText w:val="%1."/>
      <w:lvlJc w:val="left"/>
      <w:pPr>
        <w:tabs>
          <w:tab w:val="num" w:pos="1080"/>
        </w:tabs>
        <w:ind w:left="1080" w:hanging="360"/>
      </w:pPr>
      <w:rPr>
        <w:rFonts w:hint="default"/>
      </w:rPr>
    </w:lvl>
  </w:abstractNum>
  <w:abstractNum w:abstractNumId="4">
    <w:nsid w:val="0EFF77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4996EAB"/>
    <w:multiLevelType w:val="singleLevel"/>
    <w:tmpl w:val="B2EEDD3E"/>
    <w:lvl w:ilvl="0">
      <w:start w:val="1"/>
      <w:numFmt w:val="bullet"/>
      <w:lvlText w:val="-"/>
      <w:lvlJc w:val="left"/>
      <w:pPr>
        <w:tabs>
          <w:tab w:val="num" w:pos="1425"/>
        </w:tabs>
        <w:ind w:left="1425" w:hanging="360"/>
      </w:pPr>
      <w:rPr>
        <w:rFonts w:hint="default"/>
      </w:rPr>
    </w:lvl>
  </w:abstractNum>
  <w:abstractNum w:abstractNumId="6">
    <w:nsid w:val="152D094C"/>
    <w:multiLevelType w:val="singleLevel"/>
    <w:tmpl w:val="0419000F"/>
    <w:lvl w:ilvl="0">
      <w:start w:val="4"/>
      <w:numFmt w:val="decimal"/>
      <w:lvlText w:val="%1."/>
      <w:lvlJc w:val="left"/>
      <w:pPr>
        <w:tabs>
          <w:tab w:val="num" w:pos="360"/>
        </w:tabs>
        <w:ind w:left="360" w:hanging="360"/>
      </w:pPr>
      <w:rPr>
        <w:rFonts w:hint="default"/>
      </w:rPr>
    </w:lvl>
  </w:abstractNum>
  <w:abstractNum w:abstractNumId="7">
    <w:nsid w:val="15410BBB"/>
    <w:multiLevelType w:val="singleLevel"/>
    <w:tmpl w:val="CB925A40"/>
    <w:lvl w:ilvl="0">
      <w:start w:val="1"/>
      <w:numFmt w:val="decimal"/>
      <w:lvlText w:val="%1)"/>
      <w:lvlJc w:val="left"/>
      <w:pPr>
        <w:tabs>
          <w:tab w:val="num" w:pos="360"/>
        </w:tabs>
        <w:ind w:left="360" w:hanging="360"/>
      </w:pPr>
      <w:rPr>
        <w:rFonts w:ascii="Times New Roman" w:hAnsi="Times New Roman" w:hint="default"/>
        <w:b w:val="0"/>
        <w:i w:val="0"/>
        <w:sz w:val="32"/>
      </w:rPr>
    </w:lvl>
  </w:abstractNum>
  <w:abstractNum w:abstractNumId="8">
    <w:nsid w:val="15772AB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64F7C6D"/>
    <w:multiLevelType w:val="singleLevel"/>
    <w:tmpl w:val="7A7EDB28"/>
    <w:lvl w:ilvl="0">
      <w:start w:val="1"/>
      <w:numFmt w:val="decimal"/>
      <w:lvlText w:val="%1."/>
      <w:lvlJc w:val="left"/>
      <w:pPr>
        <w:tabs>
          <w:tab w:val="num" w:pos="720"/>
        </w:tabs>
        <w:ind w:left="720" w:hanging="720"/>
      </w:pPr>
      <w:rPr>
        <w:rFonts w:hint="default"/>
      </w:rPr>
    </w:lvl>
  </w:abstractNum>
  <w:abstractNum w:abstractNumId="10">
    <w:nsid w:val="1B944533"/>
    <w:multiLevelType w:val="singleLevel"/>
    <w:tmpl w:val="02583814"/>
    <w:lvl w:ilvl="0">
      <w:start w:val="1"/>
      <w:numFmt w:val="decimal"/>
      <w:lvlText w:val="%1."/>
      <w:lvlJc w:val="left"/>
      <w:pPr>
        <w:tabs>
          <w:tab w:val="num" w:pos="720"/>
        </w:tabs>
        <w:ind w:left="720" w:hanging="720"/>
      </w:pPr>
      <w:rPr>
        <w:rFonts w:hint="default"/>
      </w:rPr>
    </w:lvl>
  </w:abstractNum>
  <w:abstractNum w:abstractNumId="11">
    <w:nsid w:val="27052C17"/>
    <w:multiLevelType w:val="singleLevel"/>
    <w:tmpl w:val="5D9EE17E"/>
    <w:lvl w:ilvl="0">
      <w:start w:val="4"/>
      <w:numFmt w:val="decimal"/>
      <w:lvlText w:val="%1"/>
      <w:lvlJc w:val="left"/>
      <w:pPr>
        <w:tabs>
          <w:tab w:val="num" w:pos="1080"/>
        </w:tabs>
        <w:ind w:left="1080" w:hanging="360"/>
      </w:pPr>
      <w:rPr>
        <w:rFonts w:hint="default"/>
      </w:rPr>
    </w:lvl>
  </w:abstractNum>
  <w:abstractNum w:abstractNumId="12">
    <w:nsid w:val="278837D0"/>
    <w:multiLevelType w:val="singleLevel"/>
    <w:tmpl w:val="D1B470CE"/>
    <w:lvl w:ilvl="0">
      <w:start w:val="3"/>
      <w:numFmt w:val="decimal"/>
      <w:lvlText w:val="%1"/>
      <w:lvlJc w:val="left"/>
      <w:pPr>
        <w:tabs>
          <w:tab w:val="num" w:pos="1155"/>
        </w:tabs>
        <w:ind w:left="1155" w:hanging="435"/>
      </w:pPr>
      <w:rPr>
        <w:rFonts w:hint="default"/>
      </w:rPr>
    </w:lvl>
  </w:abstractNum>
  <w:abstractNum w:abstractNumId="13">
    <w:nsid w:val="28074DCE"/>
    <w:multiLevelType w:val="singleLevel"/>
    <w:tmpl w:val="2670E498"/>
    <w:lvl w:ilvl="0">
      <w:start w:val="3"/>
      <w:numFmt w:val="bullet"/>
      <w:lvlText w:val="-"/>
      <w:lvlJc w:val="left"/>
      <w:pPr>
        <w:tabs>
          <w:tab w:val="num" w:pos="1860"/>
        </w:tabs>
        <w:ind w:left="1860" w:hanging="360"/>
      </w:pPr>
      <w:rPr>
        <w:rFonts w:hint="default"/>
      </w:rPr>
    </w:lvl>
  </w:abstractNum>
  <w:abstractNum w:abstractNumId="14">
    <w:nsid w:val="2BFC267F"/>
    <w:multiLevelType w:val="singleLevel"/>
    <w:tmpl w:val="0419000F"/>
    <w:lvl w:ilvl="0">
      <w:start w:val="2"/>
      <w:numFmt w:val="decimal"/>
      <w:lvlText w:val="%1."/>
      <w:lvlJc w:val="left"/>
      <w:pPr>
        <w:tabs>
          <w:tab w:val="num" w:pos="360"/>
        </w:tabs>
        <w:ind w:left="360" w:hanging="360"/>
      </w:pPr>
      <w:rPr>
        <w:rFonts w:hint="default"/>
      </w:rPr>
    </w:lvl>
  </w:abstractNum>
  <w:abstractNum w:abstractNumId="15">
    <w:nsid w:val="2CDA74D4"/>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1390E08"/>
    <w:multiLevelType w:val="singleLevel"/>
    <w:tmpl w:val="F85EC406"/>
    <w:lvl w:ilvl="0">
      <w:start w:val="1"/>
      <w:numFmt w:val="decimal"/>
      <w:lvlText w:val="%1."/>
      <w:lvlJc w:val="left"/>
      <w:pPr>
        <w:tabs>
          <w:tab w:val="num" w:pos="927"/>
        </w:tabs>
        <w:ind w:left="927" w:hanging="360"/>
      </w:pPr>
      <w:rPr>
        <w:rFonts w:hint="default"/>
      </w:rPr>
    </w:lvl>
  </w:abstractNum>
  <w:abstractNum w:abstractNumId="17">
    <w:nsid w:val="32633033"/>
    <w:multiLevelType w:val="singleLevel"/>
    <w:tmpl w:val="C50E4984"/>
    <w:lvl w:ilvl="0">
      <w:start w:val="6"/>
      <w:numFmt w:val="decimal"/>
      <w:lvlText w:val="%1."/>
      <w:lvlJc w:val="left"/>
      <w:pPr>
        <w:tabs>
          <w:tab w:val="num" w:pos="435"/>
        </w:tabs>
        <w:ind w:left="435" w:hanging="360"/>
      </w:pPr>
      <w:rPr>
        <w:rFonts w:hint="default"/>
      </w:rPr>
    </w:lvl>
  </w:abstractNum>
  <w:abstractNum w:abstractNumId="18">
    <w:nsid w:val="33370B91"/>
    <w:multiLevelType w:val="singleLevel"/>
    <w:tmpl w:val="BA9EDFA8"/>
    <w:lvl w:ilvl="0">
      <w:start w:val="6"/>
      <w:numFmt w:val="decimal"/>
      <w:lvlText w:val="%1."/>
      <w:lvlJc w:val="left"/>
      <w:pPr>
        <w:tabs>
          <w:tab w:val="num" w:pos="432"/>
        </w:tabs>
        <w:ind w:left="432" w:hanging="432"/>
      </w:pPr>
      <w:rPr>
        <w:rFonts w:hint="default"/>
        <w:b/>
      </w:rPr>
    </w:lvl>
  </w:abstractNum>
  <w:abstractNum w:abstractNumId="19">
    <w:nsid w:val="38EB5DDA"/>
    <w:multiLevelType w:val="singleLevel"/>
    <w:tmpl w:val="62F83334"/>
    <w:lvl w:ilvl="0">
      <w:start w:val="8"/>
      <w:numFmt w:val="bullet"/>
      <w:lvlText w:val="-"/>
      <w:lvlJc w:val="left"/>
      <w:pPr>
        <w:tabs>
          <w:tab w:val="num" w:pos="1425"/>
        </w:tabs>
        <w:ind w:left="1425" w:hanging="360"/>
      </w:pPr>
      <w:rPr>
        <w:rFonts w:hint="default"/>
      </w:rPr>
    </w:lvl>
  </w:abstractNum>
  <w:abstractNum w:abstractNumId="20">
    <w:nsid w:val="39275C00"/>
    <w:multiLevelType w:val="singleLevel"/>
    <w:tmpl w:val="8576968A"/>
    <w:lvl w:ilvl="0">
      <w:start w:val="1"/>
      <w:numFmt w:val="decimal"/>
      <w:lvlText w:val="%1."/>
      <w:lvlJc w:val="left"/>
      <w:pPr>
        <w:tabs>
          <w:tab w:val="num" w:pos="1125"/>
        </w:tabs>
        <w:ind w:left="1125" w:hanging="405"/>
      </w:pPr>
      <w:rPr>
        <w:rFonts w:hint="default"/>
        <w:b w:val="0"/>
        <w:i w:val="0"/>
      </w:rPr>
    </w:lvl>
  </w:abstractNum>
  <w:abstractNum w:abstractNumId="21">
    <w:nsid w:val="3D13451B"/>
    <w:multiLevelType w:val="multilevel"/>
    <w:tmpl w:val="C75A5E80"/>
    <w:lvl w:ilvl="0">
      <w:start w:val="1"/>
      <w:numFmt w:val="bullet"/>
      <w:lvlText w:val=""/>
      <w:lvlJc w:val="left"/>
      <w:pPr>
        <w:tabs>
          <w:tab w:val="num" w:pos="1077"/>
        </w:tabs>
        <w:ind w:left="1077" w:hanging="360"/>
      </w:pPr>
      <w:rPr>
        <w:rFonts w:ascii="Symbol" w:hAnsi="Symbol" w:hint="default"/>
      </w:rPr>
    </w:lvl>
    <w:lvl w:ilvl="1" w:tentative="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2">
    <w:nsid w:val="3D221169"/>
    <w:multiLevelType w:val="singleLevel"/>
    <w:tmpl w:val="5F5492F2"/>
    <w:lvl w:ilvl="0">
      <w:start w:val="1"/>
      <w:numFmt w:val="decimal"/>
      <w:lvlText w:val="%1."/>
      <w:lvlJc w:val="left"/>
      <w:pPr>
        <w:tabs>
          <w:tab w:val="num" w:pos="360"/>
        </w:tabs>
        <w:ind w:left="360" w:hanging="360"/>
      </w:pPr>
      <w:rPr>
        <w:rFonts w:hint="default"/>
      </w:rPr>
    </w:lvl>
  </w:abstractNum>
  <w:abstractNum w:abstractNumId="23">
    <w:nsid w:val="3DF7676E"/>
    <w:multiLevelType w:val="singleLevel"/>
    <w:tmpl w:val="4956C7BA"/>
    <w:lvl w:ilvl="0">
      <w:start w:val="3"/>
      <w:numFmt w:val="bullet"/>
      <w:lvlText w:val="-"/>
      <w:lvlJc w:val="left"/>
      <w:pPr>
        <w:tabs>
          <w:tab w:val="num" w:pos="1069"/>
        </w:tabs>
        <w:ind w:left="1069" w:hanging="360"/>
      </w:pPr>
      <w:rPr>
        <w:rFonts w:hint="default"/>
      </w:rPr>
    </w:lvl>
  </w:abstractNum>
  <w:abstractNum w:abstractNumId="24">
    <w:nsid w:val="400D65EB"/>
    <w:multiLevelType w:val="singleLevel"/>
    <w:tmpl w:val="8E6079A2"/>
    <w:lvl w:ilvl="0">
      <w:start w:val="1"/>
      <w:numFmt w:val="decimal"/>
      <w:lvlText w:val="%1."/>
      <w:lvlJc w:val="left"/>
      <w:pPr>
        <w:tabs>
          <w:tab w:val="num" w:pos="720"/>
        </w:tabs>
        <w:ind w:left="720" w:hanging="720"/>
      </w:pPr>
      <w:rPr>
        <w:rFonts w:hint="default"/>
      </w:rPr>
    </w:lvl>
  </w:abstractNum>
  <w:abstractNum w:abstractNumId="25">
    <w:nsid w:val="4675399A"/>
    <w:multiLevelType w:val="singleLevel"/>
    <w:tmpl w:val="EECE0E2C"/>
    <w:lvl w:ilvl="0">
      <w:start w:val="4"/>
      <w:numFmt w:val="decimal"/>
      <w:lvlText w:val="%1"/>
      <w:lvlJc w:val="left"/>
      <w:pPr>
        <w:tabs>
          <w:tab w:val="num" w:pos="360"/>
        </w:tabs>
        <w:ind w:left="360" w:hanging="360"/>
      </w:pPr>
      <w:rPr>
        <w:rFonts w:hint="default"/>
      </w:rPr>
    </w:lvl>
  </w:abstractNum>
  <w:abstractNum w:abstractNumId="26">
    <w:nsid w:val="48A11D29"/>
    <w:multiLevelType w:val="singleLevel"/>
    <w:tmpl w:val="A52630F4"/>
    <w:lvl w:ilvl="0">
      <w:start w:val="4"/>
      <w:numFmt w:val="decimal"/>
      <w:lvlText w:val="%1"/>
      <w:lvlJc w:val="left"/>
      <w:pPr>
        <w:tabs>
          <w:tab w:val="num" w:pos="1080"/>
        </w:tabs>
        <w:ind w:left="1080" w:hanging="360"/>
      </w:pPr>
      <w:rPr>
        <w:rFonts w:hint="default"/>
      </w:rPr>
    </w:lvl>
  </w:abstractNum>
  <w:abstractNum w:abstractNumId="27">
    <w:nsid w:val="49337EE0"/>
    <w:multiLevelType w:val="singleLevel"/>
    <w:tmpl w:val="322624B2"/>
    <w:lvl w:ilvl="0">
      <w:start w:val="1"/>
      <w:numFmt w:val="decimal"/>
      <w:lvlText w:val="%1)"/>
      <w:lvlJc w:val="left"/>
      <w:pPr>
        <w:tabs>
          <w:tab w:val="num" w:pos="1080"/>
        </w:tabs>
        <w:ind w:left="1080" w:hanging="360"/>
      </w:pPr>
      <w:rPr>
        <w:rFonts w:hint="default"/>
      </w:rPr>
    </w:lvl>
  </w:abstractNum>
  <w:abstractNum w:abstractNumId="28">
    <w:nsid w:val="4E567E22"/>
    <w:multiLevelType w:val="singleLevel"/>
    <w:tmpl w:val="4A588232"/>
    <w:lvl w:ilvl="0">
      <w:start w:val="7"/>
      <w:numFmt w:val="bullet"/>
      <w:lvlText w:val="-"/>
      <w:lvlJc w:val="left"/>
      <w:pPr>
        <w:tabs>
          <w:tab w:val="num" w:pos="1440"/>
        </w:tabs>
        <w:ind w:left="1440" w:hanging="720"/>
      </w:pPr>
      <w:rPr>
        <w:rFonts w:hint="default"/>
      </w:rPr>
    </w:lvl>
  </w:abstractNum>
  <w:abstractNum w:abstractNumId="29">
    <w:nsid w:val="549B79F7"/>
    <w:multiLevelType w:val="multilevel"/>
    <w:tmpl w:val="EF9E03EE"/>
    <w:lvl w:ilvl="0">
      <w:start w:val="1"/>
      <w:numFmt w:val="decimal"/>
      <w:lvlText w:val="%1."/>
      <w:lvlJc w:val="left"/>
      <w:pPr>
        <w:tabs>
          <w:tab w:val="num" w:pos="432"/>
        </w:tabs>
        <w:ind w:left="432" w:hanging="432"/>
      </w:pPr>
      <w:rPr>
        <w:rFonts w:hint="default"/>
        <w:b/>
      </w:rPr>
    </w:lvl>
    <w:lvl w:ilvl="1">
      <w:start w:val="1"/>
      <w:numFmt w:val="decimal"/>
      <w:isLgl/>
      <w:lvlText w:val="%1.%2."/>
      <w:lvlJc w:val="left"/>
      <w:pPr>
        <w:tabs>
          <w:tab w:val="num" w:pos="1152"/>
        </w:tabs>
        <w:ind w:left="1152" w:hanging="720"/>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376"/>
        </w:tabs>
        <w:ind w:left="2376" w:hanging="108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92"/>
        </w:tabs>
        <w:ind w:left="4392" w:hanging="1800"/>
      </w:pPr>
      <w:rPr>
        <w:rFonts w:hint="default"/>
      </w:rPr>
    </w:lvl>
    <w:lvl w:ilvl="7">
      <w:start w:val="1"/>
      <w:numFmt w:val="decimal"/>
      <w:isLgl/>
      <w:lvlText w:val="%1.%2.%3.%4.%5.%6.%7.%8."/>
      <w:lvlJc w:val="left"/>
      <w:pPr>
        <w:tabs>
          <w:tab w:val="num" w:pos="4824"/>
        </w:tabs>
        <w:ind w:left="4824" w:hanging="1800"/>
      </w:pPr>
      <w:rPr>
        <w:rFonts w:hint="default"/>
      </w:rPr>
    </w:lvl>
    <w:lvl w:ilvl="8">
      <w:start w:val="1"/>
      <w:numFmt w:val="decimal"/>
      <w:isLgl/>
      <w:lvlText w:val="%1.%2.%3.%4.%5.%6.%7.%8.%9."/>
      <w:lvlJc w:val="left"/>
      <w:pPr>
        <w:tabs>
          <w:tab w:val="num" w:pos="5616"/>
        </w:tabs>
        <w:ind w:left="5616" w:hanging="2160"/>
      </w:pPr>
      <w:rPr>
        <w:rFonts w:hint="default"/>
      </w:rPr>
    </w:lvl>
  </w:abstractNum>
  <w:abstractNum w:abstractNumId="30">
    <w:nsid w:val="5BA91D52"/>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E9F4ACB"/>
    <w:multiLevelType w:val="singleLevel"/>
    <w:tmpl w:val="33BC2C96"/>
    <w:lvl w:ilvl="0">
      <w:start w:val="1"/>
      <w:numFmt w:val="bullet"/>
      <w:lvlText w:val="-"/>
      <w:lvlJc w:val="left"/>
      <w:pPr>
        <w:tabs>
          <w:tab w:val="num" w:pos="1494"/>
        </w:tabs>
        <w:ind w:left="1494" w:hanging="360"/>
      </w:pPr>
      <w:rPr>
        <w:rFonts w:hint="default"/>
      </w:rPr>
    </w:lvl>
  </w:abstractNum>
  <w:abstractNum w:abstractNumId="32">
    <w:nsid w:val="6322531B"/>
    <w:multiLevelType w:val="singleLevel"/>
    <w:tmpl w:val="F21A6926"/>
    <w:lvl w:ilvl="0">
      <w:start w:val="2"/>
      <w:numFmt w:val="bullet"/>
      <w:lvlText w:val="-"/>
      <w:lvlJc w:val="left"/>
      <w:pPr>
        <w:tabs>
          <w:tab w:val="num" w:pos="1440"/>
        </w:tabs>
        <w:ind w:left="1440" w:hanging="732"/>
      </w:pPr>
      <w:rPr>
        <w:rFonts w:hint="default"/>
      </w:rPr>
    </w:lvl>
  </w:abstractNum>
  <w:abstractNum w:abstractNumId="33">
    <w:nsid w:val="655370E2"/>
    <w:multiLevelType w:val="singleLevel"/>
    <w:tmpl w:val="D1B470CE"/>
    <w:lvl w:ilvl="0">
      <w:start w:val="3"/>
      <w:numFmt w:val="decimal"/>
      <w:lvlText w:val="%1"/>
      <w:lvlJc w:val="left"/>
      <w:pPr>
        <w:tabs>
          <w:tab w:val="num" w:pos="1155"/>
        </w:tabs>
        <w:ind w:left="1155" w:hanging="435"/>
      </w:pPr>
      <w:rPr>
        <w:rFonts w:hint="default"/>
      </w:rPr>
    </w:lvl>
  </w:abstractNum>
  <w:abstractNum w:abstractNumId="34">
    <w:nsid w:val="65D97532"/>
    <w:multiLevelType w:val="singleLevel"/>
    <w:tmpl w:val="BA606DE2"/>
    <w:lvl w:ilvl="0">
      <w:start w:val="1"/>
      <w:numFmt w:val="decimal"/>
      <w:lvlText w:val="%1"/>
      <w:lvlJc w:val="left"/>
      <w:pPr>
        <w:tabs>
          <w:tab w:val="num" w:pos="1080"/>
        </w:tabs>
        <w:ind w:left="1080" w:hanging="360"/>
      </w:pPr>
      <w:rPr>
        <w:rFonts w:hint="default"/>
      </w:rPr>
    </w:lvl>
  </w:abstractNum>
  <w:abstractNum w:abstractNumId="35">
    <w:nsid w:val="6A603544"/>
    <w:multiLevelType w:val="singleLevel"/>
    <w:tmpl w:val="70AE2456"/>
    <w:lvl w:ilvl="0">
      <w:start w:val="5"/>
      <w:numFmt w:val="decimal"/>
      <w:lvlText w:val="%1"/>
      <w:lvlJc w:val="left"/>
      <w:pPr>
        <w:tabs>
          <w:tab w:val="num" w:pos="1080"/>
        </w:tabs>
        <w:ind w:left="1080" w:hanging="360"/>
      </w:pPr>
      <w:rPr>
        <w:rFonts w:hint="default"/>
      </w:rPr>
    </w:lvl>
  </w:abstractNum>
  <w:abstractNum w:abstractNumId="36">
    <w:nsid w:val="6C350F15"/>
    <w:multiLevelType w:val="singleLevel"/>
    <w:tmpl w:val="7CA41E9A"/>
    <w:lvl w:ilvl="0">
      <w:start w:val="1"/>
      <w:numFmt w:val="decimal"/>
      <w:lvlText w:val="%1)"/>
      <w:lvlJc w:val="left"/>
      <w:pPr>
        <w:tabs>
          <w:tab w:val="num" w:pos="1155"/>
        </w:tabs>
        <w:ind w:left="1155" w:hanging="435"/>
      </w:pPr>
      <w:rPr>
        <w:rFonts w:hint="default"/>
      </w:rPr>
    </w:lvl>
  </w:abstractNum>
  <w:abstractNum w:abstractNumId="37">
    <w:nsid w:val="6C793A6D"/>
    <w:multiLevelType w:val="multilevel"/>
    <w:tmpl w:val="47AAC7B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nsid w:val="74790F0A"/>
    <w:multiLevelType w:val="singleLevel"/>
    <w:tmpl w:val="5EEAB71E"/>
    <w:lvl w:ilvl="0">
      <w:start w:val="1"/>
      <w:numFmt w:val="bullet"/>
      <w:lvlText w:val="-"/>
      <w:lvlJc w:val="left"/>
      <w:pPr>
        <w:tabs>
          <w:tab w:val="num" w:pos="1069"/>
        </w:tabs>
        <w:ind w:left="1069" w:hanging="360"/>
      </w:pPr>
      <w:rPr>
        <w:rFonts w:hint="default"/>
      </w:rPr>
    </w:lvl>
  </w:abstractNum>
  <w:abstractNum w:abstractNumId="39">
    <w:nsid w:val="74C60FB3"/>
    <w:multiLevelType w:val="singleLevel"/>
    <w:tmpl w:val="D4DCABB8"/>
    <w:lvl w:ilvl="0">
      <w:start w:val="4"/>
      <w:numFmt w:val="decimal"/>
      <w:lvlText w:val="%1."/>
      <w:lvlJc w:val="left"/>
      <w:pPr>
        <w:tabs>
          <w:tab w:val="num" w:pos="360"/>
        </w:tabs>
        <w:ind w:left="360" w:hanging="360"/>
      </w:pPr>
      <w:rPr>
        <w:rFonts w:hint="default"/>
        <w:b/>
      </w:rPr>
    </w:lvl>
  </w:abstractNum>
  <w:abstractNum w:abstractNumId="40">
    <w:nsid w:val="75AD3055"/>
    <w:multiLevelType w:val="singleLevel"/>
    <w:tmpl w:val="D1B470CE"/>
    <w:lvl w:ilvl="0">
      <w:start w:val="1"/>
      <w:numFmt w:val="decimal"/>
      <w:lvlText w:val="%1"/>
      <w:lvlJc w:val="left"/>
      <w:pPr>
        <w:tabs>
          <w:tab w:val="num" w:pos="1155"/>
        </w:tabs>
        <w:ind w:left="1155" w:hanging="435"/>
      </w:pPr>
      <w:rPr>
        <w:rFonts w:hint="default"/>
      </w:rPr>
    </w:lvl>
  </w:abstractNum>
  <w:abstractNum w:abstractNumId="41">
    <w:nsid w:val="765621E7"/>
    <w:multiLevelType w:val="singleLevel"/>
    <w:tmpl w:val="9AFC6142"/>
    <w:lvl w:ilvl="0">
      <w:start w:val="1"/>
      <w:numFmt w:val="decimal"/>
      <w:lvlText w:val="%1)"/>
      <w:lvlJc w:val="left"/>
      <w:pPr>
        <w:tabs>
          <w:tab w:val="num" w:pos="1080"/>
        </w:tabs>
        <w:ind w:left="1080" w:hanging="360"/>
      </w:pPr>
      <w:rPr>
        <w:rFonts w:hint="default"/>
      </w:rPr>
    </w:lvl>
  </w:abstractNum>
  <w:abstractNum w:abstractNumId="42">
    <w:nsid w:val="79FD28CF"/>
    <w:multiLevelType w:val="singleLevel"/>
    <w:tmpl w:val="838E4C8A"/>
    <w:lvl w:ilvl="0">
      <w:start w:val="1"/>
      <w:numFmt w:val="decimal"/>
      <w:lvlText w:val="%1."/>
      <w:lvlJc w:val="left"/>
      <w:pPr>
        <w:tabs>
          <w:tab w:val="num" w:pos="720"/>
        </w:tabs>
        <w:ind w:left="720" w:hanging="720"/>
      </w:pPr>
      <w:rPr>
        <w:rFonts w:hint="default"/>
      </w:rPr>
    </w:lvl>
  </w:abstractNum>
  <w:num w:numId="1">
    <w:abstractNumId w:val="36"/>
  </w:num>
  <w:num w:numId="2">
    <w:abstractNumId w:val="20"/>
  </w:num>
  <w:num w:numId="3">
    <w:abstractNumId w:val="41"/>
  </w:num>
  <w:num w:numId="4">
    <w:abstractNumId w:val="27"/>
  </w:num>
  <w:num w:numId="5">
    <w:abstractNumId w:val="26"/>
  </w:num>
  <w:num w:numId="6">
    <w:abstractNumId w:val="11"/>
  </w:num>
  <w:num w:numId="7">
    <w:abstractNumId w:val="33"/>
  </w:num>
  <w:num w:numId="8">
    <w:abstractNumId w:val="4"/>
  </w:num>
  <w:num w:numId="9">
    <w:abstractNumId w:val="13"/>
  </w:num>
  <w:num w:numId="10">
    <w:abstractNumId w:val="12"/>
  </w:num>
  <w:num w:numId="11">
    <w:abstractNumId w:val="40"/>
  </w:num>
  <w:num w:numId="12">
    <w:abstractNumId w:val="35"/>
  </w:num>
  <w:num w:numId="13">
    <w:abstractNumId w:val="34"/>
  </w:num>
  <w:num w:numId="14">
    <w:abstractNumId w:val="15"/>
  </w:num>
  <w:num w:numId="15">
    <w:abstractNumId w:val="22"/>
  </w:num>
  <w:num w:numId="16">
    <w:abstractNumId w:val="14"/>
  </w:num>
  <w:num w:numId="17">
    <w:abstractNumId w:val="0"/>
  </w:num>
  <w:num w:numId="18">
    <w:abstractNumId w:val="30"/>
  </w:num>
  <w:num w:numId="19">
    <w:abstractNumId w:val="10"/>
  </w:num>
  <w:num w:numId="20">
    <w:abstractNumId w:val="8"/>
  </w:num>
  <w:num w:numId="21">
    <w:abstractNumId w:val="5"/>
  </w:num>
  <w:num w:numId="22">
    <w:abstractNumId w:val="19"/>
  </w:num>
  <w:num w:numId="23">
    <w:abstractNumId w:val="1"/>
  </w:num>
  <w:num w:numId="24">
    <w:abstractNumId w:val="28"/>
  </w:num>
  <w:num w:numId="25">
    <w:abstractNumId w:val="29"/>
  </w:num>
  <w:num w:numId="26">
    <w:abstractNumId w:val="32"/>
  </w:num>
  <w:num w:numId="27">
    <w:abstractNumId w:val="18"/>
  </w:num>
  <w:num w:numId="28">
    <w:abstractNumId w:val="39"/>
  </w:num>
  <w:num w:numId="29">
    <w:abstractNumId w:val="3"/>
  </w:num>
  <w:num w:numId="30">
    <w:abstractNumId w:val="24"/>
  </w:num>
  <w:num w:numId="31">
    <w:abstractNumId w:val="42"/>
  </w:num>
  <w:num w:numId="32">
    <w:abstractNumId w:val="25"/>
  </w:num>
  <w:num w:numId="33">
    <w:abstractNumId w:val="6"/>
  </w:num>
  <w:num w:numId="34">
    <w:abstractNumId w:val="17"/>
  </w:num>
  <w:num w:numId="35">
    <w:abstractNumId w:val="31"/>
  </w:num>
  <w:num w:numId="36">
    <w:abstractNumId w:val="7"/>
  </w:num>
  <w:num w:numId="37">
    <w:abstractNumId w:val="9"/>
  </w:num>
  <w:num w:numId="38">
    <w:abstractNumId w:val="16"/>
  </w:num>
  <w:num w:numId="39">
    <w:abstractNumId w:val="2"/>
  </w:num>
  <w:num w:numId="40">
    <w:abstractNumId w:val="21"/>
  </w:num>
  <w:num w:numId="41">
    <w:abstractNumId w:val="37"/>
  </w:num>
  <w:num w:numId="42">
    <w:abstractNumId w:val="2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D4F"/>
    <w:rsid w:val="0003051E"/>
    <w:rsid w:val="00604E2C"/>
    <w:rsid w:val="00B86D4F"/>
    <w:rsid w:val="00CC6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8F289C-5FB3-4A7E-A546-749007A4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sz w:val="36"/>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spacing w:line="360" w:lineRule="auto"/>
      <w:jc w:val="center"/>
      <w:outlineLvl w:val="4"/>
    </w:pPr>
    <w:rPr>
      <w:b/>
      <w:sz w:val="28"/>
      <w:u w:val="single"/>
    </w:rPr>
  </w:style>
  <w:style w:type="paragraph" w:styleId="6">
    <w:name w:val="heading 6"/>
    <w:basedOn w:val="a"/>
    <w:next w:val="a"/>
    <w:qFormat/>
    <w:pPr>
      <w:keepNext/>
      <w:spacing w:line="360" w:lineRule="auto"/>
      <w:jc w:val="center"/>
      <w:outlineLvl w:val="5"/>
    </w:pPr>
    <w:rPr>
      <w:i/>
      <w:sz w:val="28"/>
      <w:u w:val="single"/>
    </w:rPr>
  </w:style>
  <w:style w:type="paragraph" w:styleId="7">
    <w:name w:val="heading 7"/>
    <w:basedOn w:val="a"/>
    <w:next w:val="a"/>
    <w:qFormat/>
    <w:pPr>
      <w:keepNext/>
      <w:spacing w:line="360" w:lineRule="auto"/>
      <w:jc w:val="center"/>
      <w:outlineLvl w:val="6"/>
    </w:pPr>
    <w:rPr>
      <w:i/>
      <w:sz w:val="28"/>
    </w:rPr>
  </w:style>
  <w:style w:type="paragraph" w:styleId="8">
    <w:name w:val="heading 8"/>
    <w:basedOn w:val="a"/>
    <w:next w:val="a"/>
    <w:qFormat/>
    <w:pPr>
      <w:keepNext/>
      <w:spacing w:line="360" w:lineRule="auto"/>
      <w:outlineLvl w:val="7"/>
    </w:pPr>
    <w:rPr>
      <w:b/>
      <w:sz w:val="28"/>
      <w:u w:val="single"/>
    </w:rPr>
  </w:style>
  <w:style w:type="paragraph" w:styleId="9">
    <w:name w:val="heading 9"/>
    <w:basedOn w:val="a"/>
    <w:next w:val="a"/>
    <w:qFormat/>
    <w:pPr>
      <w:keepNext/>
      <w:spacing w:line="360" w:lineRule="auto"/>
      <w:ind w:hanging="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hanging="720"/>
      <w:jc w:val="both"/>
    </w:pPr>
    <w:rPr>
      <w:sz w:val="28"/>
    </w:rPr>
  </w:style>
  <w:style w:type="paragraph" w:styleId="20">
    <w:name w:val="Body Text Indent 2"/>
    <w:basedOn w:val="a"/>
    <w:semiHidden/>
    <w:pPr>
      <w:ind w:left="720"/>
      <w:jc w:val="both"/>
    </w:pPr>
    <w:rPr>
      <w:sz w:val="28"/>
    </w:rPr>
  </w:style>
  <w:style w:type="paragraph" w:styleId="a4">
    <w:name w:val="Document Map"/>
    <w:basedOn w:val="a"/>
    <w:semiHidden/>
    <w:pPr>
      <w:shd w:val="clear" w:color="auto" w:fill="000080"/>
    </w:pPr>
    <w:rPr>
      <w:rFonts w:ascii="Tahoma" w:hAnsi="Tahoma"/>
    </w:rPr>
  </w:style>
  <w:style w:type="paragraph" w:styleId="a5">
    <w:name w:val="Body Text"/>
    <w:basedOn w:val="a"/>
    <w:semiHidden/>
    <w:pPr>
      <w:spacing w:after="120"/>
    </w:pPr>
  </w:style>
  <w:style w:type="paragraph" w:styleId="30">
    <w:name w:val="Body Text Indent 3"/>
    <w:basedOn w:val="a"/>
    <w:semiHidden/>
    <w:pPr>
      <w:spacing w:line="360" w:lineRule="auto"/>
      <w:ind w:firstLine="720"/>
      <w:jc w:val="both"/>
    </w:pPr>
    <w:rPr>
      <w:sz w:val="28"/>
    </w:rPr>
  </w:style>
  <w:style w:type="paragraph" w:styleId="a6">
    <w:name w:val="footnote text"/>
    <w:basedOn w:val="a"/>
    <w:semiHidden/>
  </w:style>
  <w:style w:type="character" w:styleId="a7">
    <w:name w:val="footnote reference"/>
    <w:semiHidden/>
    <w:rPr>
      <w:vertAlign w:val="superscript"/>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21">
    <w:name w:val="Body Text 2"/>
    <w:basedOn w:val="a"/>
    <w:semiHidden/>
    <w:pPr>
      <w:spacing w:line="360" w:lineRule="auto"/>
      <w:jc w:val="both"/>
    </w:pPr>
    <w:rPr>
      <w:sz w:val="28"/>
    </w:rPr>
  </w:style>
  <w:style w:type="paragraph" w:styleId="31">
    <w:name w:val="Body Text 3"/>
    <w:basedOn w:val="a"/>
    <w:semiHidden/>
    <w:pPr>
      <w:jc w:val="both"/>
    </w:pPr>
    <w:rPr>
      <w:i/>
    </w:rPr>
  </w:style>
  <w:style w:type="paragraph" w:styleId="aa">
    <w:name w:val="Title"/>
    <w:basedOn w:val="a"/>
    <w:qFormat/>
    <w:pPr>
      <w:jc w:val="center"/>
    </w:pPr>
    <w:rPr>
      <w:rFonts w:ascii="Impact" w:hAnsi="Impact"/>
      <w:sz w:val="44"/>
    </w:rPr>
  </w:style>
  <w:style w:type="paragraph" w:customStyle="1" w:styleId="Iauiue">
    <w:name w:val="Iau?iue"/>
    <w:rPr>
      <w:sz w:val="24"/>
    </w:rPr>
  </w:style>
  <w:style w:type="paragraph" w:customStyle="1" w:styleId="oaenoniinee">
    <w:name w:val="oaeno niinee"/>
    <w:basedOn w:val="Iauiue"/>
    <w:rPr>
      <w:sz w:val="20"/>
    </w:rPr>
  </w:style>
  <w:style w:type="character" w:customStyle="1" w:styleId="ciaeniinee">
    <w:name w:val="ciae niinee"/>
    <w:rPr>
      <w:vertAlign w:val="superscript"/>
    </w:rPr>
  </w:style>
  <w:style w:type="paragraph" w:styleId="ab">
    <w:name w:val="footer"/>
    <w:basedOn w:val="a"/>
    <w:semiHidden/>
    <w:pPr>
      <w:tabs>
        <w:tab w:val="center" w:pos="4153"/>
        <w:tab w:val="right" w:pos="8306"/>
      </w:tabs>
    </w:pPr>
  </w:style>
  <w:style w:type="paragraph" w:styleId="ac">
    <w:name w:val="Plain Text"/>
    <w:basedOn w:val="a"/>
    <w:semiHidden/>
    <w:rPr>
      <w:rFonts w:ascii="Courier New" w:hAnsi="Courier New"/>
    </w:rPr>
  </w:style>
  <w:style w:type="paragraph" w:styleId="ad">
    <w:name w:val="endnote text"/>
    <w:basedOn w:val="a"/>
    <w:semiHidden/>
  </w:style>
  <w:style w:type="character" w:styleId="ae">
    <w:name w:val="endnote reference"/>
    <w:semiHidden/>
    <w:rPr>
      <w:vertAlign w:val="superscript"/>
    </w:rPr>
  </w:style>
  <w:style w:type="paragraph" w:styleId="af">
    <w:name w:val="Block Text"/>
    <w:basedOn w:val="a"/>
    <w:semiHidden/>
    <w:pPr>
      <w:spacing w:line="360" w:lineRule="auto"/>
      <w:ind w:left="-567" w:right="-607" w:firstLine="284"/>
      <w:jc w:val="both"/>
    </w:pPr>
    <w:rPr>
      <w:snapToGrid w:val="0"/>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3617</Words>
  <Characters>20622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Высшей формой кодификации Сперанский считал составление «уложений», основанием для которых должен явиться «Свод законов»</vt:lpstr>
    </vt:vector>
  </TitlesOfParts>
  <Company>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Высшей формой кодификации Сперанский считал составление «уложений», основанием для которых должен явиться «Свод законов»</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2002-12-24T11:28:00Z</cp:lastPrinted>
  <dcterms:created xsi:type="dcterms:W3CDTF">2014-02-13T11:57:00Z</dcterms:created>
  <dcterms:modified xsi:type="dcterms:W3CDTF">2014-02-13T11:57:00Z</dcterms:modified>
</cp:coreProperties>
</file>