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4ABB" w:rsidRDefault="00034ABB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561EC">
        <w:rPr>
          <w:b/>
          <w:bCs/>
          <w:sz w:val="28"/>
          <w:szCs w:val="28"/>
        </w:rPr>
        <w:t>Р</w:t>
      </w:r>
      <w:r w:rsidR="00E561EC" w:rsidRPr="00E561EC">
        <w:rPr>
          <w:b/>
          <w:bCs/>
          <w:sz w:val="28"/>
          <w:szCs w:val="28"/>
        </w:rPr>
        <w:t>ешение конституционного суда как самостоятельный источник права</w:t>
      </w: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10ACC" w:rsidRDefault="00210ACC" w:rsidP="00210A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4ABB" w:rsidRPr="00E561EC" w:rsidRDefault="00210ACC" w:rsidP="00210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34ABB" w:rsidRPr="00E561EC">
        <w:rPr>
          <w:sz w:val="28"/>
          <w:szCs w:val="28"/>
        </w:rPr>
        <w:t>До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недавнего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времени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отечественная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правовая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наука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мало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внимания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уделяла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понятию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«источник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права».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Профессор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С.Ф.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Кечекьян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отмечал,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это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понятие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«принадлежит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к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числу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наиболее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неясных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теории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права.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только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нет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общепризнанного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определения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этого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понятия,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но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даже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спорным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является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самый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смысл,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котором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употребляются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слова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«источник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права».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Ведь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«источник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права»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это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более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чем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образ,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который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скорее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должен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помочь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пониманию,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чем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дать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понятие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того,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обозначается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этим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выражением»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[1].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Единственное,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чем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специалисты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сходились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во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мнении,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определяя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понятие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«источник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права»,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так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это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то,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под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этой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категорией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следует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понимать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причины,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порождающие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юридические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правила,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а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способы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формирования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юридических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норм,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формы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изложения</w:t>
      </w:r>
      <w:r w:rsidR="00E561EC" w:rsidRPr="00E561EC">
        <w:rPr>
          <w:sz w:val="28"/>
          <w:szCs w:val="28"/>
        </w:rPr>
        <w:t xml:space="preserve"> </w:t>
      </w:r>
      <w:r w:rsidR="00034ABB" w:rsidRPr="00E561EC">
        <w:rPr>
          <w:sz w:val="28"/>
          <w:szCs w:val="28"/>
        </w:rPr>
        <w:t>права.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Английский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правовед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Эллен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определяет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деятельность,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посредством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которой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поведения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приобретают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характер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становясь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объективно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определенными,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постоянными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прежде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всего,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обязательными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[2].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условиях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советской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системы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единственным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признавался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Поэтому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понятие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«система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обычно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заменяло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понятие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«система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законодательства».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Этатическая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теория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взаимоотношении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понятий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«государства»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«права»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приоритет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отдавала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«государству».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рассматривалось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лишь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способ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формирования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государственной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воли.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Безусловно,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доминирующий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мнению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О.А.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Пучкова,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имеет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следующие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неоспоримые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преимущества: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-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может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быть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издан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оперативно,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любой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части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изменен,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позволяет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относительно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быстро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реагировать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социальные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процессы;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-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акты,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правило,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определенным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образом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систематизированы,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позволяет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легко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осуществлять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поиск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нужного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документа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применения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реализации;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-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позволяют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точно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фиксировать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содержание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помогает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проводить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единую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политику,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допускать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произвольного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толкования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применения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норм;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-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поддерживаются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государством,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охраняются.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случае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нарушения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положений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нарушители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преследуются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наказываются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основании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[3].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Закрепление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1993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года,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наряду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законами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другими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правовыми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актами,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качестве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международных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договоров,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также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общепризнанных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принципов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международного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дало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толчок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переосмыслению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практически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всех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общетеоретических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понятий,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числе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системы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Перед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наукой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встала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задача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теоретически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объяснить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важность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включения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систему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современного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таких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видов,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высшей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власти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построить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целостную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систему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современного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включающую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себя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наряду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общефедеральными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источниками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создаваемые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других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уровнях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региональном,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муниципальном,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корпоративном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(локальном).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науке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по-разному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воспринимается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понятие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«источник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права».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континентальном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праве,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включающем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законодателя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является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доминирующим,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англо-саксонском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первое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место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ставится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практика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«право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судей».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классическая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теория.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Однако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уже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давно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идет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пути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чистого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разделения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двух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направлений.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Происходит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постепенное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сближение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систем,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конвергенция.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деле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большую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роль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играют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Европейского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человека.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созданы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юстиции,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чьи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общеобязательны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имеют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высокую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юридическую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силу.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Верховный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Высший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Арбитражный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разъяснения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вопросам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практики,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предлагают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единое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проблем.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разъяснения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более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важны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ввиду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того,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Гражданский,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Семейный,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Гражданский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процессуальный,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Арбитражный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процессуальный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кодексы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допускают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аналогию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аналогию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Однако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наше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законодательство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позволяет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признавать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разъяснения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Верховного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Высшего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Арбитражного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вопросам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практики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качестве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Несмотря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разъяснения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оказывают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значительное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влияние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последующие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какой-то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мере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приобретают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прецедентное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значение,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они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содержат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общей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арбитражной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юрисдикции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являются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правоприменительными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актами.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силу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118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общей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арбитражной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юрисдикции,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числе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Верховный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Высший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Арбитражный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рассмотрении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конкретного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дела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принимают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соответствии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законом.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Если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рассмотрении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дела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придет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выводу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несоответствии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применяемого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обязан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приостановить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производство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делу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обратиться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Предполагаем,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если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разъяснения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Верховного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Высшего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Арбитражного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являлись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источниками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125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имелась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дающая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Конституционному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проверять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соответствии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Иную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юридическую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силу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имеют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юстиции.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основании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79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Федерального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21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июня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1994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окончательно,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подлежит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обжалованию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вступает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силу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немедленно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после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провозглашения.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действует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непосредственно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требует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подтверждения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другими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органами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должностными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лицами.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Юридическая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сила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постановления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неконституционным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может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быть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преодолена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повторным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принятием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же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акта.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Акты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отдельные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положения,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признанные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неконституционными,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утрачивают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силу;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признанные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несоответствующими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вступившие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силу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международные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договоры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подлежат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введению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действие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применению.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органов,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основанные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актах,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признанных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неконституционными,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подлежат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исполнению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должны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быть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пересмотрены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установленных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федеральным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случаях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[4].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Схожие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содержатся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всех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законах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(уставных)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субъектов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юстиции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обладают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рядом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свойств,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характерных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актов.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ним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относятся: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1.общеобязательность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(уставного)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территории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субъекта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(она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отличается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обязательного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исполнения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других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судов,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т.к.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носит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общий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характер);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2.окончательность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(уставного)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которое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является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окончательным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обжалованию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подлежит;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3.непосредственность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действия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(уставного)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которое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требует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утверждения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каким-либо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актом;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4.непреодолимость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(уставного)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(юридическая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сила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может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быть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преодолена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повторным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принятием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же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акта).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Однако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науке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единого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взгляда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юридическую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природу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юстиции.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Так,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например,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академик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Нерсесянц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считает,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несоответствующим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является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правоприменительным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актом.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Действие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неконституционным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положения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отменяется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законодателем,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данном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случае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силу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прямого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действия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установившей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такое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правило.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несоответствии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рассматриваемого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лишь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основание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отмены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компетентным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правотворческим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органом,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сама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отмена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[5].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Противоположную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позицию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занимает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профессор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Авакьян.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считает,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выполнение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каким-либо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субъектом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задач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правоприменения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отнюдь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исключает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правотворческой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деятельности.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Наоборот,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очень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многие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из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них,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применяя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нормы,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созданные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другими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субъектами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же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время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реализации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создают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новые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нормы,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причем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форме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своих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актов.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частности,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правительство,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осуществляя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генеральную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функцию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исполнительной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власти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организация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применения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законов,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цели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использует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свое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правотворчество.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отношению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соответствующему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вполне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можно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назвать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правоприменением,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хотя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известная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условность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понятийного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аппарата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данном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случае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очевидна»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[6].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Профессор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Кряжков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пытается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примирить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авторов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различных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позиций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природе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судов.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мнению,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занимают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специфическое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место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системе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актов.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Они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могут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быть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отнесены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правоприменительным,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нормоустанавливающим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актам,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сочетаются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качества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другого»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[7].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нашему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мнению,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осуществляют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правотворческую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функцию,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определенными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особенностями.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именно: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1)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правотворчество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является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главной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целью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«дополнительным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продуктом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функционирования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правосудия»;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2)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осуществляется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основе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должно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противоречить;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3)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связано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чаще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толкованием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восполнением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пробелов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праве;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4)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существуют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пределы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правотворчества;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5)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сами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правоположения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вырабатываются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основе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принципов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юридических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норм;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6)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они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могут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сами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себе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отменить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изменить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настоящее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время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науке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утвердилось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мнение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источник?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Западе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традиционно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признавалась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множественность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Так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профессор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Жан-Луи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Бержель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считает: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«хотя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значимость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авторитет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варьируется,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зависит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конкретной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юридической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системы,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так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эпохи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страны,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из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всех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можно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выделить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обычай,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практику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толкование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(или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учений).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Принято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выделять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также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«источники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письменные»,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например,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«источники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неписаные»,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например,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обычай,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«источники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прямые»,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например,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толкование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практика…»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[8].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Профессор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В.Д.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Зорькин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отмечает: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юриспруденции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существует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взгляд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прецедентного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характера.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Действительно,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некоторые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существенные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свойства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содержащих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позиции,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сближают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прецедентами.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Так,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распространяются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только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конкретный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случай,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аналогичные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случаи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имеют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официальный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характер,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делающий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реализацию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обязательной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территории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страны.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Поскольку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можно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говорить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самостоятельной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правотворческой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функции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следует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признать,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приобретают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прецедентный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характер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становятся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источниками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[9].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Безусловно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отдельные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свойства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прецедента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характерны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нашему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мнению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между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ними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есть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существенные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различия.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Судебный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прецедент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«решение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конкретному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делу,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которое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служит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образцом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принятия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будущем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другим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делам,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возникшим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связи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аналогичными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фактическими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обстоятельствами»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[10].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решение,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становящееся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прецедентом,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обязательным,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правило,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судов,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рассматривающих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аналогичные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дела,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т.е.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обладающих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одинаковой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подсудностью.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Причем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небольшая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непохожесть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фабуле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дела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может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повлечь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принятие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федеральном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уровне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функционирует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один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Суд?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намерен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выносить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одинаковые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Однажды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высказанная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позиция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служит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основанием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отказа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принятии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производству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похожих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дел.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тому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же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соответствии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6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Федерального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обязательны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территории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всех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представительных,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исполнительных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государственной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власти,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местного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самоуправления,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предприятий,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учреждений,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организаций,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должностных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лиц,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граждан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объединений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[11].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Такое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различие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природе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юридической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силе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прецедента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объясняется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особым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статусом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Профессор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В.Е.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Чиркин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предлагает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включать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этот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власть,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отнести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специальной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ветви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контрольной,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поскольку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функция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контроля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является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первоочередной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[12].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Однако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более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признаваемой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является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точка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зрения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имеет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двойственную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природу.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Так,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например,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мнению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профессора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Б.С.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Эбзеева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«обладает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двойственной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природой.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одной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стороны,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является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государственной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сласти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данном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качестве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стоит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одном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ряду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другими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органами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государства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Президентом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Федеральным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Собранием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Правительством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[13].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более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импонирует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мнение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тех,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самостоятельным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права[14].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Вместе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необходимо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учитывать,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принимают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различные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решения: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толковании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частей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соответствующими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несоответствующими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конституциям,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результатам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рассмотрения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споров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компетенции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между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органами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государственной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власти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т.д.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является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позиция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Причем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позиция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обладает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же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юридической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силой,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постановление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толковании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соответствующего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обязательна,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неисполнение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влечет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тех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же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последствий,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неисполнении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основании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ст.80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Федерального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редакции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15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декабря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2001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власти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должностные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лица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обязаны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принимать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меры,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если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несоответствующим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полностью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частично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либо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из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вытекает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необходимость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устранения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пробелов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регулировании.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Высшее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должностное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лицо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субъекта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позднее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двух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месяцев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после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опубликования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отменяет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признанный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неконституционным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принимает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новый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либо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вносит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изменения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и/или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дополнения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признанный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неконституционным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отдельной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части.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Если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истечению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двух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месяцев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после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опубликования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высшим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должностным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лицом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субъекта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будут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приняты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настоящим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пунктом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меры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связи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применяется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механизм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ответственности,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предусмотренный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федеральным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законодательством.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Ответственность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неисполнение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позиции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предусмотрена.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предусмотрена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Федеральном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«Об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общих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принципах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организации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законодательных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(представительных)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исполнительных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субъектов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6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октября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1999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года.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связи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этим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позиции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реализуются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большим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опозданием.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соответствии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ст.77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Республики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Коми,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принятой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17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февраля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1994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принимаются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Государственным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Советом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сессиях,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если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проголосовало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большинство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числа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избранных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депутатов.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12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апреля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1995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постановлении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делу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толковании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статей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103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(ч.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3),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105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(части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5),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107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(ч.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3),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108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(ч.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2),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117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(ч.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3)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135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(ч.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высказал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позицию,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заключающуюся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том,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парламента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должны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воплощать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интересы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большинства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обществе,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только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парламентского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большинства.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может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обеспечиваться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только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случае,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если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проголосовало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большинство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установленного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числа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депутатов.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Принятие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большинством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данного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числа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всех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случаях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учитывают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волю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представителей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менее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половины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избирательного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корпуса,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вследствие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чего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наличие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вакантных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мандатов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депутатов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может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сказаться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итогах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голосования.</w:t>
      </w:r>
    </w:p>
    <w:p w:rsidR="00034ABB" w:rsidRPr="00E561EC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Только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через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четыре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половиной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ст.77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Республики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Коми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были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внесены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изменения.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новой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редакции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принимаются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большинством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голосов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установленного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числа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депутатов.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Представляется,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было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сделано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потому,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что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существует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позиция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связи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появлением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соответствующей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Федеральном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«Об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общих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принципах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организации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законодательных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(представительных)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исполнительных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субъектов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Федерации».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По-видимому,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федеральный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законодатель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учел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правовую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позицию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Федерации.</w:t>
      </w:r>
    </w:p>
    <w:p w:rsidR="00034ABB" w:rsidRDefault="00034ABB" w:rsidP="00210ACC">
      <w:pPr>
        <w:spacing w:line="360" w:lineRule="auto"/>
        <w:ind w:firstLine="709"/>
        <w:jc w:val="both"/>
        <w:rPr>
          <w:sz w:val="28"/>
          <w:szCs w:val="28"/>
        </w:rPr>
      </w:pPr>
    </w:p>
    <w:p w:rsidR="00E561EC" w:rsidRDefault="00E561EC" w:rsidP="00210ACC">
      <w:pPr>
        <w:spacing w:line="360" w:lineRule="auto"/>
        <w:ind w:firstLine="709"/>
        <w:jc w:val="both"/>
        <w:rPr>
          <w:sz w:val="28"/>
          <w:szCs w:val="28"/>
        </w:rPr>
      </w:pPr>
    </w:p>
    <w:p w:rsidR="00034ABB" w:rsidRDefault="00E561EC" w:rsidP="00210A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34ABB" w:rsidRPr="00E561EC">
        <w:rPr>
          <w:b/>
          <w:bCs/>
          <w:sz w:val="28"/>
          <w:szCs w:val="28"/>
        </w:rPr>
        <w:t>Литература</w:t>
      </w:r>
    </w:p>
    <w:p w:rsidR="00E561EC" w:rsidRPr="00E561EC" w:rsidRDefault="00E561EC" w:rsidP="00210ACC">
      <w:pPr>
        <w:spacing w:line="360" w:lineRule="auto"/>
        <w:ind w:firstLine="709"/>
        <w:jc w:val="both"/>
        <w:rPr>
          <w:sz w:val="28"/>
          <w:szCs w:val="28"/>
        </w:rPr>
      </w:pP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1.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Кечекьян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С.Ф.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понятии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/С.Ф.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Кечекьян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Ученые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записки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МГУ.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Вып.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116.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М.,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1946.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Кн.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2.</w:t>
      </w: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  <w:lang w:val="en-US"/>
        </w:rPr>
        <w:t>2.</w:t>
      </w:r>
      <w:r w:rsidR="00E561EC" w:rsidRPr="00E561EC">
        <w:rPr>
          <w:sz w:val="28"/>
          <w:szCs w:val="28"/>
          <w:lang w:val="en-US"/>
        </w:rPr>
        <w:t xml:space="preserve"> </w:t>
      </w:r>
      <w:r w:rsidRPr="00E561EC">
        <w:rPr>
          <w:sz w:val="28"/>
          <w:szCs w:val="28"/>
          <w:lang w:val="en-US"/>
        </w:rPr>
        <w:t>Allen</w:t>
      </w:r>
      <w:r w:rsidR="00E561EC" w:rsidRPr="00E561EC">
        <w:rPr>
          <w:sz w:val="28"/>
          <w:szCs w:val="28"/>
          <w:lang w:val="en-US"/>
        </w:rPr>
        <w:t xml:space="preserve"> </w:t>
      </w:r>
      <w:r w:rsidRPr="00E561EC">
        <w:rPr>
          <w:sz w:val="28"/>
          <w:szCs w:val="28"/>
          <w:lang w:val="en-US"/>
        </w:rPr>
        <w:t>C.K.</w:t>
      </w:r>
      <w:r w:rsidR="00E561EC" w:rsidRPr="00E561EC">
        <w:rPr>
          <w:sz w:val="28"/>
          <w:szCs w:val="28"/>
          <w:lang w:val="en-US"/>
        </w:rPr>
        <w:t xml:space="preserve"> </w:t>
      </w:r>
      <w:r w:rsidRPr="00E561EC">
        <w:rPr>
          <w:sz w:val="28"/>
          <w:szCs w:val="28"/>
          <w:lang w:val="en-US"/>
        </w:rPr>
        <w:t>Law</w:t>
      </w:r>
      <w:r w:rsidR="00E561EC" w:rsidRPr="00E561EC">
        <w:rPr>
          <w:sz w:val="28"/>
          <w:szCs w:val="28"/>
          <w:lang w:val="en-US"/>
        </w:rPr>
        <w:t xml:space="preserve"> </w:t>
      </w:r>
      <w:r w:rsidRPr="00E561EC">
        <w:rPr>
          <w:sz w:val="28"/>
          <w:szCs w:val="28"/>
          <w:lang w:val="en-US"/>
        </w:rPr>
        <w:t>in</w:t>
      </w:r>
      <w:r w:rsidR="00E561EC" w:rsidRPr="00E561EC">
        <w:rPr>
          <w:sz w:val="28"/>
          <w:szCs w:val="28"/>
          <w:lang w:val="en-US"/>
        </w:rPr>
        <w:t xml:space="preserve"> </w:t>
      </w:r>
      <w:r w:rsidRPr="00E561EC">
        <w:rPr>
          <w:sz w:val="28"/>
          <w:szCs w:val="28"/>
          <w:lang w:val="en-US"/>
        </w:rPr>
        <w:t>the</w:t>
      </w:r>
      <w:r w:rsidR="00E561EC" w:rsidRPr="00E561EC">
        <w:rPr>
          <w:sz w:val="28"/>
          <w:szCs w:val="28"/>
          <w:lang w:val="en-US"/>
        </w:rPr>
        <w:t xml:space="preserve"> </w:t>
      </w:r>
      <w:r w:rsidRPr="00E561EC">
        <w:rPr>
          <w:sz w:val="28"/>
          <w:szCs w:val="28"/>
          <w:lang w:val="en-US"/>
        </w:rPr>
        <w:t>making.</w:t>
      </w:r>
      <w:r w:rsidR="00E561EC" w:rsidRPr="00E561EC">
        <w:rPr>
          <w:sz w:val="28"/>
          <w:szCs w:val="28"/>
          <w:lang w:val="en-US"/>
        </w:rPr>
        <w:t xml:space="preserve"> </w:t>
      </w:r>
      <w:r w:rsidRPr="00E561EC">
        <w:rPr>
          <w:sz w:val="28"/>
          <w:szCs w:val="28"/>
        </w:rPr>
        <w:t>Oxford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univ.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press.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1958.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1.</w:t>
      </w: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3.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Пучков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О.А.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Формы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(источники)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Правотворчество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О.А.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Пучков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Теория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государства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ред.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Корельского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В.М.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Перевалова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В.Д.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М.: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«Инфра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Норма»,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1997.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288.</w:t>
      </w: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4.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Федерации: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Федеральный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21.07.1994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№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1-ФКЗ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Собр.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законодательства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РФ.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1994.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№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13.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1447.</w:t>
      </w: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5.Нерсесянц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законодательствует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управляет,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применят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(О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правоприменительной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природе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органов)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/В.С.Нерсесянц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Судебная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практика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как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источник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М.,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1997.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34-41.</w:t>
      </w: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6.Авакьян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Нормативное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значение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Авакьян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Юридическая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природа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актов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конституционных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Республики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Болгария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София,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2004.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62-63.</w:t>
      </w: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7.Кряжков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юстиция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Кряжков,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А.В.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Лазарев.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М.: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БЕК,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1998.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227.</w:t>
      </w: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8.Бержель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Ж-Л.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Общая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теория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Ж-Л.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Бержель.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М.: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2000.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98.</w:t>
      </w: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9.Зорькин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В.Д.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XXI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веке.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Взгляд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Ильинки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В.Д.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Зорькин.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М.: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2007.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116-117.</w:t>
      </w: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10.Конституционное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Энциклопедический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словарь.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Под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ред.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Авакьяна.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М.: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Норма,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2000.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569.</w:t>
      </w: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11.О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Конституционном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Федерации: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Федеральный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от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21.07.1994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№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1-ФКЗ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Собр.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законодательства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РФ.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1994.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№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13.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Ст.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1447.</w:t>
      </w: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12.Чиркин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В.Е.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Элементы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сравнительного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государствоведения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В.Е.Чиркин.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М.: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Юрист,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1994.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124.</w:t>
      </w: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13.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Эбзеев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Б.С.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Конституция.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Правовое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государство.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Конституционный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Б.С.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Эбзеев.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М.: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«Закон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право»,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1997.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119-120.</w:t>
      </w:r>
    </w:p>
    <w:p w:rsidR="00034ABB" w:rsidRPr="00E561EC" w:rsidRDefault="00034ABB" w:rsidP="00210ACC">
      <w:pPr>
        <w:spacing w:line="360" w:lineRule="auto"/>
        <w:jc w:val="both"/>
        <w:rPr>
          <w:sz w:val="28"/>
          <w:szCs w:val="28"/>
        </w:rPr>
      </w:pPr>
      <w:r w:rsidRPr="00E561EC">
        <w:rPr>
          <w:sz w:val="28"/>
          <w:szCs w:val="28"/>
        </w:rPr>
        <w:t>14.См.: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Витрук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Н.В.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правосудие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Н.В.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Витрук.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М.,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2001.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108;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Лазарев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Техника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учета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решений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В.В.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Лазарев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Журнал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права.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1997.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№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11.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48;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Хабриева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Т.Я.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Процессуальные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вопросы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толкования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в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деятельности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Конституционного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Суда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Российской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Федерации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Т.Я.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Хабриева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//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Государство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и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право.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1996.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№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10.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–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С.</w:t>
      </w:r>
      <w:r w:rsidR="00E561EC" w:rsidRPr="00E561EC">
        <w:rPr>
          <w:sz w:val="28"/>
          <w:szCs w:val="28"/>
        </w:rPr>
        <w:t xml:space="preserve"> </w:t>
      </w:r>
      <w:r w:rsidRPr="00E561EC">
        <w:rPr>
          <w:sz w:val="28"/>
          <w:szCs w:val="28"/>
        </w:rPr>
        <w:t>17.</w:t>
      </w:r>
    </w:p>
    <w:p w:rsidR="00503A4E" w:rsidRPr="00486AAA" w:rsidRDefault="00503A4E" w:rsidP="00503A4E">
      <w:pPr>
        <w:rPr>
          <w:b/>
          <w:color w:val="FFFFFF"/>
          <w:sz w:val="28"/>
          <w:szCs w:val="28"/>
        </w:rPr>
      </w:pPr>
      <w:r w:rsidRPr="00486AAA">
        <w:rPr>
          <w:b/>
          <w:color w:val="FFFFFF"/>
          <w:sz w:val="28"/>
          <w:szCs w:val="28"/>
        </w:rPr>
        <w:t>источник право нормативный акт</w:t>
      </w:r>
    </w:p>
    <w:p w:rsidR="00034ABB" w:rsidRPr="00486AAA" w:rsidRDefault="00034ABB" w:rsidP="00210ACC">
      <w:pPr>
        <w:spacing w:line="360" w:lineRule="auto"/>
        <w:jc w:val="both"/>
        <w:rPr>
          <w:color w:val="FFFFFF"/>
          <w:sz w:val="28"/>
          <w:szCs w:val="28"/>
        </w:rPr>
      </w:pPr>
    </w:p>
    <w:p w:rsidR="00712796" w:rsidRPr="00486AAA" w:rsidRDefault="00712796" w:rsidP="00210ACC">
      <w:pPr>
        <w:ind w:left="1429"/>
        <w:jc w:val="both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712796" w:rsidRPr="00486AAA" w:rsidSect="00E561EC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AA" w:rsidRDefault="00486AAA" w:rsidP="00712796">
      <w:r>
        <w:separator/>
      </w:r>
    </w:p>
  </w:endnote>
  <w:endnote w:type="continuationSeparator" w:id="0">
    <w:p w:rsidR="00486AAA" w:rsidRDefault="00486AAA" w:rsidP="0071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AA" w:rsidRDefault="00486AAA" w:rsidP="00712796">
      <w:r>
        <w:separator/>
      </w:r>
    </w:p>
  </w:footnote>
  <w:footnote w:type="continuationSeparator" w:id="0">
    <w:p w:rsidR="00486AAA" w:rsidRDefault="00486AAA" w:rsidP="0071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96" w:rsidRPr="00712796" w:rsidRDefault="00712796" w:rsidP="00712796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ABB"/>
    <w:rsid w:val="00034ABB"/>
    <w:rsid w:val="001C6B3D"/>
    <w:rsid w:val="00210ACC"/>
    <w:rsid w:val="00486AAA"/>
    <w:rsid w:val="00503A4E"/>
    <w:rsid w:val="00712796"/>
    <w:rsid w:val="008E78CD"/>
    <w:rsid w:val="00DC0B5C"/>
    <w:rsid w:val="00E13BF4"/>
    <w:rsid w:val="00E5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30384C-2AE7-4AC1-A7CA-AFA68B8E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4ABB"/>
    <w:pPr>
      <w:spacing w:before="100" w:beforeAutospacing="1" w:after="100" w:afterAutospacing="1"/>
    </w:pPr>
    <w:rPr>
      <w:color w:val="000000"/>
    </w:rPr>
  </w:style>
  <w:style w:type="character" w:styleId="a4">
    <w:name w:val="Strong"/>
    <w:uiPriority w:val="22"/>
    <w:qFormat/>
    <w:rsid w:val="00034ABB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12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12796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12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12796"/>
    <w:rPr>
      <w:rFonts w:cs="Times New Roman"/>
      <w:sz w:val="24"/>
      <w:szCs w:val="24"/>
    </w:rPr>
  </w:style>
  <w:style w:type="character" w:styleId="a9">
    <w:name w:val="Hyperlink"/>
    <w:uiPriority w:val="99"/>
    <w:semiHidden/>
    <w:unhideWhenUsed/>
    <w:rsid w:val="0071279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КОНСТИТУЦИОННОГО СУДА КАК САМОСТОЯТЕЛЬНЫЙ ИСТОЧНИК ПРАВА </vt:lpstr>
    </vt:vector>
  </TitlesOfParts>
  <Company>Microsoft</Company>
  <LinksUpToDate>false</LinksUpToDate>
  <CharactersWithSpaces>18934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КОНСТИТУЦИОННОГО СУДА КАК САМОСТОЯТЕЛЬНЫЙ ИСТОЧНИК ПРАВА </dc:title>
  <dc:subject/>
  <dc:creator>Admin</dc:creator>
  <cp:keywords/>
  <dc:description/>
  <cp:lastModifiedBy>admin</cp:lastModifiedBy>
  <cp:revision>2</cp:revision>
  <dcterms:created xsi:type="dcterms:W3CDTF">2014-03-28T06:12:00Z</dcterms:created>
  <dcterms:modified xsi:type="dcterms:W3CDTF">2014-03-28T06:12:00Z</dcterms:modified>
</cp:coreProperties>
</file>