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B3" w:rsidRDefault="00DF67B3">
      <w:pPr>
        <w:pStyle w:val="a3"/>
        <w:spacing w:line="360" w:lineRule="auto"/>
        <w:ind w:firstLine="567"/>
      </w:pPr>
      <w:r>
        <w:t>Ревизия и контроль нематериальных активов.</w:t>
      </w:r>
    </w:p>
    <w:p w:rsidR="00DF67B3" w:rsidRDefault="00DF67B3">
      <w:pPr>
        <w:pStyle w:val="a3"/>
        <w:spacing w:line="360" w:lineRule="auto"/>
        <w:ind w:firstLine="567"/>
        <w:jc w:val="both"/>
      </w:pPr>
      <w:r>
        <w:t>1. Введение.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Под ревизией интеллектуальной собственности (нематериальными активами) понимается проверка правильности оформления первичных юридических и учетных документов и организации бухгалтерского учета интеллектуальной собственности на предприятии. Объектами такой собственности являются открытия, изобретения, промышленные образцы, программы для ЭВМ, базы данных, экспертные системы, «ноу-хау», торговые секреты, товарные знаки, фирменные наименования, а также объекты авторского права. При проверке этих объектов аудитор, кроме Положения о бухгалтерском учете и о составе затрат, включаемых в себестоимость, руководствуется Законами о собственности, о товарных знаках и об авторском праве.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Также проводятся техническая экспертиза объектов интеллектуальной собственности и юридический анализ документов, подтверждающих право на их собственность. Для этого привлекаются патентные поверенные и юристы.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В первую очередь проверяется факт наличия произведений творческой деятельности, что достигается проверкой документов, где объект описан, изображен или иным образом зафиксирован на материальных носителях. Это может быть документация, в которой описана технология производственного процесса, конструкторская документация и др. При этом информация может быть отражена на бумажных, магнитных и иных носителях информации. Кроме того, устанавливается наличие акта приемо – передачи, подтверждающего факт получения предприятием данного нематериального актива.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Проверяющему следует проверить документы, подтверждающие право предприятия на соответствующий объект НМА. Это могут быть документы, подтверждающие создание данного объекта, договор о переуступке права, лицензионное соглашение, и др.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Необходимо установить правильность стоимостной интеллектуальной собственности и достоверность определения величины затрат, необходимых для приведения объектов в состояние, пригодное для их использования на предприятии. 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Целью аудита НМА является установление соответствия применяемой предприятием методики учета НМА требованиям нормативных актов, регулирующих формирование себестоимости продукции (работ, услуг) и финансовых результатов, а также требованиям соответствующих стандартов и положениям, устанавливающим правила их учета. Аудитор должен последовательно проверить следующие документы</w:t>
      </w:r>
      <w:r>
        <w:rPr>
          <w:b w:val="0"/>
          <w:lang w:val="en-US"/>
        </w:rPr>
        <w:t>:</w:t>
      </w:r>
    </w:p>
    <w:p w:rsidR="00DF67B3" w:rsidRDefault="00DF67B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Документальное оформление факта наличия объектов НМА и правильное отражение их первоначальной балансовой стоимости</w:t>
      </w:r>
      <w:r>
        <w:rPr>
          <w:b w:val="0"/>
          <w:lang w:val="en-US"/>
        </w:rPr>
        <w:t>;</w:t>
      </w:r>
    </w:p>
    <w:p w:rsidR="00DF67B3" w:rsidRDefault="00DF67B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Организацию аналитического и синтетического видов учета НМА</w:t>
      </w:r>
      <w:r>
        <w:rPr>
          <w:b w:val="0"/>
          <w:lang w:val="en-US"/>
        </w:rPr>
        <w:t xml:space="preserve">: </w:t>
      </w:r>
      <w:r>
        <w:rPr>
          <w:b w:val="0"/>
        </w:rPr>
        <w:t>ведомость учета нематериальных активов № 17 по дебету и кредиту счета 04 «Нематериальные активы», журнал-ордер № 13 по кредиту счета 04 «Нематериальные активы», расчет износа нематериальных активов (при журнально-ордерной форме учета).</w:t>
      </w:r>
    </w:p>
    <w:p w:rsidR="00DF67B3" w:rsidRDefault="00DF67B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Правильность ежемесячного погашения стоимости начисления износа по объектам, учитываемым в составе НМА.</w:t>
      </w:r>
    </w:p>
    <w:p w:rsidR="00DF67B3" w:rsidRDefault="00DF67B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Правильность списания объектов НМА с баланса предприятия.</w:t>
      </w:r>
    </w:p>
    <w:p w:rsidR="00DF67B3" w:rsidRDefault="00DF67B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Соответствие данных синтетического и аналитического видов учета НМА и их износа записям  в главной книге и балансы.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Рассмотрим, как осуществляется аудит учета НМА по соответствующим видам операций.</w:t>
      </w:r>
    </w:p>
    <w:p w:rsidR="00DF67B3" w:rsidRDefault="00DF67B3">
      <w:pPr>
        <w:pStyle w:val="a3"/>
        <w:spacing w:line="360" w:lineRule="auto"/>
        <w:ind w:firstLine="567"/>
      </w:pPr>
      <w:r>
        <w:t>2. Проверка операций учета поступления и создания НМА.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НМА поступает на предприятие в качестве вложений в уставный капитал, а также в результате приобретения или создания</w:t>
      </w:r>
      <w:r>
        <w:rPr>
          <w:b w:val="0"/>
          <w:lang w:val="en-US"/>
        </w:rPr>
        <w:t>;</w:t>
      </w:r>
      <w:r>
        <w:rPr>
          <w:b w:val="0"/>
        </w:rPr>
        <w:t xml:space="preserve"> погашения дебиторской задолженности, компенсационной сделки, безвозмездной передачи.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НМА, поступившие на предприятие в качестве вклада в уставный капитал инвесторов, отражаются в бухгалтерском учете по дебету счета 04 «Нематериальные активы» и кредиту счета 75 «Расчеты с учредителями», в том случае, если на величину заявленного уставного капитала предприятия была сделана запись по дебету счета 75 и кредиту счета 85 «Уставный капитал».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Если имущество инвесторами вносится в уставный капитал сразу и полностью, то счет 04 может дебетоваться непосредственной корреспонденции с кредитом счета 85. НМА приходуются в этом случае в оценки по договоренности сторон.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Другим вариантом поступления НМА  на предприятие является их приобретение за плату и создание.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В настоящее время приобретение и создание НМА осуществляется в результате долгосрочных инвестиций.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Стоимость приобретенных НМА согласно оплаченным или принятым к оплате счетам приходуется, что отражается по дебету счета 08 «Капитальные вложения», субсчет «Приобретение  нематериальных активов» и кредиту счетов 60, 76 и т.д.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Долгосрочные инвестиции включают в себя и процесс создания НМА. При создании предприятием НМА на счете 08 отражаются фактически произведенные при этом затраты. Эта операция отражается в бухгалтерском учете по дебету счета 04 и кредиту счета 08.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Еще один вариант поступления НМА на предприятие в результате безвозмездного получения от юридических и физических лиц. Эта операция отражается по дебету счета 04 «Нематериальные активы» и кредиту счета 87 «Добавочный капитал» субсчета «Безвозмездно полученные ценности».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Операции по безвозмездному получению требуют весьма тщательной проверки. Необходим встречный контроль с тем, чтобы установить, не нарушены ли здесь права добровольных инвесторов.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Поступление НМА оформляются актом приемки.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Проверяя указанные операции, аудитор изучает первичные документы: акты приемки-передачи, договора купли-продажи, лицензии и др. Это позволяет сделать вывод, что указанные приобретения произведены с соблюдением требований действующего законодательства.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Приведем примеры отражения хозяйственных операций по учету поступления НМА.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61"/>
        <w:gridCol w:w="1276"/>
        <w:gridCol w:w="1182"/>
      </w:tblGrid>
      <w:tr w:rsidR="00DF67B3">
        <w:trPr>
          <w:cantSplit/>
        </w:trPr>
        <w:tc>
          <w:tcPr>
            <w:tcW w:w="1101" w:type="dxa"/>
            <w:vMerge w:val="restart"/>
          </w:tcPr>
          <w:p w:rsidR="00DF67B3" w:rsidRDefault="00DF67B3">
            <w:pPr>
              <w:pStyle w:val="a3"/>
              <w:spacing w:line="360" w:lineRule="auto"/>
              <w:ind w:firstLine="567"/>
              <w:jc w:val="left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961" w:type="dxa"/>
            <w:vMerge w:val="restart"/>
          </w:tcPr>
          <w:p w:rsidR="00DF67B3" w:rsidRDefault="00DF67B3">
            <w:pPr>
              <w:pStyle w:val="a3"/>
              <w:spacing w:line="360" w:lineRule="auto"/>
              <w:ind w:firstLine="567"/>
              <w:rPr>
                <w:b w:val="0"/>
              </w:rPr>
            </w:pPr>
            <w:r>
              <w:rPr>
                <w:b w:val="0"/>
              </w:rPr>
              <w:t>Содержание хозяйственной операции</w:t>
            </w:r>
          </w:p>
        </w:tc>
        <w:tc>
          <w:tcPr>
            <w:tcW w:w="2458" w:type="dxa"/>
            <w:gridSpan w:val="2"/>
          </w:tcPr>
          <w:p w:rsidR="00DF67B3" w:rsidRDefault="00DF67B3">
            <w:pPr>
              <w:pStyle w:val="a3"/>
              <w:spacing w:line="360" w:lineRule="auto"/>
              <w:ind w:firstLine="567"/>
              <w:rPr>
                <w:b w:val="0"/>
              </w:rPr>
            </w:pPr>
            <w:r>
              <w:rPr>
                <w:b w:val="0"/>
              </w:rPr>
              <w:t>Корреспондирующие счета</w:t>
            </w:r>
          </w:p>
        </w:tc>
      </w:tr>
      <w:tr w:rsidR="00DF67B3">
        <w:trPr>
          <w:cantSplit/>
        </w:trPr>
        <w:tc>
          <w:tcPr>
            <w:tcW w:w="1101" w:type="dxa"/>
            <w:vMerge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</w:tc>
        <w:tc>
          <w:tcPr>
            <w:tcW w:w="4961" w:type="dxa"/>
            <w:vMerge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Отражение взноса в уставный капитал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04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Приобретение НМА по безналичному расчету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60,76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51,52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Отражение затрат на приобретение НМА 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60,76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Отражение сумм налога НДС, уплаченного при приобретении НМА для производственных нужд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60, 76, 71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Дополнительные затраты, связанные с приобретением НМА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60,70 и др.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Оплата дополнительных расходов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67,76,71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51,52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Приобретение НМА за наличный расчет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Оприходование НМА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04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  <w:lang w:val="en-US"/>
              </w:rPr>
            </w:pPr>
            <w:r>
              <w:rPr>
                <w:b w:val="0"/>
              </w:rPr>
              <w:t>Отражение затрат, связанных с созданием  НМА на предприятии в т.ч.</w:t>
            </w:r>
            <w:r>
              <w:rPr>
                <w:b w:val="0"/>
                <w:lang w:val="en-US"/>
              </w:rPr>
              <w:t>:</w:t>
            </w:r>
          </w:p>
          <w:p w:rsidR="00DF67B3" w:rsidRDefault="00DF67B3">
            <w:pPr>
              <w:pStyle w:val="a3"/>
              <w:numPr>
                <w:ilvl w:val="0"/>
                <w:numId w:val="2"/>
              </w:numPr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Начислена оплата труда</w:t>
            </w:r>
          </w:p>
          <w:p w:rsidR="00DF67B3" w:rsidRDefault="00DF67B3">
            <w:pPr>
              <w:pStyle w:val="a3"/>
              <w:numPr>
                <w:ilvl w:val="0"/>
                <w:numId w:val="2"/>
              </w:numPr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Произведены отчисления в Фонды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70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Включение созданных НМА в состав имущества предприятия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04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Оприходование НМА на отдельный баланс предприятия, ведущего общие дела по совместной деятельности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04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96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Списание суммы НДС, уплаченной при приобретении НМА для производственных нужд, на уменьшение задолженности по НДС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Поступление на предприятие НМА производственного назначения от других предприятий безвозмездно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04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87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Поступление на предприятие НМА производственного назначения предприятий безвозмездно от физических лиц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04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87</w:t>
            </w:r>
          </w:p>
        </w:tc>
      </w:tr>
    </w:tbl>
    <w:p w:rsidR="00DF67B3" w:rsidRDefault="00DF67B3">
      <w:pPr>
        <w:pStyle w:val="a3"/>
        <w:spacing w:line="360" w:lineRule="auto"/>
        <w:ind w:left="567"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Если аудитор установит нарушение в учетных записях по перечисленным выше операциям поступления НМА, то он указывает работникам бухгалтерии на необходимость внесения соответствующих исправлений и уточнений.</w:t>
      </w:r>
    </w:p>
    <w:p w:rsidR="00DF67B3" w:rsidRDefault="00DF67B3">
      <w:pPr>
        <w:pStyle w:val="a3"/>
        <w:spacing w:line="360" w:lineRule="auto"/>
        <w:ind w:left="567" w:firstLine="567"/>
        <w:jc w:val="both"/>
      </w:pPr>
    </w:p>
    <w:p w:rsidR="00DF67B3" w:rsidRDefault="00DF67B3">
      <w:pPr>
        <w:pStyle w:val="a3"/>
        <w:spacing w:line="360" w:lineRule="auto"/>
        <w:ind w:left="567" w:firstLine="567"/>
      </w:pPr>
      <w:r>
        <w:t>3. Проверка учета амортизации нематериальных активов.</w:t>
      </w:r>
    </w:p>
    <w:p w:rsidR="00DF67B3" w:rsidRDefault="00DF67B3">
      <w:pPr>
        <w:pStyle w:val="a3"/>
        <w:spacing w:line="360" w:lineRule="auto"/>
        <w:ind w:left="567"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НМА отражаются в учете в сумме затрат на приобретение, включая расходы по их доведению до состояния, в котором они пригодны к использованию в запланированных целях, и переносят равномерно свою стоимость на издержки производства или обращения по нормам определяемым на предприятии исходя из срока полезного их использования.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Существуют три варианта установления срока использования НМА</w:t>
      </w:r>
      <w:r>
        <w:rPr>
          <w:b w:val="0"/>
          <w:lang w:val="en-US"/>
        </w:rPr>
        <w:t>:</w:t>
      </w:r>
    </w:p>
    <w:p w:rsidR="00DF67B3" w:rsidRDefault="00DF67B3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Срок полезного использования НМА совпадает со сроком их действия, который предусмотрен соответствующим договором. В этом случае величина амортизационных отчислений за год будет равна отношению первоначальной стоимости НМА к сроку полезного использования, установленного соответствующим договором.</w:t>
      </w:r>
    </w:p>
    <w:p w:rsidR="00DF67B3" w:rsidRDefault="00DF67B3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Предприятие самостоятельно устанавливает срок полезного использования НМА. При этом необходимо иметь ввиду, что срок полезного использования объекта НМА в этом случае должен быть не менее одного года, т.к. по отношению к НМА в нормативных документах применяется понятие «долговременный». В этом случае величина амортизационных отчислений будет равна отношению первоначальной стоимости НМА к сроку их полезного использования, установленного предприятием.</w:t>
      </w:r>
    </w:p>
    <w:p w:rsidR="00DF67B3" w:rsidRDefault="00DF67B3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Если невозможно определить срок полезного использование НМА, то нормы амортизации устанавливаются в расчете на 10 лет.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Т.к. величина амортизационных отчислений по НМА включается в себестоимость, то в итоге это влияет на финансовый результат – балансовую прибыль. Любое отступление от установленных правил начисления амортизации НМА ведет к искажению прибыли как базы для налогооблажения. Поэтому задача аудитора в данном случае – обеспечить контроль за правильностью начисления амортизации.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Начисление амортизации по НМА отражается в бухгалтерском учете по дебету счетов учета издержек производства 20 «Основное производство», 23 «Вспомогательные  производства», 25 «Общепроизводственные расходы», 26 «Общехозяйственные расходы» или обращения – счет 44 «Издержки обращения» и кредиту счета 05 «Амортизация нематериальных активов».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Аудитору необходимо убедиться в том, что для каждого объекта НМА на предприятии установлены нормы амортизационных отчислений, срок полезного их использования, и амортизация начисляется ежемесячно.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Приведем примеры отражения хозяйственные операции по учету амортизации  НМА</w:t>
      </w:r>
      <w:r>
        <w:rPr>
          <w:b w:val="0"/>
          <w:lang w:val="en-US"/>
        </w:rPr>
        <w:t>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61"/>
        <w:gridCol w:w="1276"/>
        <w:gridCol w:w="1182"/>
      </w:tblGrid>
      <w:tr w:rsidR="00DF67B3">
        <w:trPr>
          <w:cantSplit/>
        </w:trPr>
        <w:tc>
          <w:tcPr>
            <w:tcW w:w="1101" w:type="dxa"/>
            <w:vMerge w:val="restart"/>
          </w:tcPr>
          <w:p w:rsidR="00DF67B3" w:rsidRDefault="00DF67B3">
            <w:pPr>
              <w:pStyle w:val="a3"/>
              <w:spacing w:line="360" w:lineRule="auto"/>
              <w:ind w:firstLine="567"/>
              <w:jc w:val="left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961" w:type="dxa"/>
            <w:vMerge w:val="restart"/>
          </w:tcPr>
          <w:p w:rsidR="00DF67B3" w:rsidRDefault="00DF67B3">
            <w:pPr>
              <w:pStyle w:val="a3"/>
              <w:spacing w:line="360" w:lineRule="auto"/>
              <w:ind w:firstLine="567"/>
              <w:rPr>
                <w:b w:val="0"/>
              </w:rPr>
            </w:pPr>
            <w:r>
              <w:rPr>
                <w:b w:val="0"/>
              </w:rPr>
              <w:t>Содержание хозяйственной операции</w:t>
            </w:r>
          </w:p>
        </w:tc>
        <w:tc>
          <w:tcPr>
            <w:tcW w:w="2458" w:type="dxa"/>
            <w:gridSpan w:val="2"/>
          </w:tcPr>
          <w:p w:rsidR="00DF67B3" w:rsidRDefault="00DF67B3">
            <w:pPr>
              <w:pStyle w:val="a3"/>
              <w:spacing w:line="360" w:lineRule="auto"/>
              <w:ind w:firstLine="567"/>
              <w:rPr>
                <w:b w:val="0"/>
              </w:rPr>
            </w:pPr>
            <w:r>
              <w:rPr>
                <w:b w:val="0"/>
              </w:rPr>
              <w:t>Корреспондирующие счета</w:t>
            </w:r>
          </w:p>
        </w:tc>
      </w:tr>
      <w:tr w:rsidR="00DF67B3">
        <w:trPr>
          <w:cantSplit/>
        </w:trPr>
        <w:tc>
          <w:tcPr>
            <w:tcW w:w="1101" w:type="dxa"/>
            <w:vMerge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</w:tc>
        <w:tc>
          <w:tcPr>
            <w:tcW w:w="4961" w:type="dxa"/>
            <w:vMerge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Начисление амортизации по НМА производственного назначения безвозмездно от физических лиц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20,23,25,26,43,44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05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Начисление амортизации по НМА непроизводственного назначения 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29,81,88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05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Начисление амортизации по НМА, используемым в капитальном строительстве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w="1182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05</w:t>
            </w:r>
          </w:p>
        </w:tc>
      </w:tr>
    </w:tbl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</w:pPr>
      <w:r>
        <w:t>4. Проверка учета выбытия нематериальных активов.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НМА выбывают с предприятия</w:t>
      </w:r>
      <w:r>
        <w:rPr>
          <w:b w:val="0"/>
          <w:lang w:val="en-US"/>
        </w:rPr>
        <w:t>:</w:t>
      </w:r>
      <w:r>
        <w:rPr>
          <w:b w:val="0"/>
        </w:rPr>
        <w:t xml:space="preserve"> в результате реализации, в качестве вклада в уставные капиталы других предприятий или в совместную деятельность, в результате  безвозмездной передачи, в результате окончания срока полезного использования, в результате морального износа, в счет погашения кредиторской задолженности, в результате компенсационной сделки.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Для обобщения информации о процессе реализации  и прочего выбытия НМА, а также для выявления финансовых результатов предназначен счет 48 «Реализация прочих активов». По дебету этого счета отражаются балансовая стоимость выбывающих НМА, а также понесенные в связи с этим расходы. Кроме того, по дебету указанного счета отражаются также суммы налога на добавленную стоимость, входящие в выручку от реализации НМА. По кредиту этого счета отражаются выручка от реализации НМА, а также сумма износа, начисленная к моменту выбытия.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Дебетовое (убыток) или кредитовое (доход) сальдо по счету 48 «Реализация прочих активов» в текущем отчетном периоде списывается на счет 80 «Прибыли и убытки».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 безвозмездной передаче НМА выявленный на счете 48 «Реализация прочих активов», финансовый результат списывается предприятием в дебет счета 87 «Добавочный капитал», а при его недостаточности – в дебет счета 88 «Нераспределенная прибыль (непокрытый убыток)» или 81 «Использование прибыли».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 передаче НМА (списание с основного баланса) в случае совместной деятельности отражения в учете этих операций производится в порядке, аналогичном выбытию НМА при вкладе в уставные  капиталы других предприятий. При этом по дебету счета 06 «Долгосрочные финансовые вложения» или 58 «Краткосрочные финансовые вложения» (в зависимости от срока действия договора) показывается стоимость передаваемых НМА в оценке, предусмотренной в договоре, в корреспонденции с кредитом счета 48 «Реализация прочих активов». По дебету 48 в корреспонденции с кредитом счета 04 отражается их первоначальная (балансовая) стоимость. Одновременно с дебета счета 05 «Амортизация нематериальных активов» кредит счета 48 списывается начисленная сумма износа.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Проводя проверку указанных операций, необходимо убедиться, что соблюдены следующие условия</w:t>
      </w:r>
      <w:r>
        <w:rPr>
          <w:b w:val="0"/>
          <w:lang w:val="en-US"/>
        </w:rPr>
        <w:t>:</w:t>
      </w:r>
    </w:p>
    <w:p w:rsidR="00DF67B3" w:rsidRDefault="00DF67B3">
      <w:pPr>
        <w:pStyle w:val="a3"/>
        <w:numPr>
          <w:ilvl w:val="0"/>
          <w:numId w:val="4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независимо от характера выбытия нематериальных активов все они получили отражение на счете 48 «Реализация прочих активов»,</w:t>
      </w:r>
    </w:p>
    <w:p w:rsidR="00DF67B3" w:rsidRDefault="00DF67B3">
      <w:pPr>
        <w:pStyle w:val="a3"/>
        <w:numPr>
          <w:ilvl w:val="0"/>
          <w:numId w:val="4"/>
        </w:numPr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выявленный на счете 48 «Реализация прочих активов» финансовый результат от выбытия нематериальных активов предприятия списан правильно. Дело в том, что со счета 48 «Реализация прочих активов» в зависимости от характера выбытия финансовый результат относится на различные счета</w:t>
      </w:r>
      <w:r>
        <w:rPr>
          <w:b w:val="0"/>
          <w:lang w:val="en-US"/>
        </w:rPr>
        <w:t>:</w:t>
      </w:r>
      <w:r>
        <w:rPr>
          <w:b w:val="0"/>
        </w:rPr>
        <w:t xml:space="preserve"> 80 «Прибыли и убытки», 81 «Использование прибыли», 87 «Добавочный капитал», 88»Нераспределенная прибыль (непокрытый убыток)»,</w:t>
      </w:r>
    </w:p>
    <w:p w:rsidR="00DF67B3" w:rsidRDefault="00DF67B3">
      <w:pPr>
        <w:pStyle w:val="a3"/>
        <w:numPr>
          <w:ilvl w:val="0"/>
          <w:numId w:val="4"/>
        </w:numPr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полностью соблюдены требования действующего законодательства по налогообложению в части налога на добавленную стоимость, специального налога и налога на прибыль.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  Рассмотрим приемы отражения хозяйственных операций по учету выбытия НМА</w:t>
      </w:r>
      <w:r>
        <w:rPr>
          <w:b w:val="0"/>
          <w:lang w:val="en-US"/>
        </w:rPr>
        <w:t>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61"/>
        <w:gridCol w:w="1276"/>
        <w:gridCol w:w="1275"/>
      </w:tblGrid>
      <w:tr w:rsidR="00DF67B3">
        <w:trPr>
          <w:cantSplit/>
        </w:trPr>
        <w:tc>
          <w:tcPr>
            <w:tcW w:w="1101" w:type="dxa"/>
            <w:vMerge w:val="restart"/>
          </w:tcPr>
          <w:p w:rsidR="00DF67B3" w:rsidRDefault="00DF67B3">
            <w:pPr>
              <w:pStyle w:val="a3"/>
              <w:spacing w:line="360" w:lineRule="auto"/>
              <w:ind w:firstLine="567"/>
              <w:jc w:val="left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961" w:type="dxa"/>
            <w:vMerge w:val="restart"/>
          </w:tcPr>
          <w:p w:rsidR="00DF67B3" w:rsidRDefault="00DF67B3">
            <w:pPr>
              <w:pStyle w:val="a3"/>
              <w:spacing w:line="360" w:lineRule="auto"/>
              <w:ind w:firstLine="567"/>
              <w:rPr>
                <w:b w:val="0"/>
              </w:rPr>
            </w:pPr>
            <w:r>
              <w:rPr>
                <w:b w:val="0"/>
              </w:rPr>
              <w:t>Содержание хозяйственной операции</w:t>
            </w:r>
          </w:p>
        </w:tc>
        <w:tc>
          <w:tcPr>
            <w:tcW w:w="2551" w:type="dxa"/>
            <w:gridSpan w:val="2"/>
          </w:tcPr>
          <w:p w:rsidR="00DF67B3" w:rsidRDefault="00DF67B3">
            <w:pPr>
              <w:pStyle w:val="a3"/>
              <w:spacing w:line="360" w:lineRule="auto"/>
              <w:ind w:firstLine="567"/>
              <w:rPr>
                <w:b w:val="0"/>
              </w:rPr>
            </w:pPr>
            <w:r>
              <w:rPr>
                <w:b w:val="0"/>
              </w:rPr>
              <w:t>Корреспондирующие счета</w:t>
            </w:r>
          </w:p>
        </w:tc>
      </w:tr>
      <w:tr w:rsidR="00DF67B3">
        <w:trPr>
          <w:cantSplit/>
        </w:trPr>
        <w:tc>
          <w:tcPr>
            <w:tcW w:w="1101" w:type="dxa"/>
            <w:vMerge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</w:tc>
        <w:tc>
          <w:tcPr>
            <w:tcW w:w="4961" w:type="dxa"/>
            <w:vMerge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Списание с баланса первоначальной стоимости НМА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04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Отражение износа как источника списания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05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Реализация НМА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По оплате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По отгрузке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50,51,52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62,76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НДС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Расходы связанные с приобретением НМА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Начислена оплата труда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Обязательные начисления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70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67,69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Вклад в уставный капитал НМА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06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 (04)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Выбытие НМА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06,58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</w:tr>
      <w:tr w:rsidR="00DF67B3">
        <w:tc>
          <w:tcPr>
            <w:tcW w:w="110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961" w:type="dxa"/>
          </w:tcPr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Списание результатов от реализации и прочего выбытия НМА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Прибыль</w:t>
            </w:r>
          </w:p>
          <w:p w:rsidR="00DF67B3" w:rsidRDefault="00DF67B3">
            <w:pPr>
              <w:pStyle w:val="a3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Убыток </w:t>
            </w:r>
          </w:p>
        </w:tc>
        <w:tc>
          <w:tcPr>
            <w:tcW w:w="1276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80,81,85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87,88</w:t>
            </w:r>
          </w:p>
        </w:tc>
        <w:tc>
          <w:tcPr>
            <w:tcW w:w="1275" w:type="dxa"/>
          </w:tcPr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80,85,83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  <w:p w:rsidR="00DF67B3" w:rsidRDefault="00DF67B3">
            <w:pPr>
              <w:pStyle w:val="a3"/>
              <w:spacing w:line="360" w:lineRule="auto"/>
              <w:jc w:val="both"/>
              <w:rPr>
                <w:b w:val="0"/>
              </w:rPr>
            </w:pPr>
          </w:p>
        </w:tc>
      </w:tr>
    </w:tbl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</w:pPr>
      <w:r>
        <w:t>5. Проверка налогообложения в операциях с нематериальными активами.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 рассмотрении вопросов налогообложения в операциях с НМА следует иметь в виду, что применительно к этой категории действующие нормативные документы не в полной мере учитывают особенности их создания (приобретения), функционирования, реализации (передачи).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В операциях с НМА снимаются следующие основные налоги</w:t>
      </w:r>
      <w:r>
        <w:rPr>
          <w:b w:val="0"/>
          <w:lang w:val="en-US"/>
        </w:rPr>
        <w:t xml:space="preserve">: </w:t>
      </w:r>
      <w:r>
        <w:rPr>
          <w:b w:val="0"/>
        </w:rPr>
        <w:t>налог на добавленную стоимость (НДС), налог на прибыль.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Исчисление налога на добавленную стоимость определяется следующими обстоятельствами</w:t>
      </w:r>
      <w:r>
        <w:rPr>
          <w:b w:val="0"/>
          <w:lang w:val="en-US"/>
        </w:rPr>
        <w:t>: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условиями поступления и выбытия нематериальных активов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назначение конкретных объектов НМА, предназначенных</w:t>
      </w:r>
      <w:r>
        <w:rPr>
          <w:b w:val="0"/>
          <w:lang w:val="en-US"/>
        </w:rPr>
        <w:t xml:space="preserve">: </w:t>
      </w:r>
      <w:r>
        <w:rPr>
          <w:b w:val="0"/>
        </w:rPr>
        <w:t>для использования в производстве продукции (работ, услуг), облагаемых при реализации налогом на добавленную стоимость</w:t>
      </w:r>
      <w:r>
        <w:rPr>
          <w:b w:val="0"/>
          <w:lang w:val="en-US"/>
        </w:rPr>
        <w:t xml:space="preserve">; </w:t>
      </w:r>
      <w:r>
        <w:rPr>
          <w:b w:val="0"/>
        </w:rPr>
        <w:t xml:space="preserve">для использования в производстве продукции (работ, услуг), не облагаемых при реализации налогом на добавленную стоимость. В качестве основных </w:t>
      </w:r>
      <w:r>
        <w:rPr>
          <w:b w:val="0"/>
          <w:i/>
        </w:rPr>
        <w:t>способов поступления нематериальных</w:t>
      </w:r>
      <w:r>
        <w:rPr>
          <w:b w:val="0"/>
        </w:rPr>
        <w:t xml:space="preserve"> </w:t>
      </w:r>
      <w:r>
        <w:rPr>
          <w:b w:val="0"/>
          <w:i/>
        </w:rPr>
        <w:t>активов объектов</w:t>
      </w:r>
      <w:r>
        <w:rPr>
          <w:b w:val="0"/>
        </w:rPr>
        <w:t xml:space="preserve"> на предприятие следует назвать</w:t>
      </w:r>
      <w:r>
        <w:rPr>
          <w:b w:val="0"/>
          <w:lang w:val="en-US"/>
        </w:rPr>
        <w:t>: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приобретение НМА при осуществлении долгосрочных инвестиций,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создание объектов НМА как своими силами, так и путем привлечения стороннего исполнителя на договорной основе,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приобретение объектов НМА на условиях обмена,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безвозмездное получение объектов НМА.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  <w:lang w:val="en-US"/>
        </w:rPr>
      </w:pPr>
      <w:r>
        <w:rPr>
          <w:b w:val="0"/>
        </w:rPr>
        <w:t>Для осуществления расчетов по налогу на добавленную стоимость необходимо учитывать</w:t>
      </w:r>
      <w:r>
        <w:rPr>
          <w:b w:val="0"/>
          <w:lang w:val="en-US"/>
        </w:rPr>
        <w:t>: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должен ли получатель (покупатель) НМА оплачивать поставщику (продавцу, передающей стороне, налог на добавленную стоимость,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куда следует отнести налог на добавленную стоимость, уплаченный при приобретении НМА. Рассмотрим следующие ситуации: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t xml:space="preserve">Ситуация 1.  </w:t>
      </w:r>
      <w:r>
        <w:rPr>
          <w:b w:val="0"/>
        </w:rPr>
        <w:t>При приобретении НМА, предназначенных для изготовления продукции (работ, услуг), облагаемых налогом на добавленную стоимость, действует следующий порядок: уплаченная предприятием сумма НДС включалась в превоначальную стоимость приобретенного объекта с последующим списанием на издержки производства и обращения через суммы амортизации в установленном порядке (в настоящее время в течение шести месяцев, кроме малых  предприятий). При этом необходимо иметь в виду, что право списания суммы НДС, уплаченной при приобретении НМА, возникает у предприятия не тогда , когда произошел факт приобретения, а тогда, когда наступил момент полезного использования приобретенного объекта, принятие его на учет в состав НМА предприятия. До  этого момента приобретенные объекты числились в составе капиатльных вложений (а не НМА) и, следовательно, оснований для списания уплаченных сумм НДС не было.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t xml:space="preserve">Ситуация 2. </w:t>
      </w:r>
      <w:r>
        <w:rPr>
          <w:b w:val="0"/>
        </w:rPr>
        <w:t>При приобретении НМА, используемых для изготовления  продукции (работ, услуг), не облагаемых при реализации налогом на добавленную стоимость, необходимо руководствоваться Инструкцией № 39, имея в виду следующее</w:t>
      </w:r>
      <w:r>
        <w:rPr>
          <w:b w:val="0"/>
          <w:lang w:val="en-US"/>
        </w:rPr>
        <w:t xml:space="preserve">: </w:t>
      </w:r>
      <w:r>
        <w:rPr>
          <w:b w:val="0"/>
        </w:rPr>
        <w:t>при использовании НМА для производства продукции (работ, услуг), не  освобожденных от налога на добавленную стоимость, суммы НДС, уплаченные при приобретении НМА, списываются на расчеты с бюджетом в общеустановленном порядке</w:t>
      </w:r>
      <w:r>
        <w:rPr>
          <w:b w:val="0"/>
          <w:lang w:val="en-US"/>
        </w:rPr>
        <w:t>;</w:t>
      </w:r>
      <w:r>
        <w:rPr>
          <w:b w:val="0"/>
        </w:rPr>
        <w:t xml:space="preserve"> при использовании НМА для производства продукции (работ, услуг), освобожденных от налога на добавленную стоимость, суммы НДС, уплаченные при приобретении НМА, на расчеты с бюджетом не относятся, а учитываются в составе первоначальной стоимость приобретенных НМА с последующим списанием на издержки производства и обращения через суммы амортизации в установленном порядке.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t xml:space="preserve">Ситуация 3. </w:t>
      </w:r>
      <w:r>
        <w:rPr>
          <w:b w:val="0"/>
        </w:rPr>
        <w:t>Предприятие может стать обладателем НМА в результате выполнения договора, по которому исполнитель освобождается от налога на добавленную стоимость.</w:t>
      </w:r>
    </w:p>
    <w:p w:rsidR="00DF67B3" w:rsidRDefault="00DF67B3">
      <w:pPr>
        <w:pStyle w:val="a3"/>
        <w:spacing w:line="360" w:lineRule="auto"/>
        <w:ind w:firstLine="567"/>
        <w:rPr>
          <w:b w:val="0"/>
        </w:rPr>
      </w:pPr>
      <w:r>
        <w:t>6. Исчисление НДС при выбытии нематериальных активов.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Из способов </w:t>
      </w:r>
      <w:r>
        <w:rPr>
          <w:b w:val="0"/>
          <w:i/>
        </w:rPr>
        <w:t xml:space="preserve">выбытия НМА </w:t>
      </w:r>
      <w:r>
        <w:rPr>
          <w:b w:val="0"/>
        </w:rPr>
        <w:t>в первую очередь необходимо остановиться на таких, как</w:t>
      </w:r>
      <w:r>
        <w:rPr>
          <w:b w:val="0"/>
          <w:lang w:val="en-US"/>
        </w:rPr>
        <w:t xml:space="preserve">: 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реализация (продажа),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безвозмездная передача.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Обороты по реализации НМА облагаются налогом на добавленную стоимость.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 реализации НМА возможны следующие ситуации</w:t>
      </w:r>
      <w:r>
        <w:rPr>
          <w:b w:val="0"/>
          <w:lang w:val="en-US"/>
        </w:rPr>
        <w:t>: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НМА были приобретены без налога на добавленную стоимость. В этом случае в бюджет должна быть внесена вся сумма налога, полученная от оборота по реализации и отраженная в учете по дебету счета 48 и кредиту счета 68,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НМА были приобретены с уплатой налога с последующим спасанием равными долями в зачет сумм налога, подлежащих внесению в бюджет. При реализации этих НМА налог исчисляется как разница между суммой налога с продажной цены и суммой налога, не отнесенной на расчеты с бюджетом до момента продажи (т.е. остатком по счету 19 в части, относящейся к данной единице НМА). Соответственно если к моменту реализации уплаченная при покупке сумма налога полностью зачтена в расчеты с бюджетом, то в бюджет вносится вся полученная от реализации НМА сумма налога.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t xml:space="preserve">При безвозмездной передаче </w:t>
      </w:r>
      <w:r>
        <w:rPr>
          <w:b w:val="0"/>
        </w:rPr>
        <w:t>НМА плательщиком налога на добавленную стоимость выступает передающая сторона. При этом оборот для целей налогообложения определяется исходя из рыночных цен, сложившихся на момент передачи но не ниже цен, определенных с учетом фактической себестоимости  и прибыли, исчисленной по предельному уровню рентабельности, установленному для предприятий-монополистов.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 решении вопросов, связанных с налогом на прибыль применительно к нематериальным активам, мы предлагаем руководствоваться теми же правилами, что и в операциях с основными средствами. В частности</w:t>
      </w:r>
      <w:r>
        <w:rPr>
          <w:b w:val="0"/>
          <w:lang w:val="en-US"/>
        </w:rPr>
        <w:t>:</w:t>
      </w:r>
      <w:r>
        <w:rPr>
          <w:b w:val="0"/>
        </w:rPr>
        <w:t xml:space="preserve"> 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 применении льготы, связанной с осуществлением капитальных вложений производственного и непроизводственного характера, предписано для отнесения производственных затрат к капитальным вложениям руководствоваться Письмом Минфина России от 30 декабря 1993 г. № 160 «Положение по бухгалтерскому учету долгосрочных инвестиций», согласно которому приобретение НМА, как и приобретение (создание) основных средств, относится к капитальным вложениям,</w:t>
      </w:r>
    </w:p>
    <w:p w:rsidR="00DF67B3" w:rsidRDefault="00DF67B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при определении необлагаемых налогом на прибыль средств, безвозмездно получаемых предприятиями при  определенных условиях, указаны среди прочих как основные средства, так и нематериальные активы, и т.д.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</w:pPr>
      <w:r>
        <w:t>7. Проверка данных по нематериальным активам в отчетности.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В балансе  (ф.1) НМА отражаются в остаточной стоимости по строке 110. По строке 111 отражаются организационные расходы (в остаточной стоимости), а по строке 112 – патенты, лицензии, товарные знаки (знаки обслуживания), иные аналогичные с перечисленными права и активы.</w:t>
      </w: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  <w:lang w:val="en-US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pStyle w:val="a3"/>
        <w:spacing w:line="360" w:lineRule="auto"/>
        <w:ind w:firstLine="567"/>
        <w:jc w:val="both"/>
        <w:rPr>
          <w:b w:val="0"/>
        </w:rPr>
      </w:pPr>
    </w:p>
    <w:p w:rsidR="00DF67B3" w:rsidRDefault="00DF67B3">
      <w:pPr>
        <w:spacing w:line="360" w:lineRule="auto"/>
        <w:ind w:firstLine="567"/>
        <w:jc w:val="both"/>
        <w:rPr>
          <w:b/>
          <w:sz w:val="28"/>
        </w:rPr>
      </w:pPr>
      <w:bookmarkStart w:id="0" w:name="_GoBack"/>
      <w:bookmarkEnd w:id="0"/>
    </w:p>
    <w:sectPr w:rsidR="00DF67B3">
      <w:footerReference w:type="even" r:id="rId7"/>
      <w:footerReference w:type="default" r:id="rId8"/>
      <w:pgSz w:w="11906" w:h="16838"/>
      <w:pgMar w:top="1440" w:right="1797" w:bottom="1440" w:left="179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B3" w:rsidRDefault="00DF67B3">
      <w:r>
        <w:separator/>
      </w:r>
    </w:p>
  </w:endnote>
  <w:endnote w:type="continuationSeparator" w:id="0">
    <w:p w:rsidR="00DF67B3" w:rsidRDefault="00DF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B3" w:rsidRDefault="00DF67B3">
    <w:pPr>
      <w:pStyle w:val="a5"/>
      <w:framePr w:wrap="around" w:vAnchor="text" w:hAnchor="margin" w:xAlign="right" w:y="1"/>
      <w:rPr>
        <w:rStyle w:val="a6"/>
      </w:rPr>
    </w:pPr>
  </w:p>
  <w:p w:rsidR="00DF67B3" w:rsidRDefault="00DF67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B3" w:rsidRDefault="00FD33B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F67B3" w:rsidRDefault="00DF67B3">
    <w:pPr>
      <w:pStyle w:val="a5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B3" w:rsidRDefault="00DF67B3">
      <w:r>
        <w:separator/>
      </w:r>
    </w:p>
  </w:footnote>
  <w:footnote w:type="continuationSeparator" w:id="0">
    <w:p w:rsidR="00DF67B3" w:rsidRDefault="00DF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1A61"/>
    <w:multiLevelType w:val="singleLevel"/>
    <w:tmpl w:val="83003C6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4B7D54"/>
    <w:multiLevelType w:val="singleLevel"/>
    <w:tmpl w:val="C6FAF3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699E316F"/>
    <w:multiLevelType w:val="singleLevel"/>
    <w:tmpl w:val="3E62B4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60325A3"/>
    <w:multiLevelType w:val="singleLevel"/>
    <w:tmpl w:val="39A038C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3BE"/>
    <w:rsid w:val="003517AB"/>
    <w:rsid w:val="007C5DAE"/>
    <w:rsid w:val="00DF67B3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015AD-1C93-4C71-8C5B-9EAD4B3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character" w:styleId="a7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Ревизия и контроль нематериальных активов</vt:lpstr>
    </vt:vector>
  </TitlesOfParts>
  <Company>Infosfera</Company>
  <LinksUpToDate>false</LinksUpToDate>
  <CharactersWithSpaces>18982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Ревизия и контроль нематериальных активов</dc:title>
  <dc:subject/>
  <dc:creator>Alex</dc:creator>
  <cp:keywords/>
  <cp:lastModifiedBy>Irina</cp:lastModifiedBy>
  <cp:revision>2</cp:revision>
  <cp:lastPrinted>2000-01-13T09:30:00Z</cp:lastPrinted>
  <dcterms:created xsi:type="dcterms:W3CDTF">2014-09-05T15:03:00Z</dcterms:created>
  <dcterms:modified xsi:type="dcterms:W3CDTF">2014-09-05T15:03:00Z</dcterms:modified>
</cp:coreProperties>
</file>