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EC8" w:rsidRPr="0056479E" w:rsidRDefault="00081EC8" w:rsidP="00081EC8">
      <w:pPr>
        <w:spacing w:before="120"/>
        <w:jc w:val="center"/>
        <w:rPr>
          <w:b/>
          <w:bCs/>
          <w:sz w:val="32"/>
          <w:szCs w:val="32"/>
        </w:rPr>
      </w:pPr>
      <w:r w:rsidRPr="0056479E">
        <w:rPr>
          <w:b/>
          <w:bCs/>
          <w:sz w:val="32"/>
          <w:szCs w:val="32"/>
        </w:rPr>
        <w:t>Рифма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Рифма — звуковой повтор в конце ритмической единицы: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«Мой дядя самых честных пр|авил,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Когда не в шутку за|немог, Он уважать себя заст|авил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И лучше выдумать | не мог» (Пушкин).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Выделенные слоги на концах строк связаны между собой звуковыми повторами, которые подчеркивают ритмическую законченность каждой строки; в этом ритмическое значение Р., — она является звуковым сигналом, отмечающим членение данного ритмического движения на определенные единицы. Этим рифма и отличается от обычного звукового повтора, который не связан с ритмом, а если иногда и связан, то эпизодически, а не с той закономерной последовательностью, которую дает Р. Благодаря этому повтор и не выполняет той ритмической функции, которая присуща Р. Отсюда — неправильно рассматривать Р. как простой звуковой повтор, как это делал например Корш («рифма есть украшение чисто звуковое»), и столь же неправильно рассматривать звуковой повтор как «внутреннюю Р.»: ибо рифма является звуковым обозначением законченности ритморяда.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Необходимо отметить, что Р. не является единственным признаком законченности ритморяда; благодаря наличию сильной паузы, конечного ударения и клаузулы конец строки (как ритмической единицы) определяется и без Р., напр.: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«Четырех царей неверных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Дон Родриго победил,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И его прозвали Сидом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Побежденные цари» (Жуковский).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Но наличие рифмы подчеркивает и усиливает эту законченность, а в стихах более свободного ритмического строения, где соизмеримость ритмических единиц выражена с меньшей отчетливостью (строки различны по числу слогов, местам ударений и т. п.), ритмическое значение Р. выступает с наибольшей отчетливостью (в свободном и вольном стихе, в раешнике и т. д.), напр.: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«Пусть книги горят на кострах дымносизых,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Пусть древние мраморы в тогах и ризах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Разбиты на части (заряды для новых орудий),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Пусть люди,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Отдавшие жизнь за свободу народа,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У входа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Опустелых темниц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Расстреляны падают ниц» и т. д. (Брюсов).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Наоборот, в том случае, если звуковой повтор не опирается на паузу, ударение и клаузулу, Р. не возникает даже при последовательном применении звукового повтора, т. к. в этом случае нет той законченности ритморяда, в связи с которым и возникает Р.; напр. в следующем стихотворении Брюсова: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«Детских плеч твоих дрожанье,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Детских глаз недоуменье,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Миги встреч, часы свиданья,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Долгий час, как век томленья» и т. д.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внутренняя рифма не ощущается, так как звуковой повтор расположен в середине ритморяда.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Наряду с ритмическим в Р. имеется и большое смысловое значение. Слово, находящееся на конце строки, подчеркнутое следующей за ним паузой и выделенное при помощи звукового повтора, естественно привлекает к себе наибольшее внимание, занимает наиболее выгодное место в строке. У неопытных поэтов стремление к Р. приводит к погоне за звуковым повтором и в ущерб смыслу; рифма, как говорил Байрон, превращается в «могучий пароход, заставляющий стихи плыть даже против течения здравого смысла».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Ограниченность запаса рифмующихся слов грозит опасностью повторений, штампа, особенно в тех случаях, когда каноны созвучания Р. более или менее строги. Так, в России в XIX в. господствует точная Р., требующая полного совпадения всех входящих в звуковой повтор звуков. В связи с этим еще Пушкин в «Мыслях на дороге» указывал на ограниченность запаса Р. и предсказывал переход к белому стиху . Драматический стих, требующий большей разговорности, зачастую отказывается от Р.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В звуковом отношении Р. может быть весьма разнообразна. В качестве звукового минимума она требует повторения одного звука — обычно ударного гласного (последнего в строке), напр.: «любви — мои», в качестве максимума она включает в себя целый комплекс звуков как до, так и после ударного гласного, захватывая иногда даже и слова, предшествующие последнему, т. е. уже обязательно рифмующему слову, напр.: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«Рвется вете|р одичалый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Буря знак да|ла погонь...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С бурей споря — |родич алый —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Машет сотней| лап огонь» (Брюсов).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Своеобразной гипертрофией Р. являются так наз. панторифмы, или сплошные рифмы, как у Гумилева: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«Слышен с|вист и вой локомобилей,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Дверь линг|висты войлоком обили»,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но, не говоря уже о единичности этих примеров, мы в сущности не имеем здесь дела с рифмой как звуковым повтором, обладающим ритмической функцией.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С точки зрения звукового построения Р. может быть точной, т. е. давать полное совпадение рифмующих звуков («нам — волнам»), и неточной, т. е. включать в звуковой повтор не совпадающие или лишь приблизительно совпадающие звуки («докеры — оперы»). В том случае, если в Р. совпадают гласные звуки, а согласные не совпадают, ее называют ассонансом («ветер — пепел»). В редких случаях Р. создается благодаря повторению четко звучащего контекста согласных звуков при различии ударного гласного («мячики — пулеметчики») — так наз. консонанс . В зависимости от характера звуковой организации Р. в стиховедческой литературе имеется ряд попыток дать классификацию Р., однако сколько-нибудь удовлетворительной классификации нет. В зависимости от характера клаузулы Р. делится на Р. мужскую (на конце ударный слог), женскую (на конце — безударный), дактилическую (на конце — 2 безударных), гипердактилическую (на конце — более 2 безударных) и т. д. В зависимости от места в строфе  — на Р. парные (идущие рядом), перекрестные (через строку), опоясанные (стоящие до и после парной Р.) и т. д. В зависимости от характера рифмующихся слов Р. бывают составные («вдруг ли — угли», «колокол — молоко лакал»), омонимические , тавтологические (т. е. повторение одинаковых слов: «занавесила окно — загляни еще в окно» — Блок), каламбурные  «Каламбур»).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Смысловое, ритмическое, звуковое значение Р. определяет ее значимость как существенного фактора организации стиха. В связи с этим Р. неодинаково используется в различных литературных стилях. Помимо того непосредственного различия Р. разных литературных стилей, которое определяется иным в каждом из них отношением к слову, иным словарным запасом и т. д., это различие сказывается и в разном подходе к Р., в которой подчеркивается то звуковая сторона, то, наоборот, смысловая и т. д. Так напр. у символистов Р. чрезвычайно разработана в звуковом отношении, в отношении неожиданности сочетаний рифмующихся слов («берега — Тиберика»), разнообразия слов и т. п., что стоит в связи с общим отношением символистов к слову, стремлением к «музыкальности» стиха и т. д. Наоборот, напр. для Д. Бедного характерно стремление не к самоцельной музыкальности Р., но к Р., максимально выразительной в смысловом отношении: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«На фабриках отрава,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На улицах — расправа,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И тут свинец, и там — свинец,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Один конец!»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Это различие конечно есть различие стилевое. Р. входит как один из элементов в общую систему данного литературного стиля и лишь в этой системе, т. е. исторически, может быть осмыслена. Самое возникновение Р. в европейских литературах, как можно думать, связано с звуковой организацией стиха. Неорганизованные вначале звуковые повторы в том случае, если они совпадали с наиболее отчетливо выделенными на конце ритмической единицы словами, звучали наиболее резко и заметно; благодаря этому и создавалось определенное тяготение их к концам строк или полустиший. Это тяготение усиливалось и благодаря синтаксическому параллелизму, т. е. повторению однородных частей речи со сходными окончаниями. В то же время переход от устных стихотворных систем с музыкально-ритмической организацией к стиху письменному, ослабляя четкость ритмической организации стиха, вызывал поиски новых ритмообразующих элементов, которым в частности и явилась Р., неизвестная по существу ни античному ни народному стихосложению (хотя спорадически она в них и появлялась). Комплекс этих условий, в каждом данном случае исторически своеобразный, и лежит в основе появления Р. в новой поэзии.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В России Р. эпизодически появлялась в былинах, напр.: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«Он подъехал на кобылке соловенькой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А ко этой ко сошке кленовенькой»,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а также в письменных памятниках XVII в. как результат совпадения (при параллелизме стихов) грамматических окончаний: 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«Сему писанию конец предлагаем.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Дела толикие вещи во веки не забываем.</w:t>
      </w:r>
    </w:p>
    <w:p w:rsidR="00081EC8" w:rsidRDefault="00081EC8" w:rsidP="00081EC8">
      <w:pPr>
        <w:spacing w:before="120"/>
        <w:ind w:firstLine="567"/>
        <w:jc w:val="both"/>
      </w:pPr>
      <w:r w:rsidRPr="00DD4078">
        <w:t>Настоящего изыскуем,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В пространную сию историю сия написуем» и т. д. Но в основном Р. получает свое развитие в силлабических стихах, начиная с Симеона Полоцкого (1629—1680) и других поэтов, у которых она складывалась под влиянием западной поэзии и в первую очередь польских поэтов. Самое это влияние было основано на том процессе создания письменного стиха взамен устного, который протекал в XVII в. в России и был вызван резкими социальными и культурными сдвигами. </w:t>
      </w:r>
    </w:p>
    <w:p w:rsidR="00081EC8" w:rsidRPr="006902D8" w:rsidRDefault="00081EC8" w:rsidP="00081EC8">
      <w:pPr>
        <w:spacing w:before="120"/>
        <w:ind w:firstLine="567"/>
        <w:jc w:val="both"/>
        <w:rPr>
          <w:lang w:val="en-US"/>
        </w:rPr>
      </w:pPr>
      <w:r w:rsidRPr="00DD4078">
        <w:t>Уже в это время Р. получает значительное распространение и развитие (ср. каламбурную Р. у С. Полоцкого: «Плутон — плут он», составные — у Ф. Прокоповича, Козачинского: «на ны — страны»; «на ни — агаряни» и т. д.), переходит в народную поэзию через всякого рода интермедии и вслед затем получает широкое распространение, давая самые разнообразные модификации. Современная Р. характеризуется большой смысловой насыщенностью и значительной звуковой свободой, т. е. включением в звуковой повтор лишь приблизительно совпадающих звуков («докеры — оперы»), отбрасыванием заударных согласных («стран — сестра») и т. д., что создает возможность наиболее гибкого и разностороннего ее использования сравнительно с прошлыми периодами в истории русской поэзии. См</w:t>
      </w:r>
      <w:r w:rsidRPr="006902D8">
        <w:rPr>
          <w:lang w:val="en-US"/>
        </w:rPr>
        <w:t>. «</w:t>
      </w:r>
      <w:r w:rsidRPr="00DD4078">
        <w:t>Вирши</w:t>
      </w:r>
      <w:r w:rsidRPr="006902D8">
        <w:rPr>
          <w:lang w:val="en-US"/>
        </w:rPr>
        <w:t>», «</w:t>
      </w:r>
      <w:r w:rsidRPr="00DD4078">
        <w:t>Строфа</w:t>
      </w:r>
      <w:r w:rsidRPr="006902D8">
        <w:rPr>
          <w:lang w:val="en-US"/>
        </w:rPr>
        <w:t>», «</w:t>
      </w:r>
      <w:r w:rsidRPr="00DD4078">
        <w:t>Стихосложение</w:t>
      </w:r>
      <w:r w:rsidRPr="006902D8">
        <w:rPr>
          <w:lang w:val="en-US"/>
        </w:rPr>
        <w:t xml:space="preserve">». </w:t>
      </w:r>
    </w:p>
    <w:p w:rsidR="00081EC8" w:rsidRPr="0056479E" w:rsidRDefault="00081EC8" w:rsidP="00081EC8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56479E">
        <w:rPr>
          <w:b/>
          <w:bCs/>
          <w:sz w:val="28"/>
          <w:szCs w:val="28"/>
        </w:rPr>
        <w:t>Список</w:t>
      </w:r>
      <w:r w:rsidRPr="0056479E">
        <w:rPr>
          <w:b/>
          <w:bCs/>
          <w:sz w:val="28"/>
          <w:szCs w:val="28"/>
          <w:lang w:val="en-US"/>
        </w:rPr>
        <w:t xml:space="preserve"> </w:t>
      </w:r>
      <w:r w:rsidRPr="0056479E">
        <w:rPr>
          <w:b/>
          <w:bCs/>
          <w:sz w:val="28"/>
          <w:szCs w:val="28"/>
        </w:rPr>
        <w:t>литературы</w:t>
      </w:r>
      <w:r w:rsidRPr="0056479E">
        <w:rPr>
          <w:b/>
          <w:bCs/>
          <w:sz w:val="28"/>
          <w:szCs w:val="28"/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Ehrenfeld A., Studien zur Theorie des Reims, 2 Bde, Zürich, 1897—1904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Delaporte P., De la rime française, ses origines, son histoire.., P., 1898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Schmidt E., Deutsche Reimstudien, Berlin, 1900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Saintsbury G. E. B., History of English prosody from XII-th century to the present day, 3 vv., L., 1906—1910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Saran F., Deutsche Verslehre, München, 1907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Schipper J., A history of English versification, L., 1910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Grammont M., Le vers français, 2-e éd., Paris, 1913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Neumann F., Geschichte des neuhochdeutschen Reimes von Opitz bis Wieland, Berlin, 1920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Pretzel A., Geschichte des Reims, Diss., Göttingen, 1930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Lanz H., The physical basis of rime, An essay on the Aesthetics of Sound, Stanford, Calif., 1931</w:t>
      </w:r>
      <w:r>
        <w:rPr>
          <w:lang w:val="en-US"/>
        </w:rPr>
        <w:t xml:space="preserve"> </w:t>
      </w:r>
    </w:p>
    <w:p w:rsidR="00081EC8" w:rsidRDefault="00081EC8" w:rsidP="00081EC8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Thieme H. P., Bibliographie de la littérature française, t. III, P., 1933 (</w:t>
      </w:r>
      <w:r w:rsidRPr="00DD4078">
        <w:t>дана</w:t>
      </w:r>
      <w:r w:rsidRPr="006902D8">
        <w:rPr>
          <w:lang w:val="en-US"/>
        </w:rPr>
        <w:t xml:space="preserve"> </w:t>
      </w:r>
      <w:r w:rsidRPr="00DD4078">
        <w:t>литература</w:t>
      </w:r>
      <w:r w:rsidRPr="006902D8">
        <w:rPr>
          <w:lang w:val="en-US"/>
        </w:rPr>
        <w:t xml:space="preserve"> </w:t>
      </w:r>
      <w:r w:rsidRPr="00DD4078">
        <w:t>о</w:t>
      </w:r>
      <w:r w:rsidRPr="006902D8">
        <w:rPr>
          <w:lang w:val="en-US"/>
        </w:rPr>
        <w:t xml:space="preserve"> </w:t>
      </w:r>
      <w:r w:rsidRPr="00DD4078">
        <w:t>Р</w:t>
      </w:r>
      <w:r w:rsidRPr="006902D8">
        <w:rPr>
          <w:lang w:val="en-US"/>
        </w:rPr>
        <w:t>.)</w:t>
      </w:r>
      <w:r>
        <w:rPr>
          <w:lang w:val="en-US"/>
        </w:rPr>
        <w:t xml:space="preserve"> </w:t>
      </w:r>
    </w:p>
    <w:p w:rsidR="00081EC8" w:rsidRPr="0056479E" w:rsidRDefault="00081EC8" w:rsidP="00081EC8">
      <w:pPr>
        <w:spacing w:before="120"/>
        <w:ind w:firstLine="567"/>
        <w:jc w:val="both"/>
      </w:pPr>
      <w:r w:rsidRPr="00DD4078">
        <w:t>Штокмар</w:t>
      </w:r>
      <w:r w:rsidRPr="0056479E">
        <w:t xml:space="preserve"> </w:t>
      </w:r>
      <w:r w:rsidRPr="00DD4078">
        <w:t>М</w:t>
      </w:r>
      <w:r w:rsidRPr="0056479E">
        <w:t xml:space="preserve">. </w:t>
      </w:r>
      <w:r w:rsidRPr="00DD4078">
        <w:t>П</w:t>
      </w:r>
      <w:r w:rsidRPr="0056479E">
        <w:t xml:space="preserve">., </w:t>
      </w:r>
      <w:r w:rsidRPr="00DD4078">
        <w:t>Библиография</w:t>
      </w:r>
      <w:r w:rsidRPr="0056479E">
        <w:t xml:space="preserve"> </w:t>
      </w:r>
      <w:r w:rsidRPr="00DD4078">
        <w:t>работ</w:t>
      </w:r>
      <w:r w:rsidRPr="0056479E">
        <w:t xml:space="preserve"> </w:t>
      </w:r>
      <w:r w:rsidRPr="00DD4078">
        <w:t>по</w:t>
      </w:r>
      <w:r w:rsidRPr="0056479E">
        <w:t xml:space="preserve"> </w:t>
      </w:r>
      <w:r w:rsidRPr="00DD4078">
        <w:t>стихосложению</w:t>
      </w:r>
      <w:r w:rsidRPr="0056479E">
        <w:t>, (</w:t>
      </w:r>
      <w:r w:rsidRPr="006902D8">
        <w:rPr>
          <w:lang w:val="en-US"/>
        </w:rPr>
        <w:t>M</w:t>
      </w:r>
      <w:r w:rsidRPr="0056479E">
        <w:t xml:space="preserve">.), 1933  </w:t>
      </w:r>
      <w:r w:rsidRPr="00DD4078">
        <w:t>по</w:t>
      </w:r>
      <w:r w:rsidRPr="0056479E">
        <w:t xml:space="preserve"> </w:t>
      </w:r>
      <w:r w:rsidRPr="00DD4078">
        <w:t>предметному</w:t>
      </w:r>
      <w:r w:rsidRPr="0056479E">
        <w:t xml:space="preserve"> </w:t>
      </w:r>
      <w:r w:rsidRPr="00DD4078">
        <w:t>указателю</w:t>
      </w:r>
      <w:r w:rsidRPr="0056479E">
        <w:t xml:space="preserve">). </w:t>
      </w:r>
    </w:p>
    <w:p w:rsidR="00081EC8" w:rsidRPr="00DD4078" w:rsidRDefault="00081EC8" w:rsidP="00081EC8">
      <w:pPr>
        <w:spacing w:before="120"/>
        <w:ind w:firstLine="567"/>
        <w:jc w:val="both"/>
      </w:pPr>
      <w:r w:rsidRPr="00DD4078">
        <w:t xml:space="preserve">Л. Тимофеев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EC8"/>
    <w:rsid w:val="00002B5A"/>
    <w:rsid w:val="00081EC8"/>
    <w:rsid w:val="0010437E"/>
    <w:rsid w:val="003E0C41"/>
    <w:rsid w:val="0056479E"/>
    <w:rsid w:val="00616072"/>
    <w:rsid w:val="006902D8"/>
    <w:rsid w:val="006A5004"/>
    <w:rsid w:val="00710178"/>
    <w:rsid w:val="008B35EE"/>
    <w:rsid w:val="00905CC1"/>
    <w:rsid w:val="00B42C45"/>
    <w:rsid w:val="00B47B6A"/>
    <w:rsid w:val="00B55E2D"/>
    <w:rsid w:val="00BC5DEC"/>
    <w:rsid w:val="00DD4078"/>
    <w:rsid w:val="00F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DC10C8-208A-4B47-9C2B-8B9E5258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E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81EC8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Рифма</vt:lpstr>
    </vt:vector>
  </TitlesOfParts>
  <Company>Home</Company>
  <LinksUpToDate>false</LinksUpToDate>
  <CharactersWithSpaces>10189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Рифма</dc:title>
  <dc:subject/>
  <dc:creator>User</dc:creator>
  <cp:keywords/>
  <dc:description/>
  <cp:lastModifiedBy>admin</cp:lastModifiedBy>
  <cp:revision>2</cp:revision>
  <dcterms:created xsi:type="dcterms:W3CDTF">2014-02-15T02:46:00Z</dcterms:created>
  <dcterms:modified xsi:type="dcterms:W3CDTF">2014-02-15T02:46:00Z</dcterms:modified>
</cp:coreProperties>
</file>