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Сегодня можно говорить о множестве социальных рисков, которые отражают многозначность этого термина. Социальные риски в несколько более широком смысле имеющиеся в большинстве общественных отношений, они используются в разных сферах и направлениях научных исследований (политика, экономика, национальная или информационная безопасность, юриспруденция и т. д.). Однако, несмотря на интенсивное развитие рискологии, до сих пор учеными не предложено единого общепринятого определения понятия социального риска. На сегодня известно около 1500 определений термина «риск». Наконец, само понятие социальный также понимают в широком (как таковой, осуществляемой в обществе)</w:t>
      </w:r>
      <w:r w:rsidR="0042176C" w:rsidRPr="0042176C">
        <w:rPr>
          <w:sz w:val="28"/>
        </w:rPr>
        <w:t xml:space="preserve"> </w:t>
      </w:r>
      <w:r w:rsidRPr="0042176C">
        <w:rPr>
          <w:sz w:val="28"/>
        </w:rPr>
        <w:t>и узком (связан с основными условиями жизнедеятельности человека) его значении.</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Понятие социального риска по праву социального обеспечения базируется на узком понимании этой группы рисков как собственно социальных, т. е. таких, которые объективно нарушающие жизнедеятельность человека и связанные с социально-экономическими факторами в государстве. Правовым основанием определения объективных обстоятельств, с наступлением которых лицо имеет право на социальное обеспечение именно как социальных рисков, по моему мнению, можно считать положение Основных направлений социальной политики на 1997-2000 годы. В частности, этого акта закрепляет, что государство гарантирует социальную защиту граждан от социальных и профессиональных рисков, связанных с потерей заработка, места работы, здоровье.</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Система социальных рисков не является постоянной, она динамически изменяется в зависимости от развития государства и провозглашенных ею ценностей. Современный перечень социальных рисков, обусловливающие право лица на социальное обеспечение, признанный международным сообществом (Общая декларация прав человека (1948), Международный пакт об экономических, социальных и культурных правах (1966), Европейская социальная хартия (1961), Конвенции Международной организации труда) и закреплен в национальном законодательстве (ст. 46 Конституции Украины).</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В отечественной правовой литературе термин социальный риск как основание возникновения права на социальное обеспечение, а, следовательно, как объективный фактор возникновения социально-обеспечительных правоотношений, впервые предложила использовать Н. Болотина.</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Теория социального риска не является новой в отраслевой литературе. В свое время еще в 20-х годах ее обосновывали Н. Вигдорчик, Н. Семашко, В. Догадов. За ней лицо получает право на социальное обеспечение в случае наступления обстоятельств, которое общество трактует как правомерно основание участия неработающего в распределении коллективного продукта.</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Категория социального риска стала предметом исследований и современных ученых. Так, В. Роик под понятием социальный риск понимает вероятность наступления материальной необеспеченности работников вследствие потери заработка и потери трудоспособности (профессиональные и общие заболевания, несчастные случаи как на производстве, так и вне его). Такое определение социального риска заслуживает внимания, однако не совсем верным при характеристике социального риска как института права социального обеспечения. Обосновывая понятие социального риска именно так, автор ограничивает круг потенциальных субъектов социально-обеспечительных правоотношений («только работники»), а также сужает перечень оснований, порождающих право на материальное социальное обеспечение («потеря зарплаты вследствие потери трудоспособности»). Очевиден тот факт, что на сегодня наряду с социально-экономическими причинами хранятся не менее важные основания осуществления государством функции социального обеспечения: физиологические (например, потребность социального обеспечения ребенка-инвалида) и демографические (социальное обеспечение семей с детьми). Уместно заметить, что такой социальный риск как безработица также не охватывается предложенной ученым дефиницией.</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Т. Гарасимов одной из характеристик социального риска по праву социального обеспечения называет потерю трудоспособности лица. Такая позиция представляется не бесспорным, хотя бы потому, что потеря трудоспособности является лишь одной из объективных причин (наряду с такими, как невозможность найти подходящую работу, потеря кормильца) утраты лицом (не возможности обрести) средств к существованию.</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Социальный риск - это вероятность наступления материальной необеспеченности лица вследствие отсутствия заработка по объективным социально-значимых причинам, и в связи с дополнительными расходами по содержанию детей или других членов, а также по удовлетворению потребностей в медицинских или социальных услугах.</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Социальные риски по праву социального обеспечения характеризуются следующими признаками: 1) имеют исключительно объективный характер: они наступают независимо от воли лица и не могут быть устранены ею самостоятельно через внешние факторы, а не из любых субъективных причин, 2) ограничивают (или нарушают) жизнедеятельность человека и предопределяют ее социальную необеспеченность, 3) закреплены национальным законодательством как обстоятельства, вследствие наступления которых лицо может потребовать помощи государства или общества; 4) потенциально закономерными для каждого человека: обязательно или, как правило, случаются или могут произойти при определенных обстоятельствах.</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Правовая природа социального риска обусловливает особую природу права социального обеспечения и определяет функции: предупреждение возможных материальных неурядиц лица или помощь лицу или членам его семьи, которые находятся в особом материальном или социальном положении.</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Таким образом, социальный риск - это закрепленная законодательством и признана обществом социально-значимой обстоятельство объективного характера, с наступлением которого граждане (члены их семей) могут потерять временно или навсегда средства к существованию или требуют дополнительного материального обеспечения и не могут самостоятельно ее избежать.</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По критерию организационно-правовой формы социального обеспечения социальные риски можно классифицировать на страховые, т. е. те, которые обеспечиваются в рамках системы социального (государственного и негосударственного) страхования и не страхования - обеспечиваются по программе социальной государственной поддержки.</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По характеру можно выделить такие основные социальные риски: нетрудоспособность, безработица (частичная безработица, потеря кормильца и малообеспеченность.</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Срок нетрудоспособности часто встречается в национальном законодательстве при определении субъектов права на тот или иной вид социального обеспечения. Вместе с тем, законодательного закрепления этого понятия нет, что неоднократно приводило к нерешенным проблемам в правоприменительной практике.</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Нетрудоспособность - социально-физиологическое состояние человека, который определяется ее объективной потерей или уменьшением естественных функций организма или снижением квалификации, значительным уменьшением объема или прекращением трудовой деятельности.</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Содержание и вид нетрудоспособности определяется законодательно закрепленными обстоятельствами, которые предопределяют ее наступления. Нетрудоспособность может быть следствием различных по природе юридических фактов: 1) общесоциальных: присущи каждому человеку, поскольку обусловлены ее физиологической и социальной природе (например, старость, беременность и роды, травма, не связанная с производством и т. д.) 2) профессиональных: является следствием или связанные с трудовой деятельностью, которую исполняла лицо (несчастный случай на производстве, профессиональное заболевание), 3) публичных: является следствием экономических, технических, социальных событий в конкретном государстве (техногенные катастрофы, военные конфликты и т. п.).</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По моему мнению, нужно различать объективно-физиологическую нетрудоспособность, то есть по состоянию здоровья или при несовершеннолетию и объективно-юридической, т. е., когда закон позволяет уже не работать независимо от того, может или не может человек выполнять определенную трудовую деятельность. Нетрудоспособность можно классифицировать также на реальную и презюмированную. Реальная отображается в процентах потери трудоспособности и определяется МСЭК. Презюмированная нетрудоспособность наступает при достижении законодательно установленного возраста. Презумпция возрастной нетрудоспособности лежит в основе пенсии по возрасту; презумпция потери профессиональной трудоспособности лежит в основе назначения пенсии за выслугу лет, а также пенсии по возрасту, который назначается на льготных условиях.</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По продолжительности нетрудоспособности можно разделить на: постоянную; стойку; временную.</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Юридическим фактом, постоянную нетрудоспособность лица являются старость (пенсионный возраст). Конституция Украины закрепляет право граждан на социальную защиту в случае старости (ч. 2 ст. 46). Тем не менее, медицинская наука не нашла критерия правильного нормирования или прекращения работы в соответствии с физиологическим состоянием и биологической активностью человека. Исследования доказывают, что степень старения (соответственно уровень здоровья) существенным образом зависит от различного рода социальных факторов: разницы в уровне и качестве жизни городского и сельского населения; принадлежности к определенной социальной группе; отношение лица к своему здоровью; особенности питания и т. д. Физиологическое и мед-ко-биологическое состояние определяется индивидуальными темпами старения организма, психологический - самооценкой человека. Итак, старость - это естественное состояние организма, который часто не совпадает с календарным возрастом человека. Именно поэтому возникновение у лица права на социальное обеспечение связывают с наступлением такого юридического факта как пенсионный возраст для мужчин 60, для женщин - 55 лет.</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 xml:space="preserve">Подготовка пенсионной реформы вызвала дискуссии о возможности повышения возрастного уровня трудовой нетрудоспособности. Экономисты ищут в этом противодействие тенденции к усилению диспропорции в соотношении работник-пенсионер (в </w:t>
      </w:r>
      <w:smartTag w:uri="urn:schemas-microsoft-com:office:smarttags" w:element="metricconverter">
        <w:smartTagPr>
          <w:attr w:name="ProductID" w:val="1996 г"/>
        </w:smartTagPr>
        <w:r w:rsidRPr="0042176C">
          <w:rPr>
            <w:sz w:val="28"/>
          </w:rPr>
          <w:t>1996 г</w:t>
        </w:r>
      </w:smartTag>
      <w:r w:rsidRPr="0042176C">
        <w:rPr>
          <w:sz w:val="28"/>
        </w:rPr>
        <w:t>. на 1000 чел. Трудоспособного возраста было 405 пенсионеров, а по прогнозам на 2026 будет 561)</w:t>
      </w:r>
      <w:r w:rsidR="0042176C" w:rsidRPr="0042176C">
        <w:rPr>
          <w:sz w:val="28"/>
        </w:rPr>
        <w:t>,</w:t>
      </w:r>
      <w:r w:rsidRPr="0042176C">
        <w:rPr>
          <w:sz w:val="28"/>
        </w:rPr>
        <w:t xml:space="preserve"> ссылаясь и на то, что таким путем идет большинство зарубежных государств. Так в последнее время в некоторых государствах заметна тенденция к повышению пенсионного возраста: в Германии - до 65 лет, независимо от пола; в Италии - мужчинам до 65 лет, женщинам - до 60 лет; в США - до 67 лет, во Франции ожидается, что до 2041 пенсионный возраст повысится с 60 лет до 61-62 лет. Программа пенсионной реформы Украины не предусматривает повышение пенсионного возраста, а основывается на принципе материального поощрения выхода на пенсию в более позднем возрасте.</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Следующим видом нетрудоспособности является стойка, которая традиционно в законодательстве определяется понятием инвалидность. Исходя из содержания ст. 2 Закона Украины «Об основах социальной защищенности инвалидов в Украине», можно предложить следующее определение инвалидности. Это устойчивое расстройство функций организма, приводит к полной или частичной (значительной) потери профессиональной трудоспособности или до существенных ограничений жизнедеятельности человека.</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Итак, можно выделить два признака инвалидности:</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1) профессиональную - полная или значительная потеря профессиональной трудоспособности. Под последней понимают способность работника к трудовой деятельности по своей профессии и квалификации или по Другим адекватной профессией;</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2) непрофессиональная - существенные нарушения жизнедеятельности человека, которые связаны не только с ее трудовой деятельностью. Сюда нужно отнести: способность к самообслуживанию, передвижению, общения, обучения, контроля за поведением и т. д.</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Степень ограничения жизнедеятельности человека, причину, время наступления, группу инвалидности определяет медико-социальная экспертиза, которая проводится на основании Порядка организации и проведения медико-социальной экспертизы утраты трудоспособности (утв. постановлением КМУ от 4 апреля 1994 p.). В зависимости от степени потери здоровья устанавливают три группы инвалидности.</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Причина инвалидности определяет вид социального обеспечения, условия и порядок его предоставления. Причинами инвалидности могут быть: несчастный случай на производстве; профессиональное заболевание; общее заболевание или травма, не связанная с производством. Законодательством Украины могут быть установлены и другие причины инвалидности.</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Под временной нетрудоспособностью понимаем неспособность лица осуществлять трудовую деятельность вследствие кратковременных обстоятельств объективного характера.</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Юридические факты, которые предопределяют временной нетрудоспособности гражданина можно разделить на три группы. Первая определяет физическую неспособность лица выполнять трудовые обязанности. К ней относятся: болезнь лица (общего или профессионального заболевания); травма, как связана, так и не связана с несчастным случаем на производстве; беременность и роды. Вторая определяет невозможность выполнять работу за необходимости ухода за другим членом семьи, а именно: за больным ребенком, за больным членом семьи; за ребенком в возрасте до трех лет или ребенком-инвалидом в возрасте до 16 лет в случае болезни матери либо другого лица, которая ухаживает за этим ребенком; за ребенком до трех лет. Третью группу составляют обстоятельства, вызванные определенными действиями государственных органов. Сюда нужно отнести временную нетрудоспособность вследствие карантина, наложенного органами санитарно-эпидемиологической службы.</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Создание в государстве рыночного механизма хозяйствования привело к появлению рынка труда, который сопровождается наличием постоянной незанятости части трудоспособного населения, т. е. появления нового социального риска - безработица.</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Определение безработицы как социального риска, ни в законодательстве, ни в научной литературе не дается. Пункт 9 ст. 1 Закона Украины «Об общеобязательном государственном социальном страховании на случай безработицы» вместо понятия безработицы легализует понятие «потеря работы по независящим от застрахованных лиц обстоятельств». Независимыми от лица обстоятельствам прекращения трудового договора признаются: по соглашению сторон; в связи с призывом или поступлением на военную службу; по инициативе работника в случае невозможности продолжения работы, а также невыполнения работодателем условий коллективного или трудового договора; расторжение срочного договора по инициативе работника в случае болезни или инвалидности, препятствующих выполнению работы по договору; в связи с изменениями в организации производства и труда, в том числе ликвидации, реорганизации, банкротства, перепрофилирования предприятия, сокращения численности или штата работников; в связи с выявленной несоответствием работника занимаемой должности или выполняемой работе вследствие недостаточной квалификации или состояния здоровья, препятствующих продолжению работы, в связи с неявкой на работу в течение более четырех месяцев подряд вследствие временной нетрудоспособности, не считая отпуска по беременности и родами; вследствие восстановления на работе работника, ранее выполнявшего эту работу. Однако анализ положений указанного Закона и Закона Украины «О занятости населения» свидетельствует, что безработица является несколько более широким по содержанию понятием и не охватывается признаком «потеря работы по независящим от лица обстоятельствам». Так, безработными могут признаваться лица, которые прекратили трудовой договор по собственному желанию без уважительных причин или, например, были уволены за прогул. Отсутствие независимых обстоятельств прекращения трудового договора влияют только на условия и порядок получения лицом пособия по безработице.</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Учитывая приведенное выше, под безработицей понимается потеря работоспособной лицом трудоспособного возраста работы по объективным или субъективным причинам, который привел к потере заработной платы или других, предусмотренных законодательством доходов.</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Закон «Об общеобязательном государственном социальном страховании на случай безработицы» впервые на законодательном уровне закрепил частичная безработица как социальный риск и предусмотрел систему социального обеспечения от него. Под частичной безработицей понимают вынужденное временное сокращение нормальной или установленной законодательством Украины продолжительности рабочего времени, перерыв в получении заработка или сокращение его размера по причине временного прекращения производства без прекращения трудовых отношений по причинам экономического, технологического, структурного характера.</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Потеря кормильца нетрудоспособными членами семьи, которые находились на его иждивении, является основанием для назначения пенсии по потере кормильца или ежемесячных страховых выплат в случае смерти кормильца от несчастного случая на производстве или профессионального заболевания.</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Нетрудоспособными членами семьи умершего кормильца считаются: дети, не достигшие 16 лет (сюда также относится ребенок умершего, которая родилась в течение не более 10-месячного срока после его смерти), дети с 16 до 18 лет, которые не работают, или старшие за этот возраст, но из-за недостатков физического или умственного развития сами не способны зарабатывать, дети, которые являются учениками, студентами (курсантами, слушателями, стажерами) дневной формы обучения - до окончания обучения, но не более чем до достижения ими 23 лет; женщины, достигшие 55 лет; и мужчины, достигшие 60 лет, если они не работают; инвалиды - члены семьи пострадавшего на время инвалидности; несовершеннолетние дети, на содержание которых умерший выплачивал или обязан был выплачивать алименты; один из супругов или один родителя умершего или иной член семьи, если он не работает и с детьми, братьев, сестер или внуков умершего, не достигшими 8-летнего возраста.</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Члены семьи умершего считаются были на его иждивении, если они получали от него помощь, которая была для них постоянным и основным источником средств к существованию, либо имели на день его смерти право на получение от него содержания.</w:t>
      </w:r>
    </w:p>
    <w:p w:rsidR="003F7F31" w:rsidRPr="0042176C" w:rsidRDefault="003F7F31" w:rsidP="0042176C">
      <w:pPr>
        <w:pStyle w:val="a3"/>
        <w:spacing w:before="0" w:beforeAutospacing="0" w:after="0" w:afterAutospacing="0" w:line="360" w:lineRule="auto"/>
        <w:ind w:firstLine="709"/>
        <w:jc w:val="both"/>
        <w:rPr>
          <w:sz w:val="28"/>
        </w:rPr>
      </w:pPr>
      <w:r w:rsidRPr="0042176C">
        <w:rPr>
          <w:sz w:val="28"/>
        </w:rPr>
        <w:t>Рыночная трансформация экономических отношений привела к появлению качественно нового социального риска, при наступлении которого граждане нуждаются в поддержке общества, - малообеспеченности. Малообеспеченность как социальный риск определяет несостоятельность лица или семьи учитывая объективные факторы обеспечить собственный доход на уровне прожиточного уровня в государстве. Малообеспеченности является нестраховыми социальным риском и обеспечивается в системе государственной социальной поддержки (за счет средств местных бюджетов).</w:t>
      </w:r>
    </w:p>
    <w:p w:rsidR="00F96679" w:rsidRPr="00F96679" w:rsidRDefault="00F96679" w:rsidP="00F96679">
      <w:pPr>
        <w:ind w:firstLine="684"/>
        <w:jc w:val="both"/>
        <w:rPr>
          <w:color w:val="FFFFFF"/>
          <w:sz w:val="28"/>
        </w:rPr>
      </w:pPr>
      <w:r w:rsidRPr="00F96679">
        <w:rPr>
          <w:color w:val="FFFFFF"/>
          <w:sz w:val="28"/>
        </w:rPr>
        <w:t>социальный риск нетрудоспособность безработица</w:t>
      </w:r>
    </w:p>
    <w:p w:rsidR="00F96679" w:rsidRPr="00F96679" w:rsidRDefault="00F96679" w:rsidP="00F96679">
      <w:pPr>
        <w:spacing w:line="360" w:lineRule="auto"/>
        <w:jc w:val="center"/>
        <w:rPr>
          <w:color w:val="FFFFFF"/>
          <w:sz w:val="28"/>
        </w:rPr>
      </w:pPr>
      <w:bookmarkStart w:id="0" w:name="_GoBack"/>
      <w:bookmarkEnd w:id="0"/>
    </w:p>
    <w:sectPr w:rsidR="00F96679" w:rsidRPr="00F96679" w:rsidSect="0042176C">
      <w:headerReference w:type="default" r:id="rId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FDD" w:rsidRDefault="00F93FDD">
      <w:r>
        <w:separator/>
      </w:r>
    </w:p>
  </w:endnote>
  <w:endnote w:type="continuationSeparator" w:id="0">
    <w:p w:rsidR="00F93FDD" w:rsidRDefault="00F9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FDD" w:rsidRDefault="00F93FDD">
      <w:r>
        <w:separator/>
      </w:r>
    </w:p>
  </w:footnote>
  <w:footnote w:type="continuationSeparator" w:id="0">
    <w:p w:rsidR="00F93FDD" w:rsidRDefault="00F93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76C" w:rsidRDefault="0042176C" w:rsidP="0042176C">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7F31"/>
    <w:rsid w:val="00021BF5"/>
    <w:rsid w:val="001350B2"/>
    <w:rsid w:val="003018C2"/>
    <w:rsid w:val="00381DE4"/>
    <w:rsid w:val="003F7F31"/>
    <w:rsid w:val="0042176C"/>
    <w:rsid w:val="00D33711"/>
    <w:rsid w:val="00D93025"/>
    <w:rsid w:val="00F5055B"/>
    <w:rsid w:val="00F93FDD"/>
    <w:rsid w:val="00F9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AC24093-8509-476C-B35C-3C2A411A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F7F31"/>
    <w:pPr>
      <w:spacing w:before="100" w:beforeAutospacing="1" w:after="100" w:afterAutospacing="1"/>
    </w:pPr>
  </w:style>
  <w:style w:type="paragraph" w:styleId="a4">
    <w:name w:val="header"/>
    <w:basedOn w:val="a"/>
    <w:link w:val="a5"/>
    <w:uiPriority w:val="99"/>
    <w:rsid w:val="0042176C"/>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42176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Hyperlink"/>
    <w:uiPriority w:val="99"/>
    <w:rsid w:val="004217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75550">
      <w:marLeft w:val="0"/>
      <w:marRight w:val="0"/>
      <w:marTop w:val="0"/>
      <w:marBottom w:val="0"/>
      <w:divBdr>
        <w:top w:val="none" w:sz="0" w:space="0" w:color="auto"/>
        <w:left w:val="none" w:sz="0" w:space="0" w:color="auto"/>
        <w:bottom w:val="none" w:sz="0" w:space="0" w:color="auto"/>
        <w:right w:val="none" w:sz="0" w:space="0" w:color="auto"/>
      </w:divBdr>
    </w:div>
    <w:div w:id="70275551">
      <w:marLeft w:val="0"/>
      <w:marRight w:val="0"/>
      <w:marTop w:val="0"/>
      <w:marBottom w:val="0"/>
      <w:divBdr>
        <w:top w:val="none" w:sz="0" w:space="0" w:color="auto"/>
        <w:left w:val="none" w:sz="0" w:space="0" w:color="auto"/>
        <w:bottom w:val="none" w:sz="0" w:space="0" w:color="auto"/>
        <w:right w:val="none" w:sz="0" w:space="0" w:color="auto"/>
      </w:divBdr>
    </w:div>
    <w:div w:id="70275552">
      <w:marLeft w:val="0"/>
      <w:marRight w:val="0"/>
      <w:marTop w:val="0"/>
      <w:marBottom w:val="0"/>
      <w:divBdr>
        <w:top w:val="none" w:sz="0" w:space="0" w:color="auto"/>
        <w:left w:val="none" w:sz="0" w:space="0" w:color="auto"/>
        <w:bottom w:val="none" w:sz="0" w:space="0" w:color="auto"/>
        <w:right w:val="none" w:sz="0" w:space="0" w:color="auto"/>
      </w:divBdr>
    </w:div>
    <w:div w:id="70275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Сегодня можно говорить о множестве социальных рисков, которые отражают многозначность этого термина</vt:lpstr>
    </vt:vector>
  </TitlesOfParts>
  <Company/>
  <LinksUpToDate>false</LinksUpToDate>
  <CharactersWithSpaces>18420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 можно говорить о множестве социальных рисков, которые отражают многозначность этого термина</dc:title>
  <dc:subject/>
  <dc:creator>Ксюша</dc:creator>
  <cp:keywords/>
  <dc:description/>
  <cp:lastModifiedBy>admin</cp:lastModifiedBy>
  <cp:revision>2</cp:revision>
  <dcterms:created xsi:type="dcterms:W3CDTF">2014-03-27T19:22:00Z</dcterms:created>
  <dcterms:modified xsi:type="dcterms:W3CDTF">2014-03-27T19:22:00Z</dcterms:modified>
</cp:coreProperties>
</file>