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BC4" w:rsidRDefault="00460BC4" w:rsidP="00791A69">
      <w:pPr>
        <w:spacing w:before="100" w:beforeAutospacing="1" w:after="100" w:afterAutospacing="1" w:line="270" w:lineRule="atLeast"/>
        <w:jc w:val="center"/>
        <w:rPr>
          <w:rStyle w:val="a3"/>
          <w:b/>
          <w:bCs/>
          <w:color w:val="0000FF"/>
          <w:sz w:val="20"/>
          <w:szCs w:val="20"/>
        </w:rPr>
      </w:pPr>
    </w:p>
    <w:p w:rsidR="00791A69" w:rsidRDefault="00791A69" w:rsidP="00791A69">
      <w:pPr>
        <w:spacing w:before="100" w:beforeAutospacing="1" w:after="100" w:afterAutospacing="1" w:line="270" w:lineRule="atLeast"/>
        <w:jc w:val="center"/>
        <w:rPr>
          <w:color w:val="3B5179"/>
        </w:rPr>
      </w:pPr>
      <w:r>
        <w:rPr>
          <w:rStyle w:val="a3"/>
          <w:b/>
          <w:bCs/>
          <w:color w:val="0000FF"/>
          <w:sz w:val="20"/>
          <w:szCs w:val="20"/>
        </w:rPr>
        <w:t>Роль финансового рынка в условиях рыночной экономики</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На макроуровне функционируют три совокупных рынка: рынок товаров и услуг, ресурсный рынок и финансовый. На этих рынках взаимодействуют четыре сектора: предприниматели, домохозяйства, государство и внешнеэкономический сектор. Необходимость первых двух макрорынков очевидна: на ресурсном рынке предприниматели приобретают в различных формах (в собственность, аренду, найм) факторы производства (землю, труд и капитал), производят товары и услуги, а затем реализуют их на товарном рынке. А чем вызвана потребность в финансовом рынке? Это объясняется тем, что сектора экономики, получив в свое распоряжение располагаемый доход, используют на потребление не всю полученную сумму, а направляют часть денег на сбережение. Наличие сбережений подталкивает и предпринимателей, и государство, и участников внешнеэкономической деятельности к заимствованию данных сумм для своих целей. Однако очевидно, что когда любое физическое или юридическое лицо обращается к другому лицу с просьбой ссудить ту или иную сумму денег, то для заемщика целесообразно предоставить заимодавцу в качестве залога какое-нибудь средство, обладающее реальной ценностью.</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Финансовый рынок, в основном, служит для того, чтобы с его помощью сектор предпринимателей, государство и участники внешнеэкономической деятельности могли получать заемные средства.</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Рынок ценных бумаг является составной частью финансового рынка и существует для обеспечения сделок по продаже и покупке ценных бумаг. Он позволяет ускорить переход капитала от денежной к производительной форме. На рынке ценных бумаг происходит перераспределение капиталов между отраслями и сферами экономики, между территориями и странами, между различными слоями населения.</w:t>
      </w:r>
      <w:bookmarkStart w:id="0" w:name="_ftnref1"/>
      <w:r>
        <w:rPr>
          <w:rStyle w:val="a4"/>
          <w:rFonts w:ascii="Arial" w:hAnsi="Arial" w:cs="Arial"/>
          <w:color w:val="FFA200"/>
          <w:sz w:val="18"/>
          <w:szCs w:val="18"/>
        </w:rPr>
        <w:t>*</w:t>
      </w:r>
      <w:bookmarkEnd w:id="0"/>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Развитый внутренний финансовый рынок мог бы существенно облегчить задачу интеграции в мировой финансовый рынок и создать канал для инвестирования иностранного капитала в нашу экономику через размещение наших ценных бумаг.</w:t>
      </w:r>
    </w:p>
    <w:p w:rsidR="00791A69" w:rsidRDefault="00791A69" w:rsidP="00791A69">
      <w:pPr>
        <w:spacing w:before="100" w:beforeAutospacing="1" w:after="100" w:afterAutospacing="1"/>
        <w:ind w:firstLine="709"/>
        <w:jc w:val="both"/>
        <w:rPr>
          <w:color w:val="3B5179"/>
        </w:rPr>
      </w:pPr>
      <w:r>
        <w:rPr>
          <w:color w:val="0000FF"/>
          <w:sz w:val="20"/>
          <w:szCs w:val="20"/>
        </w:rPr>
        <w:t>Организация крупномасштабного рынка для обращающихся ценных бумаг является сложным и длительным процессом. Массовому обращению акций должно предшествовать массовое создание акционерных предприятий, которое в наших условиях должно предваряться разгосударствлением и приватизацией предприятий. Этот процесс идет с большим трудом.</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Есть еще одна характерная черта, отличающая российский рынок –отсутствие статистических данных о его состоянии за длительный период, а именно такие данные становятся основой для моделирования.</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В настоящее время важнейшим нормативным документом, регулирующим деятельность российского финансового рынка является Закон «О рынке ценных бумаг», принятый в 1996 году. В соответствии с этим законом вся деятельность на рынке ценных бумаг является лицензируемой.</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На российском финансовом рынке преобладают государственные ценные бумаги, занимающие около 80 % рынка. Появление и развитие государственных ценных бумаг связано с проблемами дефицита бюджетов различных уровней. Государство предприняло несколько попыток привлечь инвесторов к финансированию бюджетного дефицита. Наиболее удачными оказались ценные бумаги, реализуемые среди юридических лиц.</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Среди государственных ценных бумаг первое место устойчиво занимают Государственные краткосрочные облигации (ГКО) и Облигации федерального займа с переменным купоном (ОФЗ-ПК).</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Особенностью российского рынка является высокая доходность государственных ценных бумаг. Постепенно с ростом доверия к этим бумагам и изменением тенденций других сегментов финансового рынка, в частности валютного рынка, государство смогло занимать деньги под более низкий уровень доходности.</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В последнее время все более существенную роль играют муниципальные ценные бумаги, эмитируемые субъектами РФ. Они представляют собой растущую и очень интересную часть финансового рынка.</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Рынок государственных ценных бумаг – централизованный биржевой. Центром является Московская Межбанковская Валютная Биржа.</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Российский рынок корпоративных ценных бумаг прошел в своем развитии несколько этапов. В 1990 – 1992 гг. были созданы предпосылки для его развития. В 1993 — 1994 гг. прошел «этап приватизационных чеков». Со второй половины 1994 года началось обращение акций акционерных обществ, постепенное становление рынка крупных инвесторов и посредников.</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Российский финансовый рынок, в основном, использовал легальный потенциал российских инвесторов – юридических лиц. Во многом его функционирование в настоящее время связано с притоком иностранного капитала. Это выражается в допуске нерезидентов к государственным ценным бумагам и в выходе российских корпоративных ценных бумаг на внешние рынки через механизм депозитарных расписок.</w:t>
      </w:r>
    </w:p>
    <w:p w:rsidR="00791A69" w:rsidRDefault="00791A69" w:rsidP="00791A69">
      <w:pPr>
        <w:spacing w:before="100" w:beforeAutospacing="1" w:after="100" w:afterAutospacing="1"/>
        <w:ind w:firstLine="709"/>
        <w:jc w:val="both"/>
        <w:rPr>
          <w:color w:val="3B5179"/>
        </w:rPr>
      </w:pPr>
      <w:r>
        <w:rPr>
          <w:color w:val="0000FF"/>
          <w:sz w:val="20"/>
          <w:szCs w:val="20"/>
        </w:rPr>
        <w:t>Большие возможности российского финансового рынка могли бы открыться через привлечение средств населения, хранящихся в виде наличности. Но российское население является самым недоверчивым инвестором, к тому же имеющим отрицательный опыт в виде бумаг типа МММ.</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Существующие в развитых странах финансовые рынки опираются на обширные сбережения частных лиц. Общая бедность нашего населения и нехватка свободных сбережений — объективное препятствие на пути развития широкого финансового рынка. Население психологически не подготовлено к восприятию вложения своих средств в долговые обязательства неизвестных ему новых организаций.</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Для функционирования рынка требуется возникновение уверенности в возможности вверить свои сбережения посредническим институтам. Это доверие общества должно воспитываться постепенно на положительных примерах. За короткое время на российском рынке появилось громадное количество ценных бумаг: акции приватизированных государственных предприятий и вновь возникших акционерных обществ, приватизационные чеки, векселя и государственные облигации. Принят целый ряд нормативных актов, регулирующих выпуск и обращение ценных бумаг, а также правила поведения участников рынка.</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Согласно экономической теории весь товарный мир делится на товары и деньги. Под товарами понимаются материальные блага и услуги. Понятие денег включает в себя собственно деньги и капитал, то есть деньги, которые приносят новые деньги.</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Существуют два основных способа передачи денег – через процесс кредитования и путем выпуска и обращения ценных бумаг.</w:t>
      </w:r>
    </w:p>
    <w:p w:rsidR="00791A69" w:rsidRDefault="00791A69" w:rsidP="00791A69">
      <w:pPr>
        <w:spacing w:before="100" w:beforeAutospacing="1" w:after="100" w:afterAutospacing="1"/>
        <w:ind w:firstLine="709"/>
        <w:jc w:val="both"/>
        <w:rPr>
          <w:color w:val="3B5179"/>
        </w:rPr>
      </w:pPr>
      <w:r>
        <w:rPr>
          <w:color w:val="0000FF"/>
          <w:sz w:val="20"/>
          <w:szCs w:val="20"/>
        </w:rPr>
        <w:t>В настоящее время в России существует определенное количество законодательных актов, которые регулируют финансовый рынок, но их недостаточно. Такая ситуация во многом генерируется динамичным развитием данного рынка и отставанием от него законодательной деятельности. Наряду с этим можно отметить такой негативный момент, как недостаточная правовая защищенность граждан при совершении ими различных операций на рынке ценных бумаг.</w:t>
      </w:r>
    </w:p>
    <w:p w:rsidR="00791A69" w:rsidRDefault="00791A69" w:rsidP="00791A69">
      <w:pPr>
        <w:shd w:val="clear" w:color="auto" w:fill="FFFFFF"/>
        <w:spacing w:before="100" w:beforeAutospacing="1" w:after="100" w:afterAutospacing="1"/>
        <w:ind w:firstLine="709"/>
        <w:jc w:val="both"/>
        <w:rPr>
          <w:color w:val="3B5179"/>
        </w:rPr>
      </w:pPr>
      <w:r>
        <w:rPr>
          <w:color w:val="0000FF"/>
          <w:sz w:val="20"/>
          <w:szCs w:val="20"/>
        </w:rPr>
        <w:t>Российским законодательством не установлены адекватные меры административной и уго ловной ответственности за нарушения на финансовом рынке. Практически отсутствуют меры против использования инсайдерской информации и инсайдерской торговли, в результате чего нельзя не только выявить правонарушение, но и квалифицировать его как таковое. Недостаточно четко определено понятие манипулирования: оно касается только рынка ценных бумаг. При этом запрет манипулирования рынком установлен только для профессиональных участников рынка, что значительно сужает круг лиц, которые потенциально могли бы быть субъектами подобных нарушений. То же самое в значительной степени относится к валютному рынку.</w:t>
      </w:r>
    </w:p>
    <w:p w:rsidR="00791A69" w:rsidRDefault="00791A69" w:rsidP="00791A69">
      <w:pPr>
        <w:spacing w:before="100" w:beforeAutospacing="1" w:after="100" w:afterAutospacing="1"/>
        <w:ind w:firstLine="709"/>
        <w:jc w:val="both"/>
        <w:rPr>
          <w:color w:val="3B5179"/>
        </w:rPr>
      </w:pPr>
      <w:r>
        <w:rPr>
          <w:color w:val="0000FF"/>
          <w:sz w:val="20"/>
          <w:szCs w:val="20"/>
        </w:rPr>
        <w:t>Повторим, что важным условием обеспечения стабильности финансового рынка является его эффективное регулирование, прежде всего государством. Именно оно должно обеспечить справедливость, прозрачность рынка, снижение системного риска и защиту интересов инвесторов (вкладчиков),  устанавливая требования к деятельности финансовых институтов и санкции за их нарушение.</w:t>
      </w:r>
    </w:p>
    <w:p w:rsidR="00791A69" w:rsidRDefault="00791A69" w:rsidP="00791A69">
      <w:pPr>
        <w:spacing w:before="100" w:beforeAutospacing="1" w:after="100" w:afterAutospacing="1"/>
        <w:ind w:firstLine="709"/>
        <w:jc w:val="both"/>
        <w:rPr>
          <w:color w:val="3B5179"/>
        </w:rPr>
      </w:pPr>
      <w:r>
        <w:rPr>
          <w:color w:val="0000FF"/>
          <w:sz w:val="20"/>
          <w:szCs w:val="20"/>
        </w:rPr>
        <w:t>Это особенно актуально в связи с тем, что население обладает значительными ресурсами, необходимыми для эффективного осуществления инвестиционных процессов в реальной экономике России.</w:t>
      </w:r>
    </w:p>
    <w:p w:rsidR="00791A69" w:rsidRDefault="00791A69" w:rsidP="00791A69">
      <w:pPr>
        <w:spacing w:before="100" w:beforeAutospacing="1" w:after="100" w:afterAutospacing="1"/>
        <w:ind w:firstLine="709"/>
        <w:jc w:val="both"/>
        <w:rPr>
          <w:color w:val="3B5179"/>
        </w:rPr>
      </w:pPr>
      <w:r>
        <w:rPr>
          <w:color w:val="0000FF"/>
          <w:sz w:val="20"/>
          <w:szCs w:val="20"/>
        </w:rPr>
        <w:t>Население более или менее осведомлено о таких продуктах банковского сектора, как вклады. Другие финансовые продукты (продукты институтов коллективного инвестирования, пенсионные и страховые продукты) населению практически не знакомы, что ярко проявилось в ходе реализации пенсионной реформы. По некоторым оценкам, активными участниками российского фондового рынка являются всего лишь 10-15 тыс. граждан (менее 0,1% населения России). Для сравнения: в Южной Корее доля инвесторов в ценные бумаги в общей численности населения составляет 8,3%, в Японии – 26,6%, в Австралии – 36,5%. В США только акциями владеют 48,2% семей.</w:t>
      </w:r>
    </w:p>
    <w:p w:rsidR="00791A69" w:rsidRDefault="00791A69" w:rsidP="00791A69">
      <w:pPr>
        <w:spacing w:before="100" w:beforeAutospacing="1" w:after="100" w:afterAutospacing="1"/>
        <w:ind w:firstLine="709"/>
        <w:jc w:val="both"/>
        <w:rPr>
          <w:color w:val="3B5179"/>
        </w:rPr>
      </w:pPr>
      <w:r>
        <w:rPr>
          <w:color w:val="0000FF"/>
          <w:sz w:val="20"/>
          <w:szCs w:val="20"/>
        </w:rPr>
        <w:t>О недостаточной культуре сбережений свидетельствуют опросы среднего класса. Вклады в банки осуществляют 66% общей численности опрошенных, в валюту – 46 %, в недвижимость – 34 %, в земельные участки – 23%. Доля граждан, вкладывающих средства в предпринимательские активы, заметно меньше: инвестиции в собственное предприятие делали 4,8% опрошенных; в акции тех предприятий, где они работают, - 5,3 %, в акции других    предприятий  - 5 %, в финансовые компании и ПИФы – 3,2%. А ведь именно эти активы служат основой долгосрочных инвестиций.</w:t>
      </w:r>
      <w:bookmarkStart w:id="1" w:name="_ftnref2"/>
      <w:r>
        <w:rPr>
          <w:rStyle w:val="a4"/>
          <w:rFonts w:ascii="Arial" w:hAnsi="Arial" w:cs="Arial"/>
          <w:color w:val="FFA200"/>
          <w:sz w:val="20"/>
          <w:szCs w:val="20"/>
        </w:rPr>
        <w:t>*</w:t>
      </w:r>
      <w:bookmarkEnd w:id="1"/>
    </w:p>
    <w:p w:rsidR="00791A69" w:rsidRDefault="00791A69" w:rsidP="00791A69">
      <w:pPr>
        <w:rPr>
          <w:rFonts w:ascii="Helvetica" w:hAnsi="Helvetica" w:cs="Helvetica"/>
          <w:color w:val="3B5179"/>
          <w:sz w:val="18"/>
          <w:szCs w:val="18"/>
        </w:rPr>
      </w:pPr>
      <w:r>
        <w:rPr>
          <w:rFonts w:ascii="Helvetica" w:hAnsi="Helvetica" w:cs="Helvetica"/>
          <w:color w:val="0000FF"/>
          <w:sz w:val="20"/>
          <w:szCs w:val="20"/>
        </w:rPr>
        <w:br/>
        <w:t> </w:t>
      </w:r>
    </w:p>
    <w:p w:rsidR="00791A69" w:rsidRDefault="00856205" w:rsidP="00791A69">
      <w:pPr>
        <w:rPr>
          <w:rFonts w:ascii="Helvetica" w:hAnsi="Helvetica" w:cs="Helvetica"/>
          <w:color w:val="3B5179"/>
          <w:sz w:val="18"/>
          <w:szCs w:val="18"/>
        </w:rPr>
      </w:pPr>
      <w:r>
        <w:rPr>
          <w:rFonts w:ascii="Helvetica" w:hAnsi="Helvetica" w:cs="Helvetica"/>
          <w:color w:val="3B5179"/>
          <w:sz w:val="18"/>
          <w:szCs w:val="18"/>
        </w:rPr>
        <w:pict>
          <v:rect id="_x0000_i1025" style="width:0;height:1.5pt" o:hralign="center" o:hrstd="t" o:hr="t" fillcolor="#a0a0a0" stroked="f"/>
        </w:pict>
      </w:r>
    </w:p>
    <w:p w:rsidR="00791A69" w:rsidRDefault="00791A69" w:rsidP="00791A69">
      <w:pPr>
        <w:pStyle w:val="a5"/>
        <w:rPr>
          <w:rFonts w:ascii="Helvetica" w:hAnsi="Helvetica" w:cs="Helvetica"/>
          <w:color w:val="3B5179"/>
          <w:sz w:val="18"/>
          <w:szCs w:val="18"/>
        </w:rPr>
      </w:pPr>
      <w:bookmarkStart w:id="2" w:name="_ftn1"/>
      <w:r>
        <w:rPr>
          <w:rStyle w:val="a4"/>
          <w:rFonts w:ascii="Arial" w:hAnsi="Arial" w:cs="Arial"/>
          <w:color w:val="FFA200"/>
          <w:sz w:val="18"/>
          <w:szCs w:val="18"/>
        </w:rPr>
        <w:t>*</w:t>
      </w:r>
      <w:bookmarkEnd w:id="2"/>
      <w:r>
        <w:rPr>
          <w:rFonts w:ascii="Helvetica" w:hAnsi="Helvetica" w:cs="Helvetica"/>
          <w:color w:val="0000FF"/>
          <w:sz w:val="18"/>
          <w:szCs w:val="18"/>
        </w:rPr>
        <w:t>Маренков Н. Л. Российский рынок ценных бумаг и биржевое дело - М.: Эдиториал УРСС, 2000-с.7. </w:t>
      </w:r>
    </w:p>
    <w:p w:rsidR="00791A69" w:rsidRDefault="00791A69" w:rsidP="00791A69">
      <w:pPr>
        <w:pStyle w:val="a5"/>
        <w:rPr>
          <w:rFonts w:ascii="Helvetica" w:hAnsi="Helvetica" w:cs="Helvetica"/>
          <w:color w:val="3B5179"/>
          <w:sz w:val="18"/>
          <w:szCs w:val="18"/>
        </w:rPr>
      </w:pPr>
      <w:bookmarkStart w:id="3" w:name="_ftn2"/>
      <w:r>
        <w:rPr>
          <w:rStyle w:val="a4"/>
          <w:rFonts w:ascii="Arial" w:hAnsi="Arial" w:cs="Arial"/>
          <w:color w:val="FFA200"/>
          <w:sz w:val="18"/>
          <w:szCs w:val="18"/>
        </w:rPr>
        <w:t>*</w:t>
      </w:r>
      <w:bookmarkEnd w:id="3"/>
      <w:r>
        <w:rPr>
          <w:rStyle w:val="apple-converted-space"/>
          <w:rFonts w:ascii="Helvetica" w:hAnsi="Helvetica" w:cs="Helvetica"/>
          <w:color w:val="0000FF"/>
          <w:sz w:val="18"/>
          <w:szCs w:val="18"/>
        </w:rPr>
        <w:t> </w:t>
      </w:r>
      <w:r>
        <w:rPr>
          <w:rFonts w:ascii="Helvetica" w:hAnsi="Helvetica" w:cs="Helvetica"/>
          <w:color w:val="0000FF"/>
          <w:sz w:val="18"/>
          <w:szCs w:val="18"/>
        </w:rPr>
        <w:t>Мировая экономика и международные отношения, п.3, 2004г.</w:t>
      </w:r>
    </w:p>
    <w:p w:rsidR="00791A69" w:rsidRDefault="00791A69">
      <w:bookmarkStart w:id="4" w:name="_GoBack"/>
      <w:bookmarkEnd w:id="4"/>
    </w:p>
    <w:sectPr w:rsidR="00791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A69"/>
    <w:rsid w:val="00460BC4"/>
    <w:rsid w:val="00791A69"/>
    <w:rsid w:val="00856205"/>
    <w:rsid w:val="008B6E8B"/>
    <w:rsid w:val="00B00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27A28C9-53FC-47A4-8E4A-25952471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91A69"/>
    <w:rPr>
      <w:i/>
      <w:iCs/>
    </w:rPr>
  </w:style>
  <w:style w:type="character" w:styleId="a4">
    <w:name w:val="footnote reference"/>
    <w:basedOn w:val="a0"/>
    <w:rsid w:val="00791A69"/>
  </w:style>
  <w:style w:type="paragraph" w:styleId="a5">
    <w:name w:val="footnote text"/>
    <w:basedOn w:val="a"/>
    <w:rsid w:val="00791A69"/>
    <w:pPr>
      <w:spacing w:before="100" w:beforeAutospacing="1" w:after="100" w:afterAutospacing="1"/>
    </w:pPr>
  </w:style>
  <w:style w:type="character" w:customStyle="1" w:styleId="apple-converted-space">
    <w:name w:val="apple-converted-space"/>
    <w:basedOn w:val="a0"/>
    <w:rsid w:val="0079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162303">
      <w:bodyDiv w:val="1"/>
      <w:marLeft w:val="0"/>
      <w:marRight w:val="0"/>
      <w:marTop w:val="0"/>
      <w:marBottom w:val="0"/>
      <w:divBdr>
        <w:top w:val="none" w:sz="0" w:space="0" w:color="auto"/>
        <w:left w:val="none" w:sz="0" w:space="0" w:color="auto"/>
        <w:bottom w:val="none" w:sz="0" w:space="0" w:color="auto"/>
        <w:right w:val="none" w:sz="0" w:space="0" w:color="auto"/>
      </w:divBdr>
      <w:divsChild>
        <w:div w:id="1330208350">
          <w:marLeft w:val="0"/>
          <w:marRight w:val="0"/>
          <w:marTop w:val="0"/>
          <w:marBottom w:val="0"/>
          <w:divBdr>
            <w:top w:val="none" w:sz="0" w:space="0" w:color="auto"/>
            <w:left w:val="none" w:sz="0" w:space="0" w:color="auto"/>
            <w:bottom w:val="none" w:sz="0" w:space="0" w:color="auto"/>
            <w:right w:val="none" w:sz="0" w:space="0" w:color="auto"/>
          </w:divBdr>
          <w:divsChild>
            <w:div w:id="273176054">
              <w:marLeft w:val="0"/>
              <w:marRight w:val="0"/>
              <w:marTop w:val="0"/>
              <w:marBottom w:val="0"/>
              <w:divBdr>
                <w:top w:val="none" w:sz="0" w:space="0" w:color="auto"/>
                <w:left w:val="none" w:sz="0" w:space="0" w:color="auto"/>
                <w:bottom w:val="none" w:sz="0" w:space="0" w:color="auto"/>
                <w:right w:val="none" w:sz="0" w:space="0" w:color="auto"/>
              </w:divBdr>
            </w:div>
            <w:div w:id="17792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Роль финансового рынка в условиях рыночной экономики</vt:lpstr>
    </vt:vector>
  </TitlesOfParts>
  <Company>ССС</Company>
  <LinksUpToDate>false</LinksUpToDate>
  <CharactersWithSpaces>9158</CharactersWithSpaces>
  <SharedDoc>false</SharedDoc>
  <HLinks>
    <vt:vector size="24" baseType="variant">
      <vt:variant>
        <vt:i4>4128837</vt:i4>
      </vt:variant>
      <vt:variant>
        <vt:i4>9</vt:i4>
      </vt:variant>
      <vt:variant>
        <vt:i4>0</vt:i4>
      </vt:variant>
      <vt:variant>
        <vt:i4>5</vt:i4>
      </vt:variant>
      <vt:variant>
        <vt:lpwstr>http://www.economica-upravlenie.ru/</vt:lpwstr>
      </vt:variant>
      <vt:variant>
        <vt:lpwstr>_ftnref2</vt:lpwstr>
      </vt:variant>
      <vt:variant>
        <vt:i4>3932229</vt:i4>
      </vt:variant>
      <vt:variant>
        <vt:i4>6</vt:i4>
      </vt:variant>
      <vt:variant>
        <vt:i4>0</vt:i4>
      </vt:variant>
      <vt:variant>
        <vt:i4>5</vt:i4>
      </vt:variant>
      <vt:variant>
        <vt:lpwstr>http://www.economica-upravlenie.ru/</vt:lpwstr>
      </vt:variant>
      <vt:variant>
        <vt:lpwstr>_ftnref1</vt:lpwstr>
      </vt:variant>
      <vt:variant>
        <vt:i4>6815825</vt:i4>
      </vt:variant>
      <vt:variant>
        <vt:i4>3</vt:i4>
      </vt:variant>
      <vt:variant>
        <vt:i4>0</vt:i4>
      </vt:variant>
      <vt:variant>
        <vt:i4>5</vt:i4>
      </vt:variant>
      <vt:variant>
        <vt:lpwstr>http://www.economica-upravlenie.ru/</vt:lpwstr>
      </vt:variant>
      <vt:variant>
        <vt:lpwstr>_ftn2</vt:lpwstr>
      </vt:variant>
      <vt:variant>
        <vt:i4>6815825</vt:i4>
      </vt:variant>
      <vt:variant>
        <vt:i4>0</vt:i4>
      </vt:variant>
      <vt:variant>
        <vt:i4>0</vt:i4>
      </vt:variant>
      <vt:variant>
        <vt:i4>5</vt:i4>
      </vt:variant>
      <vt:variant>
        <vt:lpwstr>http://www.economica-upravlenie.ru/</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финансового рынка в условиях рыночной экономики</dc:title>
  <dc:subject/>
  <dc:creator>User</dc:creator>
  <cp:keywords/>
  <dc:description/>
  <cp:lastModifiedBy>Irina</cp:lastModifiedBy>
  <cp:revision>2</cp:revision>
  <dcterms:created xsi:type="dcterms:W3CDTF">2014-09-14T18:14:00Z</dcterms:created>
  <dcterms:modified xsi:type="dcterms:W3CDTF">2014-09-14T18:14:00Z</dcterms:modified>
</cp:coreProperties>
</file>