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19" w:rsidRPr="004F7619" w:rsidRDefault="00594F1E" w:rsidP="004F7619">
      <w:pPr>
        <w:pStyle w:val="2"/>
      </w:pPr>
      <w:r w:rsidRPr="004F7619">
        <w:t>Роль наследственных факторов в возникновении и развитии туберкулеза</w:t>
      </w:r>
    </w:p>
    <w:p w:rsidR="004F7619" w:rsidRDefault="004F7619" w:rsidP="004F7619">
      <w:pPr>
        <w:widowControl w:val="0"/>
        <w:autoSpaceDE w:val="0"/>
        <w:autoSpaceDN w:val="0"/>
        <w:adjustRightInd w:val="0"/>
      </w:pPr>
    </w:p>
    <w:p w:rsidR="00594F1E" w:rsidRPr="004F7619" w:rsidRDefault="00594F1E" w:rsidP="004F7619">
      <w:pPr>
        <w:widowControl w:val="0"/>
        <w:autoSpaceDE w:val="0"/>
        <w:autoSpaceDN w:val="0"/>
        <w:adjustRightInd w:val="0"/>
      </w:pPr>
      <w:r w:rsidRPr="004F7619">
        <w:t>Туберкулез известен с глубокой древности</w:t>
      </w:r>
      <w:r w:rsidR="004F7619" w:rsidRPr="004F7619">
        <w:t xml:space="preserve">. </w:t>
      </w:r>
      <w:r w:rsidRPr="004F7619">
        <w:t>О</w:t>
      </w:r>
      <w:r w:rsidRPr="004F7619">
        <w:rPr>
          <w:snapToGrid w:val="0"/>
        </w:rPr>
        <w:t>б этом свидетельствуют многочисленные литературные данные и исторические факты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Научные материалы палеонтологов указывают на древний возраст мик</w:t>
      </w:r>
      <w:r w:rsidR="003203E5" w:rsidRPr="004F7619">
        <w:rPr>
          <w:snapToGrid w:val="0"/>
        </w:rPr>
        <w:t>р</w:t>
      </w:r>
      <w:r w:rsidRPr="004F7619">
        <w:rPr>
          <w:snapToGrid w:val="0"/>
        </w:rPr>
        <w:t>обактериальной инфекции</w:t>
      </w:r>
      <w:r w:rsidR="004F7619" w:rsidRPr="004F7619">
        <w:rPr>
          <w:snapToGrid w:val="0"/>
        </w:rPr>
        <w:t xml:space="preserve">. </w:t>
      </w:r>
      <w:r w:rsidRPr="004F7619">
        <w:t>На костях древнеегипетских мумий эпохи бронзы удалось обнаружить несколько бесспорных туберкулезных поражений</w:t>
      </w:r>
      <w:r w:rsidR="004F7619" w:rsidRPr="004F7619">
        <w:t xml:space="preserve">. </w:t>
      </w:r>
      <w:r w:rsidRPr="004F7619">
        <w:t>Большая заслуга в этом принадлежит английскому исследователю Арманду Рафферу</w:t>
      </w:r>
      <w:r w:rsidR="004F7619" w:rsidRPr="004F7619"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Некоторые признаки легочной чахотки описаны в египетских папирусах, а так же в произведениях древнейших китайских ученых и в священных книгах индусов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Уже в те времена исследователи пытались объяснить вопрос, который интересовал многих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Почему некоторые люди более подвержены туберкулезу, чем другие</w:t>
      </w:r>
      <w:r w:rsidR="004F7619" w:rsidRPr="004F7619">
        <w:rPr>
          <w:snapToGrid w:val="0"/>
        </w:rPr>
        <w:t xml:space="preserve">?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Решалась эта проблема различными учеными по-разному, в зависимости от уровня знаний в тот или иной период человеческой истории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Гиппократ, а так же его современники считали туберкулез наследственной болезнью</w:t>
      </w:r>
      <w:r w:rsidR="004F7619" w:rsidRPr="004F7619">
        <w:rPr>
          <w:snapToGrid w:val="0"/>
        </w:rPr>
        <w:t>: "</w:t>
      </w:r>
      <w:r w:rsidRPr="004F7619">
        <w:rPr>
          <w:snapToGrid w:val="0"/>
        </w:rPr>
        <w:t>Некоторые – более устойчивы в болезнях, другие совершенно не способны им противостоять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Как от родителей эпилептиков рождаются дети-эпилептики, так от чахоточных рождаются дети предрасположенные к чахотке</w:t>
      </w:r>
      <w:r w:rsidR="004F7619" w:rsidRPr="004F7619">
        <w:rPr>
          <w:snapToGrid w:val="0"/>
        </w:rPr>
        <w:t xml:space="preserve">".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Однако уже в те времена высказывалась мысль о заразности легочной чахотки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 xml:space="preserve">Так в Персии, по свидетельству Геродонта, обычно изолировали не только </w:t>
      </w:r>
      <w:r w:rsidR="004F7619" w:rsidRPr="004F7619">
        <w:rPr>
          <w:snapToGrid w:val="0"/>
        </w:rPr>
        <w:t>"</w:t>
      </w:r>
      <w:r w:rsidRPr="004F7619">
        <w:rPr>
          <w:snapToGrid w:val="0"/>
        </w:rPr>
        <w:t>прокаженных, но и чахоточных и золотушных</w:t>
      </w:r>
      <w:r w:rsidR="004F7619" w:rsidRPr="004F7619">
        <w:rPr>
          <w:snapToGrid w:val="0"/>
        </w:rPr>
        <w:t>"</w:t>
      </w:r>
      <w:r w:rsidRPr="004F7619">
        <w:rPr>
          <w:snapToGrid w:val="0"/>
        </w:rPr>
        <w:t xml:space="preserve"> больных, запрещали им оставаться в городах и поддерживать какую-либо связь с окружающим населением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С открытием возбудителя туберкулеза роль наследственности при этом заболевании фактически перестала признаваться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В течение длительного времени во фтизиатрии основное внимание уделялось изучению возбудителя болезни, патологических изменений и их клинических проявлений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В настоящее время общепризнанно, что этиологическим фактором туберкулеза являются микобактерии туберкулеза (МБТ</w:t>
      </w:r>
      <w:r w:rsidR="004F7619" w:rsidRPr="004F7619">
        <w:rPr>
          <w:snapToGrid w:val="0"/>
        </w:rPr>
        <w:t xml:space="preserve">). </w:t>
      </w:r>
      <w:r w:rsidRPr="004F7619">
        <w:rPr>
          <w:snapToGrid w:val="0"/>
        </w:rPr>
        <w:t>Туберкулез – инфекционное заболевание, которое отличается преимущественно хроническим течением различных клинических форм, своеобразием специфических иммунологических и морфологических проявлений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Однако проникновение в организм возбудителя туберкулеза является необходимым, но недостаточным условием для развития болезни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В патогенезе туберкулеза немаловажную роль играют так называемые способствующие факторы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 xml:space="preserve">К таким факторам относят некоторые свойства макроорганизма (пол, возраст, сопутствующие заболевания, общая реактивность организма и </w:t>
      </w:r>
      <w:r w:rsidR="004F7619" w:rsidRPr="004F7619">
        <w:rPr>
          <w:snapToGrid w:val="0"/>
        </w:rPr>
        <w:t>т.д.),</w:t>
      </w:r>
      <w:r w:rsidRPr="004F7619">
        <w:rPr>
          <w:snapToGrid w:val="0"/>
        </w:rPr>
        <w:t xml:space="preserve"> вирулентность микобактерии туберкулеза и массивность инфицирования, а также воздействие внешней среды (неблагоприятная микросоциальная среда, социально-гигиенические факторы и низкий экономический уровень жизни</w:t>
      </w:r>
      <w:r w:rsidR="004F7619" w:rsidRPr="004F7619">
        <w:rPr>
          <w:snapToGrid w:val="0"/>
        </w:rPr>
        <w:t>),</w:t>
      </w:r>
      <w:r w:rsidRPr="004F7619">
        <w:rPr>
          <w:snapToGrid w:val="0"/>
        </w:rPr>
        <w:t xml:space="preserve"> при котором происходит инфицирование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Иногда роль сопутствующих факторов в этиологии туберкулеза выступает на первое место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Несомненно, что семейное накопление туберкулеза обусловлено общностью внешнесредовых факторов, воздействующих на каждого члена семьи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Но даже в условиях тесного семейного контакта с бактериовыделителем не все члены семьи заболевают туберкулезом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Если проследить историю взаимодействия человеческой популяции с возбудителями инфекционных болезней, то можно заметить, что эпидемии особо опасных заболеваний не заканчивались полным вымиранием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Выживали индивиды</w:t>
      </w:r>
      <w:r w:rsidR="004F7619" w:rsidRPr="004F7619">
        <w:rPr>
          <w:snapToGrid w:val="0"/>
        </w:rPr>
        <w:t xml:space="preserve"> - </w:t>
      </w:r>
      <w:r w:rsidRPr="004F7619">
        <w:rPr>
          <w:snapToGrid w:val="0"/>
        </w:rPr>
        <w:t>возможно, носители определенных генетических систем, имеющих отношение к сопротивляемости соответствующим инфекциям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Туберкулез отличается клиническим полиморфизмом, что проявляется различными формами заболевания – от малых с бессимптомным течением до обширных деструктивных процессов в легких с выраженной клинической картиной, а также наличием туберкулезного процесса различной локализации в других органах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По-видимому, причины такого разнообразия проявлений туберкулеза могут определяться не только неблагоприятным сочетанием внешних факторов, но и внутренними, наследственными причинами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</w:pPr>
      <w:r w:rsidRPr="004F7619">
        <w:rPr>
          <w:snapToGrid w:val="0"/>
        </w:rPr>
        <w:t>Степень влияния наследственных факторов на возникновение и течение болезни при разной патологии неодинакова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В одних случаях генетически могут быть детерминированы несовместимые с жизнью дефекты, в других – речь может идти об одном из многих компонентов патогенеза заболевания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</w:pPr>
      <w:r w:rsidRPr="004F7619">
        <w:t>Чувствительность к туберкулезу у разных видов животных существенно варьирует</w:t>
      </w:r>
      <w:r w:rsidR="004F7619" w:rsidRPr="004F7619">
        <w:t xml:space="preserve">: </w:t>
      </w:r>
      <w:r w:rsidRPr="004F7619">
        <w:t>от врожденной резистентности крыс, до крайней подверженности у морских свинок</w:t>
      </w:r>
      <w:r w:rsidR="004F7619" w:rsidRPr="004F7619">
        <w:t xml:space="preserve">. </w:t>
      </w:r>
      <w:r w:rsidRPr="004F7619">
        <w:t>Кроме того, существуют внутривидовые отличия в подверженности к данному заболеванию</w:t>
      </w:r>
      <w:r w:rsidR="004F7619" w:rsidRPr="004F7619"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</w:pPr>
      <w:r w:rsidRPr="004F7619">
        <w:t>Аналогичным образом человеческая популяция проявляет врожденную относительную резистентность к туберкулезу</w:t>
      </w:r>
      <w:r w:rsidR="004F7619" w:rsidRPr="004F7619">
        <w:t xml:space="preserve">. </w:t>
      </w:r>
      <w:r w:rsidRPr="004F7619">
        <w:t>Благодаря этому заболевает лишь малая часть инфицированных МБТ, в то время как по данным ВОЗ инфицируется практически каждый третий житель планеты</w:t>
      </w:r>
      <w:r w:rsidR="004F7619" w:rsidRPr="004F7619">
        <w:t xml:space="preserve">. </w:t>
      </w:r>
      <w:r w:rsidRPr="004F7619">
        <w:t>Подобная избирательность свидетельствует о том, что не все члены популяции в равной степени подвержены туберкулезу</w:t>
      </w:r>
      <w:r w:rsidR="004F7619" w:rsidRPr="004F7619"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Исследуя группу больных туберкулезом методом изучения их родословных, В</w:t>
      </w:r>
      <w:r w:rsidR="004F7619">
        <w:rPr>
          <w:snapToGrid w:val="0"/>
        </w:rPr>
        <w:t xml:space="preserve">.Г. </w:t>
      </w:r>
      <w:r w:rsidRPr="004F7619">
        <w:rPr>
          <w:snapToGrid w:val="0"/>
        </w:rPr>
        <w:t>Штефко провел параллели между конституциональными признаками и заболеванием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Так же он установил различное течение болезни у лиц разной национальности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Полученные данные позволили предположить существование наследственной предрасположенности к туберкулезу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Выявление при профилактических флюрографических обследованиях рентгенположительных лиц с зажившими элементами перенесенной первичной инфекции, у которых наступило спонтанное излечение, также свидетельствует о том, что не все люди в равной степени подвержены заболеванию туберкулезом в условиях заражения микобактериями туберкулеза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Б</w:t>
      </w:r>
      <w:r w:rsidR="004F7619">
        <w:rPr>
          <w:snapToGrid w:val="0"/>
        </w:rPr>
        <w:t xml:space="preserve">.А. </w:t>
      </w:r>
      <w:r w:rsidRPr="004F7619">
        <w:rPr>
          <w:snapToGrid w:val="0"/>
        </w:rPr>
        <w:t>Березовский и соавт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провели анализ частоты болезни среди родственников больных туберкулезом, не находившихся в контакте с последними, а также в контрольной группе здоровых лиц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Полученные результаты выявили достоверные различия в сравниваемых группах, при этом частота туберкулеза среди родителей и сибсов пробанда более чем в 5 раз превышала таковую в популяции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На основании этих данных было сделано предположение, что наряду с известными, достаточно изученными причинами возникновения туберкулеза легких определенное значение в его развитии имеют генетические факторы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Анализ 33 больных рецидивирующим туберкулезом с бактериовыделением после завершенной химиотерапии показал, что из 25 лиц находившихся с этими больными в контакте, 5 остались неинфицированными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В тоже время среди остальных туберкулинположительных лиц из контакта не отмечено случаев заболевания туберкулезом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Сходные результаты получили и другие авторы, наблюдавшие за лицами из семейного контакта с 458 больными туберкулезом в течение 4 лет после выявления источника инфекции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Всего за 4 года было выявлено, что среди 1250 лиц из семейного контакта заболели лишь 48 из них преимущественно на 1-ом и 2-ом году наблюдения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  <w:lang w:val="en-US"/>
        </w:rPr>
        <w:t>H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  <w:lang w:val="en-US"/>
        </w:rPr>
        <w:t>Hara</w:t>
      </w:r>
      <w:r w:rsidRPr="004F7619">
        <w:rPr>
          <w:snapToGrid w:val="0"/>
        </w:rPr>
        <w:t xml:space="preserve"> и соавторы (1982</w:t>
      </w:r>
      <w:r w:rsidR="004F7619" w:rsidRPr="004F7619">
        <w:rPr>
          <w:snapToGrid w:val="0"/>
        </w:rPr>
        <w:t xml:space="preserve">) </w:t>
      </w:r>
      <w:r w:rsidRPr="004F7619">
        <w:rPr>
          <w:snapToGrid w:val="0"/>
        </w:rPr>
        <w:t>приводят данные о том, что из 28 человек, находящихся в контакте с бациллярными больными, лишь у 6 на протяжении 2,5 лет был установлен туберкулез</w:t>
      </w:r>
      <w:r w:rsidR="004F7619" w:rsidRPr="004F7619">
        <w:rPr>
          <w:snapToGrid w:val="0"/>
        </w:rPr>
        <w:t xml:space="preserve">. </w:t>
      </w:r>
    </w:p>
    <w:p w:rsidR="004F7619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Под руководством академика РАМН А</w:t>
      </w:r>
      <w:r w:rsidR="004F7619">
        <w:rPr>
          <w:snapToGrid w:val="0"/>
        </w:rPr>
        <w:t xml:space="preserve">.Г. </w:t>
      </w:r>
      <w:r w:rsidRPr="004F7619">
        <w:rPr>
          <w:snapToGrid w:val="0"/>
        </w:rPr>
        <w:t>Хоменко было осуществлено комплексное генетико-эпидемиологическое исследование, в котором принимали участие 522 многодетные семьи узбекской, туркменской, молдавской этнических групп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Задача данного исследования сводилась к определению коэффициента наследуемости (подверженности, предрасположенности</w:t>
      </w:r>
      <w:r w:rsidR="004F7619" w:rsidRPr="004F7619">
        <w:rPr>
          <w:snapToGrid w:val="0"/>
        </w:rPr>
        <w:t xml:space="preserve">). </w:t>
      </w:r>
      <w:r w:rsidRPr="004F7619">
        <w:rPr>
          <w:snapToGrid w:val="0"/>
        </w:rPr>
        <w:t>Для этого обследовали более 5000 родственников первой и второй степени родства по отношению к пробандам, которые страдали туберкулезом легких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Результаты исследования установили семейное накопление туберкулеза среди различных групп родственников разной степени родства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При этом в семьях пробандов, которые болели деструктивным туберкулезом легких и являлись бактериовыделителями, частота туберкулеза среди родственников первой степени родства значительно превышала частоту заболевания среди населения не только при наличии семейного контакта (в 7,2 раза</w:t>
      </w:r>
      <w:r w:rsidR="004F7619" w:rsidRPr="004F7619">
        <w:rPr>
          <w:snapToGrid w:val="0"/>
        </w:rPr>
        <w:t>),</w:t>
      </w:r>
      <w:r w:rsidRPr="004F7619">
        <w:rPr>
          <w:snapToGrid w:val="0"/>
        </w:rPr>
        <w:t xml:space="preserve"> но и при отсутствии тесного семейного контакта (в 5 раз</w:t>
      </w:r>
      <w:r w:rsidR="004F7619" w:rsidRPr="004F7619">
        <w:rPr>
          <w:snapToGrid w:val="0"/>
        </w:rPr>
        <w:t xml:space="preserve">). </w:t>
      </w:r>
      <w:r w:rsidRPr="004F7619">
        <w:rPr>
          <w:snapToGrid w:val="0"/>
        </w:rPr>
        <w:t>Кроме того, аналогичным образом во всех обследованных этнических группах в семьях родственников первой степени родства, где пробанды болели недеструктивными формами туберкулеза без бактериовыделения, частота туберкулеза легких в 4,3 раза превышала частоту заболевания среди населения сопоставимого возраста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У родственников второй степени родства (племянников пробандов</w:t>
      </w:r>
      <w:r w:rsidR="004F7619" w:rsidRPr="004F7619">
        <w:rPr>
          <w:snapToGrid w:val="0"/>
        </w:rPr>
        <w:t>),</w:t>
      </w:r>
      <w:r w:rsidRPr="004F7619">
        <w:rPr>
          <w:snapToGrid w:val="0"/>
        </w:rPr>
        <w:t xml:space="preserve"> которые не состояли в семейном контакте с пробандами, установлено, что частота туберкулеза среди них превышала частоту заболевания среди населения соответствующего возраста в 2-2,5 раза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Учитывая более отдаленную степень родства, увеличение частоты заболевания в этой группе родственников в большей мере подчеркивает значение генетических факторов в семейном накоплении заболевания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Выявленные закономерности распространения туберкулеза позволяют считать, что среди кровных родственников больных туберкулезом легких риск развития болезни значительно выше, чем среди всего населения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Особый способ клинико-генеалоги</w:t>
      </w:r>
      <w:r w:rsidR="004F7619">
        <w:rPr>
          <w:snapToGrid w:val="0"/>
        </w:rPr>
        <w:t>ческого изучения предрасположен</w:t>
      </w:r>
      <w:r w:rsidRPr="004F7619">
        <w:rPr>
          <w:snapToGrid w:val="0"/>
        </w:rPr>
        <w:t>ности к болезням – изучение заболеваемости индивидов, генетически не родственных с больным туберкулезом (супруги пробандов, приемные дети</w:t>
      </w:r>
      <w:r w:rsidR="004F7619" w:rsidRPr="004F7619">
        <w:rPr>
          <w:snapToGrid w:val="0"/>
        </w:rPr>
        <w:t>),</w:t>
      </w:r>
      <w:r w:rsidRPr="004F7619">
        <w:rPr>
          <w:snapToGrid w:val="0"/>
        </w:rPr>
        <w:t xml:space="preserve"> но связанных с ним общностью семейных средовых влияний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Анализ распространенности туберкулеза среди супругов пробандов, не состоящих в кровном родстве с больными туберкулезом, но находившихся с ними в семейном контакте, установил, что частота туберкулеза легких в этой группе достоверно не отличалась от частоты заболевания среди населения обследованных этнических групп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На основании проведенных популяционных исследований были выявлены этнические особенности в патогенезе и клиническом течении туберкулеза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Анализ заболеваемости туберкулезом органов дыхания основных этнических групп Казахстана (казахов и русских</w:t>
      </w:r>
      <w:r w:rsidR="004F7619" w:rsidRPr="004F7619">
        <w:rPr>
          <w:snapToGrid w:val="0"/>
        </w:rPr>
        <w:t xml:space="preserve">) </w:t>
      </w:r>
      <w:r w:rsidRPr="004F7619">
        <w:rPr>
          <w:snapToGrid w:val="0"/>
        </w:rPr>
        <w:t>выявил повышенный риск (в 3 раза</w:t>
      </w:r>
      <w:r w:rsidR="004F7619" w:rsidRPr="004F7619">
        <w:rPr>
          <w:snapToGrid w:val="0"/>
        </w:rPr>
        <w:t xml:space="preserve">) </w:t>
      </w:r>
      <w:r w:rsidRPr="004F7619">
        <w:rPr>
          <w:snapToGrid w:val="0"/>
        </w:rPr>
        <w:t>заболевания коренного населения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 xml:space="preserve">Вероятно, большая часть такой этнически зависимой предрасположенности обусловлена факторами внешней среды, то есть определенными традициями данной популяции, экономическими причинами и </w:t>
      </w:r>
      <w:r w:rsidR="004F7619" w:rsidRPr="004F7619">
        <w:rPr>
          <w:snapToGrid w:val="0"/>
        </w:rPr>
        <w:t xml:space="preserve">т.д. </w:t>
      </w:r>
      <w:r w:rsidRPr="004F7619">
        <w:rPr>
          <w:snapToGrid w:val="0"/>
        </w:rPr>
        <w:t>Однако имеются данные о том, что более подвержены туберкулезу популяции, происходящие с территорий свободных от этого заболевания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Данное положение легко объяснимо с точки зрения естественного отбора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Резистентность к туберкулезной инфекции создавалась и поддерживалась в процессе симбионтных отношений макро</w:t>
      </w:r>
      <w:r w:rsidR="004F7619" w:rsidRPr="004F7619">
        <w:rPr>
          <w:snapToGrid w:val="0"/>
        </w:rPr>
        <w:t xml:space="preserve"> - </w:t>
      </w:r>
      <w:r w:rsidRPr="004F7619">
        <w:rPr>
          <w:snapToGrid w:val="0"/>
        </w:rPr>
        <w:t>и микроорганизмов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С целью разделения генетических и средовых эффектов и оценки их соотносительного вклада в этиологию и патогенез туберкулеза были предприняты близнецовые исследования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Эти работы показали, что заболеваемость туберкулезом монозиготных близнецов в среднем в 3,5 раза выше, чем дизиготных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Полученные в ходе близнецовых исследований факты свидетельствовали о генетической подоплеке туберкулеза, однако, не предоставили данных о типе наследования заболевания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Генетический анализ восприимчивости и резистентности к туберкулезу, проведенный на лабораторных животных, показал, что наследование этих признаков носит сложный, полигенный характер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На основании экспериментальных исследований была выдвинута гипотеза мультифакториального типа наследования предрасположенности к туберкулезу легких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Позднее Б</w:t>
      </w:r>
      <w:r w:rsidR="004F7619">
        <w:rPr>
          <w:snapToGrid w:val="0"/>
        </w:rPr>
        <w:t xml:space="preserve">.А. </w:t>
      </w:r>
      <w:r w:rsidRPr="004F7619">
        <w:rPr>
          <w:snapToGrid w:val="0"/>
        </w:rPr>
        <w:t>Березовский и соавт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 xml:space="preserve">сравнили имеющиеся сведения по генетике туберкулеза с критериями мультифакториального наследования, предложенными </w:t>
      </w:r>
      <w:r w:rsidRPr="004F7619">
        <w:rPr>
          <w:snapToGrid w:val="0"/>
          <w:lang w:val="en-US"/>
        </w:rPr>
        <w:t>J</w:t>
      </w:r>
      <w:r w:rsidR="004F7619">
        <w:rPr>
          <w:snapToGrid w:val="0"/>
        </w:rPr>
        <w:t>.</w:t>
      </w:r>
      <w:r w:rsidRPr="004F7619">
        <w:rPr>
          <w:snapToGrid w:val="0"/>
          <w:lang w:val="en-US"/>
        </w:rPr>
        <w:t>H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  <w:lang w:val="en-US"/>
        </w:rPr>
        <w:t>Edwards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Полученные в ходе сравнения результаты подтвердили высказанную ранее гипотезу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С генетической точки зрения, мультифакториальные заболевания представляют результат сложного взаимодействия большого числа генов с разнообразными факторами окружающей среды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 xml:space="preserve">В отличие от менделирующей патологии, в основе которой лежат редко встречаемые </w:t>
      </w:r>
      <w:r w:rsidR="004F7619" w:rsidRPr="004F7619">
        <w:rPr>
          <w:snapToGrid w:val="0"/>
        </w:rPr>
        <w:t>"</w:t>
      </w:r>
      <w:r w:rsidRPr="004F7619">
        <w:rPr>
          <w:snapToGrid w:val="0"/>
        </w:rPr>
        <w:t>главные гены</w:t>
      </w:r>
      <w:r w:rsidR="004F7619" w:rsidRPr="004F7619">
        <w:rPr>
          <w:snapToGrid w:val="0"/>
        </w:rPr>
        <w:t>"</w:t>
      </w:r>
      <w:r w:rsidRPr="004F7619">
        <w:rPr>
          <w:snapToGrid w:val="0"/>
        </w:rPr>
        <w:t>, но со значительными эффектами, при мультифакториальных болезнях генетическая система полигенов представлена огромным числом аллельных вариантов генов, эффекты которых в отдельности незначительны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 xml:space="preserve">Однако их совокупное действие формирует неблагоприятный </w:t>
      </w:r>
      <w:r w:rsidR="004F7619" w:rsidRPr="004F7619">
        <w:rPr>
          <w:snapToGrid w:val="0"/>
        </w:rPr>
        <w:t>"</w:t>
      </w:r>
      <w:r w:rsidRPr="004F7619">
        <w:rPr>
          <w:snapToGrid w:val="0"/>
        </w:rPr>
        <w:t>генетический фон</w:t>
      </w:r>
      <w:r w:rsidR="004F7619" w:rsidRPr="004F7619">
        <w:rPr>
          <w:snapToGrid w:val="0"/>
        </w:rPr>
        <w:t>"</w:t>
      </w:r>
      <w:r w:rsidRPr="004F7619">
        <w:rPr>
          <w:snapToGrid w:val="0"/>
        </w:rPr>
        <w:t>, который под влиянием дополнительных факторов реализуется в патологический фенотип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Современные представления о генетической составляющей мультифакториальных заболеваний во многом связаны с концепцией подверженности и порогового проявления мультифакториального фенотипа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Согласно этой концепции, подверженность к заболеванию наследственно обусловлена, но реализация ее возможна только при взаимодействии с факторами среды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 xml:space="preserve">Патологический фенотип проявляется при пересечении некоего </w:t>
      </w:r>
      <w:r w:rsidR="004F7619" w:rsidRPr="004F7619">
        <w:rPr>
          <w:snapToGrid w:val="0"/>
        </w:rPr>
        <w:t>"</w:t>
      </w:r>
      <w:r w:rsidRPr="004F7619">
        <w:rPr>
          <w:snapToGrid w:val="0"/>
        </w:rPr>
        <w:t>порога</w:t>
      </w:r>
      <w:r w:rsidR="004F7619" w:rsidRPr="004F7619">
        <w:rPr>
          <w:snapToGrid w:val="0"/>
        </w:rPr>
        <w:t>"</w:t>
      </w:r>
      <w:r w:rsidRPr="004F7619">
        <w:rPr>
          <w:snapToGrid w:val="0"/>
        </w:rPr>
        <w:t xml:space="preserve"> подверженности, описываемого количественными признаками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Порог подразумевает наличие резкого качественного различия</w:t>
      </w:r>
      <w:r w:rsidR="004F7619" w:rsidRPr="004F7619">
        <w:rPr>
          <w:snapToGrid w:val="0"/>
        </w:rPr>
        <w:t xml:space="preserve">: </w:t>
      </w:r>
      <w:r w:rsidRPr="004F7619">
        <w:rPr>
          <w:snapToGrid w:val="0"/>
        </w:rPr>
        <w:t>за этим порогом на шкале подверженности располагаются пораженные индивиды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Развитие молекулярно-генетических технологий позволило решить проблему идентификации конкретных генетических систем, ответственных за предрасположенность к мультифакториальным заболеваниям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Картирование генов осуществляется в рамках двух стратегий</w:t>
      </w:r>
      <w:r w:rsidR="004F7619" w:rsidRPr="004F7619">
        <w:rPr>
          <w:snapToGrid w:val="0"/>
        </w:rPr>
        <w:t xml:space="preserve">: </w:t>
      </w:r>
      <w:r w:rsidRPr="004F7619">
        <w:rPr>
          <w:snapToGrid w:val="0"/>
        </w:rPr>
        <w:t>генов-кандидатов и позиционного клонирования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Ген определяется как кандидатный, если продукт его экспре</w:t>
      </w:r>
      <w:r w:rsidR="004F7619">
        <w:rPr>
          <w:snapToGrid w:val="0"/>
        </w:rPr>
        <w:t>с</w:t>
      </w:r>
      <w:r w:rsidRPr="004F7619">
        <w:rPr>
          <w:snapToGrid w:val="0"/>
        </w:rPr>
        <w:t>сии вовлечен в развитие болезни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 xml:space="preserve">Анализ ассоциации полиморфизма генов-кандидатов с изучаемой болезнью или патологическими признаками позволяет установить их патогенетическую роль и, таким образом, </w:t>
      </w:r>
      <w:r w:rsidR="004F7619" w:rsidRPr="004F7619">
        <w:rPr>
          <w:snapToGrid w:val="0"/>
        </w:rPr>
        <w:t>"</w:t>
      </w:r>
      <w:r w:rsidRPr="004F7619">
        <w:rPr>
          <w:snapToGrid w:val="0"/>
        </w:rPr>
        <w:t>картировать</w:t>
      </w:r>
      <w:r w:rsidR="004F7619" w:rsidRPr="004F7619">
        <w:rPr>
          <w:snapToGrid w:val="0"/>
        </w:rPr>
        <w:t>"</w:t>
      </w:r>
      <w:r w:rsidRPr="004F7619">
        <w:rPr>
          <w:snapToGrid w:val="0"/>
        </w:rPr>
        <w:t xml:space="preserve"> ген заболевания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При позиционном клонировании определение генов подверженности проводится путем анализа сцепления заболевания и маркерами с установленным положением на хромосоме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Это дает возможность картировать болезни, для которых не известны не только гены-кандидаты, но даже детали развития болезни</w:t>
      </w:r>
      <w:r w:rsidR="004F7619" w:rsidRPr="004F7619">
        <w:rPr>
          <w:snapToGrid w:val="0"/>
        </w:rPr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</w:pPr>
      <w:r w:rsidRPr="004F7619">
        <w:t>И</w:t>
      </w:r>
      <w:r w:rsidRPr="004F7619">
        <w:rPr>
          <w:snapToGrid w:val="0"/>
        </w:rPr>
        <w:t>дентификация генов и их аллелей, от экспрес</w:t>
      </w:r>
      <w:r w:rsidR="004F7619">
        <w:rPr>
          <w:snapToGrid w:val="0"/>
        </w:rPr>
        <w:t>с</w:t>
      </w:r>
      <w:r w:rsidRPr="004F7619">
        <w:rPr>
          <w:snapToGrid w:val="0"/>
        </w:rPr>
        <w:t>ии которых зависит чувствительность или резистентность к туберкулезу позволила бы глубоко проникнуть в фундаментальные механизмы иммунитета и патологии этой инфекции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В результате появилась бы возможность использовать методы генетического типирования для выявления среди здоровых людей групп с генетически повышенным риском заболевания, требующих первоочередных мер профилактики и, вероятно, особого подхода к вакцинации</w:t>
      </w:r>
      <w:r w:rsidR="004F7619" w:rsidRPr="004F7619">
        <w:t xml:space="preserve">. </w:t>
      </w: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Сложность патогенеза, а так же различия в клиническом проявлении туберкулеза предполагают, что число генов-кандидат</w:t>
      </w:r>
      <w:r w:rsidRPr="004F7619">
        <w:t>ов заболевания достаточно велико (табл</w:t>
      </w:r>
      <w:r w:rsidR="004F7619">
        <w:t>.1</w:t>
      </w:r>
      <w:r w:rsidR="004F7619" w:rsidRPr="004F7619">
        <w:t xml:space="preserve">). </w:t>
      </w:r>
      <w:r w:rsidRPr="004F7619">
        <w:t>При этом вклад каждого из них в суммарную подверженность различен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Дело еще более осложняется действием факторов внешней среды, значительно модифицирующих положение порога подверженности туберкулезу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Кроме того, большое значение для определения генов сложнонаследуемых заболеваний имеет также выбор популяции для исследования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Индивидуальные сочетания аллелей генов предрасположенности, формирующие риск заболевания, являются уникальными для каждой популяции, что может быть одной из причин невоспроизводимости в разных выборках результатов анализа сцепления болезни с маркером</w:t>
      </w:r>
      <w:r w:rsidR="004F7619" w:rsidRPr="004F7619">
        <w:rPr>
          <w:snapToGrid w:val="0"/>
        </w:rPr>
        <w:t xml:space="preserve">. </w:t>
      </w:r>
    </w:p>
    <w:p w:rsidR="004F7619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Таким образом, само по себе картирование генов туберкулеза еще не исчерпывает все проблемы генетики данной патологии</w:t>
      </w:r>
      <w:r w:rsidR="004F7619" w:rsidRPr="004F7619">
        <w:rPr>
          <w:snapToGrid w:val="0"/>
        </w:rPr>
        <w:t xml:space="preserve">. </w:t>
      </w:r>
      <w:r w:rsidRPr="004F7619">
        <w:rPr>
          <w:snapToGrid w:val="0"/>
        </w:rPr>
        <w:t>Следующим за картированием шагом, по-видимому, является изучение совместного действия комплекса генов предрасположенности, выявление его основных функциональных звеньев, установление особенностей взаимодействия с факторами негенетической природы – вот задачи, которые необходимо решить для понимания механизмов нормальной и патологической реализации генетической информации</w:t>
      </w:r>
      <w:r w:rsidR="004F7619" w:rsidRPr="004F7619">
        <w:rPr>
          <w:snapToGrid w:val="0"/>
        </w:rPr>
        <w:t xml:space="preserve">. </w:t>
      </w:r>
    </w:p>
    <w:p w:rsidR="004F7619" w:rsidRDefault="004F7619" w:rsidP="004F7619">
      <w:pPr>
        <w:widowControl w:val="0"/>
        <w:autoSpaceDE w:val="0"/>
        <w:autoSpaceDN w:val="0"/>
        <w:adjustRightInd w:val="0"/>
        <w:rPr>
          <w:snapToGrid w:val="0"/>
        </w:rPr>
      </w:pPr>
    </w:p>
    <w:p w:rsidR="00594F1E" w:rsidRPr="004F7619" w:rsidRDefault="00594F1E" w:rsidP="004F7619">
      <w:pPr>
        <w:widowControl w:val="0"/>
        <w:autoSpaceDE w:val="0"/>
        <w:autoSpaceDN w:val="0"/>
        <w:adjustRightInd w:val="0"/>
        <w:rPr>
          <w:snapToGrid w:val="0"/>
        </w:rPr>
      </w:pPr>
      <w:r w:rsidRPr="004F7619">
        <w:rPr>
          <w:snapToGrid w:val="0"/>
        </w:rPr>
        <w:t>Таблица 1 Гены-кандидаты подверженности туберкулезу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"/>
        <w:gridCol w:w="1922"/>
        <w:gridCol w:w="3427"/>
        <w:gridCol w:w="2642"/>
      </w:tblGrid>
      <w:tr w:rsidR="00594F1E" w:rsidRPr="004F7619">
        <w:trPr>
          <w:cantSplit/>
          <w:trHeight w:val="867"/>
          <w:jc w:val="center"/>
        </w:trPr>
        <w:tc>
          <w:tcPr>
            <w:tcW w:w="602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Ген</w:t>
            </w:r>
          </w:p>
        </w:tc>
        <w:tc>
          <w:tcPr>
            <w:tcW w:w="1058" w:type="pct"/>
          </w:tcPr>
          <w:p w:rsidR="004F7619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 xml:space="preserve"> Хромосомная локализация</w:t>
            </w:r>
          </w:p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(</w:t>
            </w:r>
            <w:r w:rsidRPr="004F7619">
              <w:rPr>
                <w:snapToGrid w:val="0"/>
                <w:lang w:val="en-US"/>
              </w:rPr>
              <w:t>MIM</w:t>
            </w:r>
            <w:r w:rsidR="004F7619" w:rsidRPr="004F7619">
              <w:rPr>
                <w:snapToGrid w:val="0"/>
              </w:rPr>
              <w:t xml:space="preserve">) </w:t>
            </w:r>
          </w:p>
        </w:tc>
        <w:tc>
          <w:tcPr>
            <w:tcW w:w="1886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Название белкового продукта</w:t>
            </w:r>
          </w:p>
        </w:tc>
        <w:tc>
          <w:tcPr>
            <w:tcW w:w="1454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 xml:space="preserve"> Функция белка </w:t>
            </w:r>
          </w:p>
        </w:tc>
      </w:tr>
      <w:tr w:rsidR="00594F1E" w:rsidRPr="004F7619">
        <w:trPr>
          <w:cantSplit/>
          <w:jc w:val="center"/>
        </w:trPr>
        <w:tc>
          <w:tcPr>
            <w:tcW w:w="602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NRAMP1</w:t>
            </w:r>
          </w:p>
        </w:tc>
        <w:tc>
          <w:tcPr>
            <w:tcW w:w="1058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2q35 (600266</w:t>
            </w:r>
            <w:r w:rsidR="004F7619" w:rsidRPr="004F7619">
              <w:rPr>
                <w:snapToGrid w:val="0"/>
                <w:lang w:val="en-US"/>
              </w:rPr>
              <w:t xml:space="preserve">) </w:t>
            </w:r>
          </w:p>
        </w:tc>
        <w:tc>
          <w:tcPr>
            <w:tcW w:w="1886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Макрофагальный протеин 1, ассоциированный с естественной резистентностью</w:t>
            </w:r>
          </w:p>
        </w:tc>
        <w:tc>
          <w:tcPr>
            <w:tcW w:w="1454" w:type="pct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Транспорт двухвалентных ионов металлов, киллинг внутриклеточно расположенных МБТ</w:t>
            </w:r>
          </w:p>
        </w:tc>
      </w:tr>
      <w:tr w:rsidR="00594F1E" w:rsidRPr="004F7619">
        <w:trPr>
          <w:cantSplit/>
          <w:jc w:val="center"/>
        </w:trPr>
        <w:tc>
          <w:tcPr>
            <w:tcW w:w="602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VDR</w:t>
            </w:r>
          </w:p>
        </w:tc>
        <w:tc>
          <w:tcPr>
            <w:tcW w:w="1058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12q12-q14</w:t>
            </w:r>
          </w:p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(601769</w:t>
            </w:r>
            <w:r w:rsidR="004F7619" w:rsidRPr="004F7619">
              <w:rPr>
                <w:snapToGrid w:val="0"/>
                <w:lang w:val="en-US"/>
              </w:rPr>
              <w:t xml:space="preserve">) </w:t>
            </w:r>
          </w:p>
        </w:tc>
        <w:tc>
          <w:tcPr>
            <w:tcW w:w="1886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  <w:lang w:val="en-US"/>
              </w:rPr>
              <w:t>Рецептор к витамину D</w:t>
            </w:r>
          </w:p>
        </w:tc>
        <w:tc>
          <w:tcPr>
            <w:tcW w:w="1454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 xml:space="preserve">Связывание с витамином </w:t>
            </w:r>
            <w:r w:rsidRPr="004F7619">
              <w:rPr>
                <w:snapToGrid w:val="0"/>
                <w:lang w:val="en-US"/>
              </w:rPr>
              <w:t>D</w:t>
            </w:r>
            <w:r w:rsidRPr="004F7619">
              <w:rPr>
                <w:snapToGrid w:val="0"/>
              </w:rPr>
              <w:t xml:space="preserve">, активация клеточного иммунитета </w:t>
            </w:r>
          </w:p>
        </w:tc>
      </w:tr>
      <w:tr w:rsidR="00594F1E" w:rsidRPr="004F7619">
        <w:trPr>
          <w:cantSplit/>
          <w:jc w:val="center"/>
        </w:trPr>
        <w:tc>
          <w:tcPr>
            <w:tcW w:w="602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IL1А, IL1В</w:t>
            </w:r>
          </w:p>
        </w:tc>
        <w:tc>
          <w:tcPr>
            <w:tcW w:w="1058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2q14(147760</w:t>
            </w:r>
            <w:r w:rsidR="004F7619" w:rsidRPr="004F7619">
              <w:rPr>
                <w:snapToGrid w:val="0"/>
                <w:lang w:val="en-US"/>
              </w:rPr>
              <w:t xml:space="preserve">) </w:t>
            </w:r>
          </w:p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2q14(147720</w:t>
            </w:r>
            <w:r w:rsidR="004F7619" w:rsidRPr="004F7619">
              <w:rPr>
                <w:snapToGrid w:val="0"/>
                <w:lang w:val="en-US"/>
              </w:rPr>
              <w:t xml:space="preserve">) </w:t>
            </w:r>
          </w:p>
        </w:tc>
        <w:tc>
          <w:tcPr>
            <w:tcW w:w="1886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Интерлейкин 1</w:t>
            </w:r>
            <w:r w:rsidRPr="004F7619">
              <w:rPr>
                <w:snapToGrid w:val="0"/>
              </w:rPr>
              <w:sym w:font="Symbol" w:char="F061"/>
            </w:r>
          </w:p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Интерлейкин 1</w:t>
            </w:r>
            <w:r w:rsidRPr="004F7619">
              <w:rPr>
                <w:snapToGrid w:val="0"/>
              </w:rPr>
              <w:sym w:font="Symbol" w:char="F062"/>
            </w:r>
          </w:p>
        </w:tc>
        <w:tc>
          <w:tcPr>
            <w:tcW w:w="1454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Активация клеточного иммунного ответа</w:t>
            </w:r>
          </w:p>
        </w:tc>
      </w:tr>
      <w:tr w:rsidR="00594F1E" w:rsidRPr="004F7619">
        <w:trPr>
          <w:cantSplit/>
          <w:jc w:val="center"/>
        </w:trPr>
        <w:tc>
          <w:tcPr>
            <w:tcW w:w="602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IL12В</w:t>
            </w:r>
          </w:p>
        </w:tc>
        <w:tc>
          <w:tcPr>
            <w:tcW w:w="1058" w:type="pct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5q3</w:t>
            </w:r>
            <w:r w:rsidR="004F7619">
              <w:rPr>
                <w:snapToGrid w:val="0"/>
                <w:lang w:val="en-US"/>
              </w:rPr>
              <w:t>1.1</w:t>
            </w:r>
            <w:r w:rsidRPr="004F7619">
              <w:rPr>
                <w:snapToGrid w:val="0"/>
                <w:lang w:val="en-US"/>
              </w:rPr>
              <w:t>-q3</w:t>
            </w:r>
            <w:r w:rsidR="004F7619">
              <w:rPr>
                <w:snapToGrid w:val="0"/>
                <w:lang w:val="en-US"/>
              </w:rPr>
              <w:t>3.1</w:t>
            </w:r>
          </w:p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(161561</w:t>
            </w:r>
            <w:r w:rsidR="004F7619" w:rsidRPr="004F7619">
              <w:rPr>
                <w:snapToGrid w:val="0"/>
                <w:lang w:val="en-US"/>
              </w:rPr>
              <w:t xml:space="preserve">) </w:t>
            </w:r>
          </w:p>
        </w:tc>
        <w:tc>
          <w:tcPr>
            <w:tcW w:w="1886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 xml:space="preserve">Интерлейкин 12 </w:t>
            </w:r>
            <w:r w:rsidRPr="004F7619">
              <w:rPr>
                <w:snapToGrid w:val="0"/>
              </w:rPr>
              <w:sym w:font="Symbol" w:char="F062"/>
            </w:r>
          </w:p>
        </w:tc>
        <w:tc>
          <w:tcPr>
            <w:tcW w:w="1454" w:type="pct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 xml:space="preserve">Индукция синтеза </w:t>
            </w:r>
            <w:r w:rsidRPr="004F7619">
              <w:rPr>
                <w:snapToGrid w:val="0"/>
                <w:lang w:val="en-US"/>
              </w:rPr>
              <w:t>IFN-</w:t>
            </w:r>
            <w:r w:rsidRPr="004F7619">
              <w:rPr>
                <w:snapToGrid w:val="0"/>
              </w:rPr>
              <w:sym w:font="Symbol" w:char="F067"/>
            </w:r>
          </w:p>
        </w:tc>
      </w:tr>
      <w:tr w:rsidR="00594F1E" w:rsidRPr="004F7619">
        <w:trPr>
          <w:cantSplit/>
          <w:jc w:val="center"/>
        </w:trPr>
        <w:tc>
          <w:tcPr>
            <w:tcW w:w="602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  <w:lang w:val="en-US"/>
              </w:rPr>
              <w:t>IFNG</w:t>
            </w:r>
          </w:p>
        </w:tc>
        <w:tc>
          <w:tcPr>
            <w:tcW w:w="1058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</w:rPr>
              <w:t>12</w:t>
            </w:r>
            <w:r w:rsidRPr="004F7619">
              <w:rPr>
                <w:snapToGrid w:val="0"/>
                <w:lang w:val="en-US"/>
              </w:rPr>
              <w:t>q14</w:t>
            </w:r>
          </w:p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(147570</w:t>
            </w:r>
            <w:r w:rsidR="004F7619" w:rsidRPr="004F7619">
              <w:rPr>
                <w:snapToGrid w:val="0"/>
                <w:lang w:val="en-US"/>
              </w:rPr>
              <w:t xml:space="preserve">) </w:t>
            </w:r>
          </w:p>
        </w:tc>
        <w:tc>
          <w:tcPr>
            <w:tcW w:w="1886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 xml:space="preserve">Интерферон </w:t>
            </w:r>
            <w:r w:rsidRPr="004F7619">
              <w:rPr>
                <w:snapToGrid w:val="0"/>
              </w:rPr>
              <w:sym w:font="Symbol" w:char="F067"/>
            </w:r>
          </w:p>
        </w:tc>
        <w:tc>
          <w:tcPr>
            <w:tcW w:w="1454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Активация Т-лимфо-цитов, макрофагов</w:t>
            </w:r>
          </w:p>
        </w:tc>
      </w:tr>
      <w:tr w:rsidR="00594F1E" w:rsidRPr="004F7619">
        <w:trPr>
          <w:cantSplit/>
          <w:jc w:val="center"/>
        </w:trPr>
        <w:tc>
          <w:tcPr>
            <w:tcW w:w="602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TNFА</w:t>
            </w:r>
          </w:p>
        </w:tc>
        <w:tc>
          <w:tcPr>
            <w:tcW w:w="1058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  <w:lang w:val="en-US"/>
              </w:rPr>
              <w:t>12</w:t>
            </w:r>
            <w:r w:rsidRPr="004F7619">
              <w:rPr>
                <w:snapToGrid w:val="0"/>
              </w:rPr>
              <w:t>р1</w:t>
            </w:r>
            <w:r w:rsidR="004F7619">
              <w:rPr>
                <w:snapToGrid w:val="0"/>
              </w:rPr>
              <w:t>3.2</w:t>
            </w:r>
          </w:p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(191190</w:t>
            </w:r>
            <w:r w:rsidR="004F7619" w:rsidRPr="004F7619">
              <w:rPr>
                <w:snapToGrid w:val="0"/>
              </w:rPr>
              <w:t xml:space="preserve">) </w:t>
            </w:r>
          </w:p>
        </w:tc>
        <w:tc>
          <w:tcPr>
            <w:tcW w:w="1886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 xml:space="preserve">Фактор некроза опухолей </w:t>
            </w:r>
            <w:r w:rsidRPr="004F7619">
              <w:rPr>
                <w:snapToGrid w:val="0"/>
                <w:lang w:val="en-US"/>
              </w:rPr>
              <w:sym w:font="Symbol" w:char="F061"/>
            </w:r>
          </w:p>
        </w:tc>
        <w:tc>
          <w:tcPr>
            <w:tcW w:w="1454" w:type="pct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Индукция формирования гранулемы</w:t>
            </w:r>
          </w:p>
        </w:tc>
      </w:tr>
      <w:tr w:rsidR="00594F1E" w:rsidRPr="004F7619">
        <w:trPr>
          <w:cantSplit/>
          <w:jc w:val="center"/>
        </w:trPr>
        <w:tc>
          <w:tcPr>
            <w:tcW w:w="602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NOS2</w:t>
            </w:r>
          </w:p>
        </w:tc>
        <w:tc>
          <w:tcPr>
            <w:tcW w:w="1058" w:type="pct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</w:rPr>
              <w:t>17р1</w:t>
            </w:r>
            <w:r w:rsidR="004F7619">
              <w:rPr>
                <w:snapToGrid w:val="0"/>
              </w:rPr>
              <w:t>3.1</w:t>
            </w:r>
            <w:r w:rsidRPr="004F7619">
              <w:rPr>
                <w:snapToGrid w:val="0"/>
              </w:rPr>
              <w:t>-</w:t>
            </w:r>
            <w:r w:rsidRPr="004F7619">
              <w:rPr>
                <w:snapToGrid w:val="0"/>
                <w:lang w:val="en-US"/>
              </w:rPr>
              <w:t>q25</w:t>
            </w:r>
          </w:p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(600719</w:t>
            </w:r>
            <w:r w:rsidR="004F7619" w:rsidRPr="004F7619">
              <w:rPr>
                <w:snapToGrid w:val="0"/>
              </w:rPr>
              <w:t xml:space="preserve">) </w:t>
            </w:r>
          </w:p>
        </w:tc>
        <w:tc>
          <w:tcPr>
            <w:tcW w:w="1886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Индуцибельная синтаза оксида азота</w:t>
            </w:r>
          </w:p>
        </w:tc>
        <w:tc>
          <w:tcPr>
            <w:tcW w:w="1454" w:type="pct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Цитотоксическое действие</w:t>
            </w:r>
          </w:p>
        </w:tc>
      </w:tr>
      <w:tr w:rsidR="00594F1E" w:rsidRPr="004F7619">
        <w:trPr>
          <w:cantSplit/>
          <w:jc w:val="center"/>
        </w:trPr>
        <w:tc>
          <w:tcPr>
            <w:tcW w:w="602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MBP</w:t>
            </w:r>
          </w:p>
        </w:tc>
        <w:tc>
          <w:tcPr>
            <w:tcW w:w="1058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</w:rPr>
              <w:t>10</w:t>
            </w:r>
            <w:r w:rsidRPr="004F7619">
              <w:rPr>
                <w:snapToGrid w:val="0"/>
                <w:lang w:val="en-US"/>
              </w:rPr>
              <w:t>q1</w:t>
            </w:r>
            <w:r w:rsidR="004F7619">
              <w:rPr>
                <w:snapToGrid w:val="0"/>
                <w:lang w:val="en-US"/>
              </w:rPr>
              <w:t>1.2</w:t>
            </w:r>
            <w:r w:rsidRPr="004F7619">
              <w:rPr>
                <w:snapToGrid w:val="0"/>
                <w:lang w:val="en-US"/>
              </w:rPr>
              <w:t>-q21</w:t>
            </w:r>
          </w:p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(154545</w:t>
            </w:r>
            <w:r w:rsidR="004F7619" w:rsidRPr="004F7619">
              <w:rPr>
                <w:snapToGrid w:val="0"/>
                <w:lang w:val="en-US"/>
              </w:rPr>
              <w:t xml:space="preserve">) </w:t>
            </w:r>
          </w:p>
        </w:tc>
        <w:tc>
          <w:tcPr>
            <w:tcW w:w="1886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Маннозо-связывающий белок</w:t>
            </w:r>
          </w:p>
        </w:tc>
        <w:tc>
          <w:tcPr>
            <w:tcW w:w="1454" w:type="pct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Активация системы комплемента</w:t>
            </w:r>
          </w:p>
        </w:tc>
      </w:tr>
      <w:tr w:rsidR="00594F1E" w:rsidRPr="004F7619">
        <w:trPr>
          <w:cantSplit/>
          <w:jc w:val="center"/>
        </w:trPr>
        <w:tc>
          <w:tcPr>
            <w:tcW w:w="602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HLA</w:t>
            </w:r>
          </w:p>
        </w:tc>
        <w:tc>
          <w:tcPr>
            <w:tcW w:w="1058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6p2</w:t>
            </w:r>
            <w:r w:rsidR="004F7619">
              <w:rPr>
                <w:snapToGrid w:val="0"/>
                <w:lang w:val="en-US"/>
              </w:rPr>
              <w:t>1.3</w:t>
            </w:r>
          </w:p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  <w:lang w:val="en-US"/>
              </w:rPr>
              <w:t>(142860</w:t>
            </w:r>
            <w:r w:rsidR="004F7619" w:rsidRPr="004F7619">
              <w:rPr>
                <w:snapToGrid w:val="0"/>
                <w:lang w:val="en-US"/>
              </w:rPr>
              <w:t xml:space="preserve">) </w:t>
            </w:r>
          </w:p>
        </w:tc>
        <w:tc>
          <w:tcPr>
            <w:tcW w:w="1886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Главный комплекс гистосовместимости</w:t>
            </w:r>
          </w:p>
        </w:tc>
        <w:tc>
          <w:tcPr>
            <w:tcW w:w="1454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Регуляция силы иммунного ответа</w:t>
            </w:r>
          </w:p>
        </w:tc>
      </w:tr>
      <w:tr w:rsidR="00594F1E" w:rsidRPr="004F7619">
        <w:trPr>
          <w:cantSplit/>
          <w:jc w:val="center"/>
        </w:trPr>
        <w:tc>
          <w:tcPr>
            <w:tcW w:w="602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IL1RN</w:t>
            </w:r>
          </w:p>
        </w:tc>
        <w:tc>
          <w:tcPr>
            <w:tcW w:w="1058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2q1</w:t>
            </w:r>
            <w:r w:rsidR="004F7619">
              <w:rPr>
                <w:snapToGrid w:val="0"/>
                <w:lang w:val="en-US"/>
              </w:rPr>
              <w:t>4.2</w:t>
            </w:r>
          </w:p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(147679</w:t>
            </w:r>
            <w:r w:rsidR="004F7619" w:rsidRPr="004F7619">
              <w:rPr>
                <w:snapToGrid w:val="0"/>
                <w:lang w:val="en-US"/>
              </w:rPr>
              <w:t xml:space="preserve">) </w:t>
            </w:r>
          </w:p>
        </w:tc>
        <w:tc>
          <w:tcPr>
            <w:tcW w:w="1886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 xml:space="preserve">Антагонист рецептора к интерлейкину-1 </w:t>
            </w:r>
          </w:p>
        </w:tc>
        <w:tc>
          <w:tcPr>
            <w:tcW w:w="1454" w:type="pct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Угнетение провоспалительного эффекта</w:t>
            </w:r>
          </w:p>
        </w:tc>
      </w:tr>
      <w:tr w:rsidR="00594F1E" w:rsidRPr="004F7619">
        <w:trPr>
          <w:cantSplit/>
          <w:jc w:val="center"/>
        </w:trPr>
        <w:tc>
          <w:tcPr>
            <w:tcW w:w="602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IL12R</w:t>
            </w:r>
          </w:p>
        </w:tc>
        <w:tc>
          <w:tcPr>
            <w:tcW w:w="1058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19p11</w:t>
            </w:r>
            <w:r w:rsidR="004F7619">
              <w:rPr>
                <w:snapToGrid w:val="0"/>
                <w:lang w:val="en-US"/>
              </w:rPr>
              <w:t>3.1</w:t>
            </w:r>
          </w:p>
          <w:p w:rsidR="00594F1E" w:rsidRPr="004F7619" w:rsidRDefault="00594F1E" w:rsidP="004F7619">
            <w:pPr>
              <w:pStyle w:val="af8"/>
              <w:rPr>
                <w:snapToGrid w:val="0"/>
                <w:lang w:val="en-US"/>
              </w:rPr>
            </w:pPr>
            <w:r w:rsidRPr="004F7619">
              <w:rPr>
                <w:snapToGrid w:val="0"/>
                <w:lang w:val="en-US"/>
              </w:rPr>
              <w:t>(601604</w:t>
            </w:r>
            <w:r w:rsidR="004F7619" w:rsidRPr="004F7619">
              <w:rPr>
                <w:snapToGrid w:val="0"/>
                <w:lang w:val="en-US"/>
              </w:rPr>
              <w:t xml:space="preserve">) </w:t>
            </w:r>
          </w:p>
        </w:tc>
        <w:tc>
          <w:tcPr>
            <w:tcW w:w="1886" w:type="pct"/>
            <w:vAlign w:val="center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Рецептор к интерлейкину 12</w:t>
            </w:r>
          </w:p>
        </w:tc>
        <w:tc>
          <w:tcPr>
            <w:tcW w:w="1454" w:type="pct"/>
          </w:tcPr>
          <w:p w:rsidR="00594F1E" w:rsidRPr="004F7619" w:rsidRDefault="00594F1E" w:rsidP="004F7619">
            <w:pPr>
              <w:pStyle w:val="af8"/>
              <w:rPr>
                <w:snapToGrid w:val="0"/>
              </w:rPr>
            </w:pPr>
            <w:r w:rsidRPr="004F7619">
              <w:rPr>
                <w:snapToGrid w:val="0"/>
              </w:rPr>
              <w:t>Связывание интерлейкина 12 на поверхности клеток-мишеней</w:t>
            </w:r>
          </w:p>
        </w:tc>
      </w:tr>
    </w:tbl>
    <w:p w:rsidR="004F7619" w:rsidRPr="004F7619" w:rsidRDefault="004F7619" w:rsidP="004F7619">
      <w:pPr>
        <w:widowControl w:val="0"/>
        <w:autoSpaceDE w:val="0"/>
        <w:autoSpaceDN w:val="0"/>
        <w:adjustRightInd w:val="0"/>
      </w:pPr>
    </w:p>
    <w:p w:rsidR="004F7619" w:rsidRPr="004F7619" w:rsidRDefault="00594F1E" w:rsidP="00BE15EE">
      <w:pPr>
        <w:pStyle w:val="2"/>
      </w:pPr>
      <w:r w:rsidRPr="004F7619">
        <w:br w:type="page"/>
        <w:t>Литература</w:t>
      </w:r>
    </w:p>
    <w:p w:rsidR="00BE15EE" w:rsidRDefault="00BE15EE" w:rsidP="004F7619">
      <w:pPr>
        <w:widowControl w:val="0"/>
        <w:autoSpaceDE w:val="0"/>
        <w:autoSpaceDN w:val="0"/>
        <w:adjustRightInd w:val="0"/>
      </w:pPr>
    </w:p>
    <w:p w:rsidR="00594F1E" w:rsidRPr="004F7619" w:rsidRDefault="00594F1E" w:rsidP="00BE15EE">
      <w:pPr>
        <w:pStyle w:val="a1"/>
        <w:tabs>
          <w:tab w:val="left" w:pos="560"/>
        </w:tabs>
      </w:pPr>
      <w:r w:rsidRPr="004F7619">
        <w:t>Алтухов Ю</w:t>
      </w:r>
      <w:r w:rsidR="004F7619">
        <w:t xml:space="preserve">.П. </w:t>
      </w:r>
      <w:r w:rsidRPr="004F7619">
        <w:t>Генетические процессы в популяциях</w:t>
      </w:r>
      <w:r w:rsidR="004F7619" w:rsidRPr="004F7619">
        <w:t xml:space="preserve">. </w:t>
      </w:r>
      <w:r w:rsidRPr="004F7619">
        <w:t>– М</w:t>
      </w:r>
      <w:r w:rsidR="004F7619" w:rsidRPr="004F7619">
        <w:t xml:space="preserve">.: </w:t>
      </w:r>
      <w:r w:rsidRPr="004F7619">
        <w:t xml:space="preserve">ИКЦ </w:t>
      </w:r>
      <w:r w:rsidR="004F7619" w:rsidRPr="004F7619">
        <w:t>"</w:t>
      </w:r>
      <w:r w:rsidRPr="004F7619">
        <w:t>Академкнига</w:t>
      </w:r>
      <w:r w:rsidR="004F7619" w:rsidRPr="004F7619">
        <w:t>"</w:t>
      </w:r>
      <w:r w:rsidRPr="004F7619">
        <w:t>, 2003</w:t>
      </w:r>
      <w:r w:rsidR="004F7619" w:rsidRPr="004F7619">
        <w:t xml:space="preserve">. </w:t>
      </w:r>
      <w:r w:rsidRPr="004F7619">
        <w:t>– 431 с</w:t>
      </w:r>
      <w:r w:rsidR="004F7619" w:rsidRPr="004F7619">
        <w:t xml:space="preserve">. </w:t>
      </w:r>
    </w:p>
    <w:p w:rsidR="00594F1E" w:rsidRPr="004F7619" w:rsidRDefault="00594F1E" w:rsidP="00BE15EE">
      <w:pPr>
        <w:pStyle w:val="a1"/>
        <w:tabs>
          <w:tab w:val="left" w:pos="560"/>
        </w:tabs>
      </w:pPr>
      <w:r w:rsidRPr="004F7619">
        <w:t>Апт А</w:t>
      </w:r>
      <w:r w:rsidR="004F7619">
        <w:t xml:space="preserve">.С. </w:t>
      </w:r>
      <w:r w:rsidRPr="004F7619">
        <w:t>Генетические аспекты выявления групп риска по туберкулезу</w:t>
      </w:r>
      <w:r w:rsidR="004F7619" w:rsidRPr="004F7619">
        <w:t xml:space="preserve"> // </w:t>
      </w:r>
      <w:r w:rsidRPr="004F7619">
        <w:t>Проблемы туберкулеза</w:t>
      </w:r>
      <w:r w:rsidR="004F7619" w:rsidRPr="004F7619">
        <w:t xml:space="preserve">. - </w:t>
      </w:r>
      <w:r w:rsidRPr="004F7619">
        <w:t>№ 10</w:t>
      </w:r>
      <w:r w:rsidR="004F7619" w:rsidRPr="004F7619">
        <w:t xml:space="preserve">. </w:t>
      </w:r>
      <w:r w:rsidRPr="004F7619">
        <w:t>– С</w:t>
      </w:r>
      <w:r w:rsidR="004F7619">
        <w:t>.6</w:t>
      </w:r>
      <w:r w:rsidRPr="004F7619">
        <w:t>5-68</w:t>
      </w:r>
      <w:r w:rsidR="004F7619" w:rsidRPr="004F7619">
        <w:t xml:space="preserve">. </w:t>
      </w:r>
    </w:p>
    <w:p w:rsidR="00594F1E" w:rsidRPr="004F7619" w:rsidRDefault="00594F1E" w:rsidP="00BE15EE">
      <w:pPr>
        <w:pStyle w:val="a1"/>
        <w:tabs>
          <w:tab w:val="left" w:pos="560"/>
        </w:tabs>
      </w:pPr>
      <w:r w:rsidRPr="004F7619">
        <w:t>Белиловский Е</w:t>
      </w:r>
      <w:r w:rsidR="004F7619">
        <w:t xml:space="preserve">.М., </w:t>
      </w:r>
      <w:r w:rsidRPr="004F7619">
        <w:t>Борисов С</w:t>
      </w:r>
      <w:r w:rsidR="004F7619">
        <w:t xml:space="preserve">.Е., </w:t>
      </w:r>
      <w:r w:rsidRPr="004F7619">
        <w:t>Дергачев А</w:t>
      </w:r>
      <w:r w:rsidR="004F7619">
        <w:t xml:space="preserve">.В. </w:t>
      </w:r>
      <w:r w:rsidRPr="004F7619">
        <w:t>и др</w:t>
      </w:r>
      <w:r w:rsidR="004F7619" w:rsidRPr="004F7619">
        <w:t xml:space="preserve">. </w:t>
      </w:r>
      <w:r w:rsidRPr="004F7619">
        <w:t>Заболеваемость туберкулезом в России</w:t>
      </w:r>
      <w:r w:rsidR="004F7619" w:rsidRPr="004F7619">
        <w:t xml:space="preserve">: </w:t>
      </w:r>
      <w:r w:rsidRPr="004F7619">
        <w:t>ее структура и динамика</w:t>
      </w:r>
      <w:r w:rsidR="004F7619" w:rsidRPr="004F7619">
        <w:t xml:space="preserve"> // </w:t>
      </w:r>
      <w:r w:rsidRPr="004F7619">
        <w:t>Проблемы туберкулеза</w:t>
      </w:r>
      <w:r w:rsidR="004F7619" w:rsidRPr="004F7619">
        <w:t xml:space="preserve">. </w:t>
      </w:r>
      <w:r w:rsidRPr="004F7619">
        <w:t>– 2003</w:t>
      </w:r>
      <w:r w:rsidR="004F7619" w:rsidRPr="004F7619">
        <w:t xml:space="preserve">. - </w:t>
      </w:r>
      <w:r w:rsidRPr="004F7619">
        <w:t>№ 7</w:t>
      </w:r>
      <w:r w:rsidR="004F7619" w:rsidRPr="004F7619">
        <w:t xml:space="preserve">. </w:t>
      </w:r>
      <w:r w:rsidRPr="004F7619">
        <w:t>– С</w:t>
      </w:r>
      <w:r w:rsidR="004F7619">
        <w:t>.4</w:t>
      </w:r>
      <w:r w:rsidRPr="004F7619">
        <w:t>-11</w:t>
      </w:r>
      <w:r w:rsidR="004F7619" w:rsidRPr="004F7619">
        <w:t xml:space="preserve">. </w:t>
      </w:r>
    </w:p>
    <w:p w:rsidR="00594F1E" w:rsidRPr="004F7619" w:rsidRDefault="00594F1E" w:rsidP="00BE15EE">
      <w:pPr>
        <w:pStyle w:val="a1"/>
        <w:tabs>
          <w:tab w:val="left" w:pos="560"/>
        </w:tabs>
      </w:pPr>
      <w:r w:rsidRPr="004F7619">
        <w:t>Визель А</w:t>
      </w:r>
      <w:r w:rsidR="004F7619">
        <w:t xml:space="preserve">.А., </w:t>
      </w:r>
      <w:r w:rsidRPr="004F7619">
        <w:t>Гурелева М</w:t>
      </w:r>
      <w:r w:rsidR="004F7619">
        <w:t xml:space="preserve">.Э. </w:t>
      </w:r>
      <w:r w:rsidRPr="004F7619">
        <w:t>Туберкулез</w:t>
      </w:r>
      <w:r w:rsidR="004F7619" w:rsidRPr="004F7619">
        <w:t xml:space="preserve">. </w:t>
      </w:r>
      <w:r w:rsidRPr="004F7619">
        <w:t>– М</w:t>
      </w:r>
      <w:r w:rsidR="004F7619" w:rsidRPr="004F7619">
        <w:t xml:space="preserve">.: </w:t>
      </w:r>
      <w:r w:rsidRPr="004F7619">
        <w:t>ГЭОТАР Медицина, 2000</w:t>
      </w:r>
      <w:r w:rsidR="004F7619" w:rsidRPr="004F7619">
        <w:t xml:space="preserve">. - </w:t>
      </w:r>
      <w:r w:rsidRPr="004F7619">
        <w:t>208 с</w:t>
      </w:r>
      <w:r w:rsidR="004F7619" w:rsidRPr="004F7619">
        <w:t xml:space="preserve">. </w:t>
      </w:r>
      <w:bookmarkStart w:id="0" w:name="_GoBack"/>
      <w:bookmarkEnd w:id="0"/>
    </w:p>
    <w:sectPr w:rsidR="00594F1E" w:rsidRPr="004F7619" w:rsidSect="004F761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B6" w:rsidRDefault="009375B6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9375B6" w:rsidRDefault="009375B6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19" w:rsidRDefault="004F761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19" w:rsidRDefault="004F76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B6" w:rsidRDefault="009375B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9375B6" w:rsidRDefault="009375B6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19" w:rsidRDefault="00121B36" w:rsidP="004F7619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F7619" w:rsidRDefault="004F7619" w:rsidP="004F761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19" w:rsidRDefault="004F76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544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8F2578E"/>
    <w:multiLevelType w:val="multilevel"/>
    <w:tmpl w:val="6B82BB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F1E"/>
    <w:rsid w:val="00121B36"/>
    <w:rsid w:val="001C4871"/>
    <w:rsid w:val="003203E5"/>
    <w:rsid w:val="004E748F"/>
    <w:rsid w:val="004F7619"/>
    <w:rsid w:val="00584945"/>
    <w:rsid w:val="00594F1E"/>
    <w:rsid w:val="00633045"/>
    <w:rsid w:val="00797580"/>
    <w:rsid w:val="009375B6"/>
    <w:rsid w:val="009E09B5"/>
    <w:rsid w:val="00A67118"/>
    <w:rsid w:val="00BE15EE"/>
    <w:rsid w:val="00C060FD"/>
    <w:rsid w:val="00CF08AE"/>
    <w:rsid w:val="00E5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856D5E-7BDF-4F9D-B538-764E8563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F761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F761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F761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F7619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F761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F761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F7619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F7619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F7619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4F761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4F761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4F76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4F7619"/>
    <w:rPr>
      <w:vertAlign w:val="superscript"/>
    </w:rPr>
  </w:style>
  <w:style w:type="paragraph" w:styleId="a9">
    <w:name w:val="Body Text"/>
    <w:basedOn w:val="a2"/>
    <w:link w:val="ac"/>
    <w:uiPriority w:val="99"/>
    <w:rsid w:val="004F7619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4F761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4F7619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4F761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4F761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F7619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F7619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F7619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4F761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F761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F7619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4F7619"/>
  </w:style>
  <w:style w:type="character" w:customStyle="1" w:styleId="af5">
    <w:name w:val="номер страницы"/>
    <w:uiPriority w:val="99"/>
    <w:rsid w:val="004F7619"/>
    <w:rPr>
      <w:sz w:val="28"/>
      <w:szCs w:val="28"/>
    </w:rPr>
  </w:style>
  <w:style w:type="paragraph" w:styleId="af6">
    <w:name w:val="Normal (Web)"/>
    <w:basedOn w:val="a2"/>
    <w:uiPriority w:val="99"/>
    <w:rsid w:val="004F761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F7619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4F7619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F761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F761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F7619"/>
    <w:pPr>
      <w:widowControl w:val="0"/>
      <w:autoSpaceDE w:val="0"/>
      <w:autoSpaceDN w:val="0"/>
      <w:adjustRightInd w:val="0"/>
      <w:ind w:left="958"/>
    </w:pPr>
  </w:style>
  <w:style w:type="paragraph" w:styleId="32">
    <w:name w:val="Body Text Indent 3"/>
    <w:basedOn w:val="a2"/>
    <w:link w:val="33"/>
    <w:uiPriority w:val="99"/>
    <w:rsid w:val="004F761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F7619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4F7619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F7619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F761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F761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4F761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F7619"/>
    <w:rPr>
      <w:i/>
      <w:iCs/>
    </w:rPr>
  </w:style>
  <w:style w:type="paragraph" w:customStyle="1" w:styleId="af8">
    <w:name w:val="ТАБЛИЦА"/>
    <w:next w:val="a2"/>
    <w:autoRedefine/>
    <w:uiPriority w:val="99"/>
    <w:rsid w:val="004F7619"/>
    <w:pPr>
      <w:spacing w:line="360" w:lineRule="auto"/>
    </w:pPr>
    <w:rPr>
      <w:color w:val="000000"/>
    </w:rPr>
  </w:style>
  <w:style w:type="paragraph" w:customStyle="1" w:styleId="14">
    <w:name w:val="Стиль1"/>
    <w:basedOn w:val="af8"/>
    <w:autoRedefine/>
    <w:uiPriority w:val="99"/>
    <w:rsid w:val="004F7619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4F761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4F761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4F7619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4F7619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4F761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наследственных факторов в возникновении и развитии туберкулеза</vt:lpstr>
    </vt:vector>
  </TitlesOfParts>
  <Company>NhT</Company>
  <LinksUpToDate>false</LinksUpToDate>
  <CharactersWithSpaces>16542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наследственных факторов в возникновении и развитии туберкулеза</dc:title>
  <dc:subject/>
  <dc:creator>Zver</dc:creator>
  <cp:keywords/>
  <dc:description/>
  <cp:lastModifiedBy>admin</cp:lastModifiedBy>
  <cp:revision>2</cp:revision>
  <dcterms:created xsi:type="dcterms:W3CDTF">2014-02-25T09:00:00Z</dcterms:created>
  <dcterms:modified xsi:type="dcterms:W3CDTF">2014-02-25T09:00:00Z</dcterms:modified>
</cp:coreProperties>
</file>