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F79" w:rsidRDefault="00657E76">
      <w:pPr>
        <w:jc w:val="center"/>
        <w:rPr>
          <w:b/>
          <w:bCs/>
          <w:sz w:val="28"/>
        </w:rPr>
      </w:pPr>
      <w:r>
        <w:rPr>
          <w:b/>
          <w:bCs/>
          <w:sz w:val="28"/>
        </w:rPr>
        <w:t>МИНИСТЕРСТВО ОБРАЗОВАНИЯ РФ</w:t>
      </w:r>
    </w:p>
    <w:p w:rsidR="00124F79" w:rsidRDefault="00657E76">
      <w:pPr>
        <w:jc w:val="center"/>
        <w:rPr>
          <w:b/>
          <w:bCs/>
          <w:sz w:val="28"/>
        </w:rPr>
      </w:pPr>
      <w:r>
        <w:rPr>
          <w:b/>
          <w:bCs/>
          <w:sz w:val="28"/>
        </w:rPr>
        <w:t>МОСКОВСКИЙ ГОСУДАРСТВЕННЫЙ УНИВЕРСИТЕТ</w:t>
      </w:r>
    </w:p>
    <w:p w:rsidR="00124F79" w:rsidRDefault="00657E76">
      <w:pPr>
        <w:jc w:val="center"/>
        <w:rPr>
          <w:b/>
          <w:bCs/>
          <w:sz w:val="28"/>
        </w:rPr>
      </w:pPr>
      <w:r>
        <w:rPr>
          <w:b/>
          <w:bCs/>
          <w:sz w:val="28"/>
        </w:rPr>
        <w:t>ЭКОНОМИКИ, СТАТИСТИКИ И ИНФОРМАТИКИ (МЭСИ)</w:t>
      </w:r>
    </w:p>
    <w:p w:rsidR="00124F79" w:rsidRDefault="00124F79">
      <w:pPr>
        <w:rPr>
          <w:sz w:val="28"/>
        </w:rPr>
      </w:pPr>
    </w:p>
    <w:p w:rsidR="00124F79" w:rsidRDefault="00124F79">
      <w:pPr>
        <w:rPr>
          <w:sz w:val="28"/>
        </w:rPr>
      </w:pPr>
    </w:p>
    <w:p w:rsidR="00124F79" w:rsidRDefault="00124F79">
      <w:pPr>
        <w:rPr>
          <w:sz w:val="28"/>
        </w:rPr>
      </w:pPr>
    </w:p>
    <w:p w:rsidR="00124F79" w:rsidRDefault="00657E76">
      <w:pPr>
        <w:pStyle w:val="Heading1"/>
        <w:jc w:val="right"/>
      </w:pPr>
      <w:r>
        <w:t>Кафедра: «Финансы и кредит»</w:t>
      </w:r>
    </w:p>
    <w:p w:rsidR="00124F79" w:rsidRDefault="00124F79">
      <w:pPr>
        <w:rPr>
          <w:sz w:val="28"/>
        </w:rPr>
      </w:pPr>
    </w:p>
    <w:p w:rsidR="00124F79" w:rsidRDefault="00124F79">
      <w:pPr>
        <w:rPr>
          <w:sz w:val="28"/>
        </w:rPr>
      </w:pPr>
    </w:p>
    <w:p w:rsidR="00124F79" w:rsidRDefault="00124F79">
      <w:pPr>
        <w:pStyle w:val="Heading2"/>
      </w:pPr>
    </w:p>
    <w:p w:rsidR="00124F79" w:rsidRDefault="00124F79">
      <w:pPr>
        <w:pStyle w:val="Heading2"/>
      </w:pPr>
    </w:p>
    <w:p w:rsidR="00124F79" w:rsidRDefault="00657E76">
      <w:pPr>
        <w:pStyle w:val="Heading2"/>
      </w:pPr>
      <w:r>
        <w:t>Курсовая работа</w:t>
      </w:r>
    </w:p>
    <w:p w:rsidR="00124F79" w:rsidRDefault="00124F79">
      <w:pPr>
        <w:jc w:val="center"/>
        <w:rPr>
          <w:sz w:val="28"/>
        </w:rPr>
      </w:pPr>
    </w:p>
    <w:p w:rsidR="00124F79" w:rsidRDefault="00657E76">
      <w:pPr>
        <w:jc w:val="center"/>
        <w:rPr>
          <w:sz w:val="28"/>
        </w:rPr>
      </w:pPr>
      <w:r>
        <w:rPr>
          <w:sz w:val="28"/>
        </w:rPr>
        <w:t>по курсу «Банковское дело»</w:t>
      </w:r>
    </w:p>
    <w:p w:rsidR="00124F79" w:rsidRDefault="00124F79">
      <w:pPr>
        <w:rPr>
          <w:sz w:val="28"/>
        </w:rPr>
      </w:pPr>
    </w:p>
    <w:p w:rsidR="00124F79" w:rsidRDefault="00124F79">
      <w:pPr>
        <w:rPr>
          <w:sz w:val="28"/>
        </w:rPr>
      </w:pPr>
    </w:p>
    <w:p w:rsidR="00124F79" w:rsidRDefault="00124F79">
      <w:pPr>
        <w:jc w:val="center"/>
        <w:rPr>
          <w:sz w:val="32"/>
        </w:rPr>
      </w:pPr>
    </w:p>
    <w:p w:rsidR="00124F79" w:rsidRDefault="00657E76">
      <w:pPr>
        <w:rPr>
          <w:sz w:val="32"/>
        </w:rPr>
      </w:pPr>
      <w:r>
        <w:rPr>
          <w:b/>
          <w:bCs/>
          <w:sz w:val="32"/>
        </w:rPr>
        <w:t xml:space="preserve">на тему:  </w:t>
      </w:r>
      <w:r>
        <w:rPr>
          <w:sz w:val="32"/>
        </w:rPr>
        <w:t xml:space="preserve"> «Роль процентной ставки кредитования, как фактора</w:t>
      </w:r>
    </w:p>
    <w:p w:rsidR="00124F79" w:rsidRDefault="00657E76">
      <w:pPr>
        <w:rPr>
          <w:sz w:val="32"/>
        </w:rPr>
      </w:pPr>
      <w:r>
        <w:rPr>
          <w:sz w:val="32"/>
        </w:rPr>
        <w:t xml:space="preserve">                    обеспечивающего прибыльность банковского бизнеса»</w:t>
      </w:r>
    </w:p>
    <w:p w:rsidR="00124F79" w:rsidRDefault="00124F79">
      <w:pPr>
        <w:jc w:val="center"/>
        <w:rPr>
          <w:sz w:val="32"/>
        </w:rPr>
      </w:pPr>
    </w:p>
    <w:p w:rsidR="00124F79" w:rsidRDefault="00124F79">
      <w:pPr>
        <w:jc w:val="right"/>
        <w:rPr>
          <w:sz w:val="28"/>
        </w:rPr>
      </w:pPr>
    </w:p>
    <w:p w:rsidR="00124F79" w:rsidRDefault="00124F79">
      <w:pPr>
        <w:jc w:val="right"/>
        <w:rPr>
          <w:sz w:val="28"/>
        </w:rPr>
      </w:pPr>
    </w:p>
    <w:p w:rsidR="00124F79" w:rsidRDefault="00124F79">
      <w:pPr>
        <w:jc w:val="right"/>
        <w:rPr>
          <w:sz w:val="28"/>
        </w:rPr>
      </w:pPr>
    </w:p>
    <w:p w:rsidR="00124F79" w:rsidRDefault="00124F79">
      <w:pPr>
        <w:jc w:val="right"/>
        <w:rPr>
          <w:sz w:val="28"/>
        </w:rPr>
      </w:pPr>
    </w:p>
    <w:p w:rsidR="00124F79" w:rsidRDefault="00124F79">
      <w:pPr>
        <w:jc w:val="right"/>
        <w:rPr>
          <w:sz w:val="28"/>
        </w:rPr>
      </w:pPr>
    </w:p>
    <w:p w:rsidR="00124F79" w:rsidRDefault="00124F79">
      <w:pPr>
        <w:jc w:val="right"/>
        <w:rPr>
          <w:sz w:val="28"/>
        </w:rPr>
      </w:pPr>
    </w:p>
    <w:p w:rsidR="00124F79" w:rsidRDefault="00124F79">
      <w:pPr>
        <w:spacing w:line="360" w:lineRule="auto"/>
        <w:jc w:val="right"/>
        <w:rPr>
          <w:sz w:val="28"/>
        </w:rPr>
      </w:pPr>
    </w:p>
    <w:p w:rsidR="00124F79" w:rsidRDefault="00657E76">
      <w:pPr>
        <w:spacing w:line="360" w:lineRule="auto"/>
        <w:jc w:val="right"/>
        <w:rPr>
          <w:sz w:val="28"/>
          <w:u w:val="single"/>
        </w:rPr>
      </w:pPr>
      <w:r>
        <w:rPr>
          <w:sz w:val="28"/>
          <w:u w:val="single"/>
        </w:rPr>
        <w:t>Студент: Вавилов М.А.</w:t>
      </w:r>
    </w:p>
    <w:p w:rsidR="00124F79" w:rsidRDefault="00657E76">
      <w:pPr>
        <w:spacing w:line="360" w:lineRule="auto"/>
        <w:jc w:val="right"/>
        <w:rPr>
          <w:sz w:val="28"/>
          <w:u w:val="single"/>
        </w:rPr>
      </w:pPr>
      <w:r>
        <w:rPr>
          <w:sz w:val="28"/>
          <w:u w:val="single"/>
        </w:rPr>
        <w:t>Группы 2Ф-12</w:t>
      </w:r>
    </w:p>
    <w:p w:rsidR="00124F79" w:rsidRDefault="00657E76">
      <w:pPr>
        <w:spacing w:line="360" w:lineRule="auto"/>
        <w:jc w:val="right"/>
        <w:rPr>
          <w:sz w:val="28"/>
          <w:u w:val="single"/>
        </w:rPr>
      </w:pPr>
      <w:r>
        <w:rPr>
          <w:sz w:val="28"/>
          <w:u w:val="single"/>
        </w:rPr>
        <w:t>Преподаватель: КЭН доцент  Меламедова Л.С.</w:t>
      </w:r>
    </w:p>
    <w:p w:rsidR="00124F79" w:rsidRDefault="00124F79">
      <w:pPr>
        <w:spacing w:line="360" w:lineRule="auto"/>
        <w:rPr>
          <w:sz w:val="28"/>
          <w:u w:val="single"/>
        </w:rPr>
      </w:pPr>
    </w:p>
    <w:p w:rsidR="00124F79" w:rsidRDefault="00124F79">
      <w:pPr>
        <w:spacing w:line="360" w:lineRule="auto"/>
        <w:rPr>
          <w:sz w:val="28"/>
        </w:rPr>
      </w:pPr>
    </w:p>
    <w:p w:rsidR="00124F79" w:rsidRDefault="00124F79">
      <w:pPr>
        <w:rPr>
          <w:sz w:val="28"/>
        </w:rPr>
      </w:pPr>
    </w:p>
    <w:p w:rsidR="00124F79" w:rsidRDefault="00124F79">
      <w:pPr>
        <w:rPr>
          <w:sz w:val="28"/>
        </w:rPr>
      </w:pPr>
    </w:p>
    <w:p w:rsidR="00124F79" w:rsidRDefault="00124F79">
      <w:pPr>
        <w:rPr>
          <w:sz w:val="28"/>
        </w:rPr>
      </w:pPr>
    </w:p>
    <w:p w:rsidR="00124F79" w:rsidRDefault="00124F79">
      <w:pPr>
        <w:rPr>
          <w:sz w:val="28"/>
        </w:rPr>
      </w:pPr>
    </w:p>
    <w:p w:rsidR="00124F79" w:rsidRDefault="00124F79">
      <w:pPr>
        <w:rPr>
          <w:sz w:val="28"/>
        </w:rPr>
      </w:pPr>
    </w:p>
    <w:p w:rsidR="00124F79" w:rsidRDefault="00124F79">
      <w:pPr>
        <w:rPr>
          <w:sz w:val="28"/>
        </w:rPr>
      </w:pPr>
    </w:p>
    <w:p w:rsidR="00124F79" w:rsidRDefault="00657E76">
      <w:pPr>
        <w:jc w:val="center"/>
        <w:rPr>
          <w:sz w:val="28"/>
        </w:rPr>
      </w:pPr>
      <w:r>
        <w:rPr>
          <w:sz w:val="28"/>
        </w:rPr>
        <w:t>САМАРА 2002 г.</w:t>
      </w:r>
    </w:p>
    <w:p w:rsidR="00124F79" w:rsidRDefault="00124F79">
      <w:pPr>
        <w:jc w:val="center"/>
        <w:rPr>
          <w:sz w:val="28"/>
        </w:rPr>
      </w:pPr>
    </w:p>
    <w:p w:rsidR="00124F79" w:rsidRDefault="00657E76">
      <w:pPr>
        <w:pStyle w:val="Title"/>
        <w:rPr>
          <w:b/>
          <w:bCs/>
        </w:rPr>
      </w:pPr>
      <w:r>
        <w:rPr>
          <w:b/>
          <w:bCs/>
        </w:rPr>
        <w:t>ОГЛАВЛЕНИЕ</w:t>
      </w:r>
    </w:p>
    <w:p w:rsidR="00124F79" w:rsidRDefault="00124F79">
      <w:pPr>
        <w:spacing w:line="360" w:lineRule="auto"/>
        <w:rPr>
          <w:sz w:val="28"/>
        </w:rPr>
      </w:pPr>
    </w:p>
    <w:p w:rsidR="00124F79" w:rsidRDefault="00657E76">
      <w:pPr>
        <w:spacing w:line="360" w:lineRule="auto"/>
        <w:rPr>
          <w:sz w:val="28"/>
        </w:rPr>
      </w:pPr>
      <w:r>
        <w:rPr>
          <w:sz w:val="28"/>
        </w:rPr>
        <w:t>ВВЕДЕНИЕ  …………………………………………….……………  стр. 3</w:t>
      </w:r>
    </w:p>
    <w:p w:rsidR="00124F79" w:rsidRDefault="00657E76">
      <w:pPr>
        <w:spacing w:line="360" w:lineRule="auto"/>
        <w:rPr>
          <w:sz w:val="28"/>
        </w:rPr>
      </w:pPr>
      <w:r>
        <w:rPr>
          <w:sz w:val="28"/>
        </w:rPr>
        <w:t>ГЛАВА 1. Кредитование – основной инструмент банковского бизнеса.</w:t>
      </w:r>
    </w:p>
    <w:p w:rsidR="00124F79" w:rsidRDefault="00657E76">
      <w:pPr>
        <w:spacing w:line="360" w:lineRule="auto"/>
        <w:rPr>
          <w:sz w:val="28"/>
        </w:rPr>
      </w:pPr>
      <w:r>
        <w:rPr>
          <w:sz w:val="28"/>
        </w:rPr>
        <w:t xml:space="preserve">              1.1 Кредитные операции и их виды. ………………………  стр. 5  </w:t>
      </w:r>
    </w:p>
    <w:p w:rsidR="00124F79" w:rsidRDefault="00657E76">
      <w:pPr>
        <w:spacing w:line="360" w:lineRule="auto"/>
        <w:rPr>
          <w:sz w:val="28"/>
        </w:rPr>
      </w:pPr>
      <w:r>
        <w:rPr>
          <w:sz w:val="28"/>
        </w:rPr>
        <w:t xml:space="preserve">              1.2 Понятие и составные элементы кредитной политики. .  стр. 6</w:t>
      </w:r>
    </w:p>
    <w:p w:rsidR="00124F79" w:rsidRDefault="00657E76">
      <w:pPr>
        <w:spacing w:line="360" w:lineRule="auto"/>
        <w:rPr>
          <w:sz w:val="28"/>
        </w:rPr>
      </w:pPr>
      <w:r>
        <w:rPr>
          <w:sz w:val="28"/>
        </w:rPr>
        <w:t xml:space="preserve">              1.3 Эффективность кредитования.  ………………………..  стр. 7</w:t>
      </w:r>
    </w:p>
    <w:p w:rsidR="00124F79" w:rsidRDefault="00657E76">
      <w:pPr>
        <w:spacing w:line="360" w:lineRule="auto"/>
        <w:rPr>
          <w:sz w:val="28"/>
        </w:rPr>
      </w:pPr>
      <w:r>
        <w:rPr>
          <w:sz w:val="28"/>
        </w:rPr>
        <w:t xml:space="preserve">              1.4 Потребительское кредитование.  ………………………  стр. 8</w:t>
      </w:r>
    </w:p>
    <w:p w:rsidR="00124F79" w:rsidRDefault="00657E76">
      <w:pPr>
        <w:spacing w:line="360" w:lineRule="auto"/>
        <w:rPr>
          <w:sz w:val="28"/>
        </w:rPr>
      </w:pPr>
      <w:r>
        <w:rPr>
          <w:sz w:val="28"/>
        </w:rPr>
        <w:t>ГЛАВА 2. Процентная ставка и ее роль, как фактора обеспечивающего прибыльность банковского бизнеса.</w:t>
      </w:r>
    </w:p>
    <w:p w:rsidR="00124F79" w:rsidRDefault="00657E76">
      <w:pPr>
        <w:spacing w:line="360" w:lineRule="auto"/>
        <w:rPr>
          <w:sz w:val="28"/>
        </w:rPr>
      </w:pPr>
      <w:r>
        <w:rPr>
          <w:sz w:val="28"/>
        </w:rPr>
        <w:t xml:space="preserve">              2.1 Цена банковского кредита.   ……………………………  стр. 9</w:t>
      </w:r>
    </w:p>
    <w:p w:rsidR="00124F79" w:rsidRDefault="00657E76">
      <w:pPr>
        <w:spacing w:line="360" w:lineRule="auto"/>
        <w:rPr>
          <w:sz w:val="28"/>
        </w:rPr>
      </w:pPr>
      <w:r>
        <w:rPr>
          <w:sz w:val="28"/>
        </w:rPr>
        <w:t xml:space="preserve">              2.2 Порядок установления процентной ставки.  …………..  стр. 13</w:t>
      </w:r>
    </w:p>
    <w:p w:rsidR="00124F79" w:rsidRDefault="00657E76">
      <w:pPr>
        <w:spacing w:line="360" w:lineRule="auto"/>
        <w:rPr>
          <w:sz w:val="28"/>
        </w:rPr>
      </w:pPr>
      <w:r>
        <w:rPr>
          <w:sz w:val="28"/>
        </w:rPr>
        <w:t xml:space="preserve">              2.3 Ставка как результат торга.  ……………………………. стр. 17</w:t>
      </w:r>
    </w:p>
    <w:p w:rsidR="00124F79" w:rsidRDefault="00657E76">
      <w:pPr>
        <w:spacing w:line="360" w:lineRule="auto"/>
        <w:rPr>
          <w:sz w:val="28"/>
        </w:rPr>
      </w:pPr>
      <w:r>
        <w:rPr>
          <w:sz w:val="28"/>
        </w:rPr>
        <w:t xml:space="preserve">              2.4 Ресурсы банков не дешевеют.  …………………………. стр. 20</w:t>
      </w:r>
    </w:p>
    <w:p w:rsidR="00124F79" w:rsidRDefault="00657E76">
      <w:pPr>
        <w:spacing w:line="360" w:lineRule="auto"/>
        <w:rPr>
          <w:sz w:val="28"/>
        </w:rPr>
      </w:pPr>
      <w:r>
        <w:rPr>
          <w:sz w:val="28"/>
        </w:rPr>
        <w:t xml:space="preserve">              2.5 Альтернативы кредитам пока нет.  …………………….. стр. 22</w:t>
      </w:r>
    </w:p>
    <w:p w:rsidR="00124F79" w:rsidRDefault="00657E76">
      <w:pPr>
        <w:spacing w:line="360" w:lineRule="auto"/>
        <w:rPr>
          <w:sz w:val="28"/>
        </w:rPr>
      </w:pPr>
      <w:r>
        <w:rPr>
          <w:sz w:val="28"/>
        </w:rPr>
        <w:t xml:space="preserve">              2.6 Внутренние резервы исчерпаны.  ………………………. стр. 23</w:t>
      </w:r>
    </w:p>
    <w:p w:rsidR="00124F79" w:rsidRDefault="00657E76">
      <w:pPr>
        <w:spacing w:line="360" w:lineRule="auto"/>
        <w:rPr>
          <w:sz w:val="28"/>
        </w:rPr>
      </w:pPr>
      <w:r>
        <w:rPr>
          <w:sz w:val="28"/>
        </w:rPr>
        <w:t>ЗАКЛЮЧЕНИЕ  …………………………………………………....….. стр. 25</w:t>
      </w:r>
    </w:p>
    <w:p w:rsidR="00124F79" w:rsidRDefault="00657E76">
      <w:pPr>
        <w:spacing w:line="360" w:lineRule="auto"/>
        <w:rPr>
          <w:sz w:val="28"/>
        </w:rPr>
      </w:pPr>
      <w:r>
        <w:rPr>
          <w:sz w:val="28"/>
        </w:rPr>
        <w:t>СПИСОК ИСПОЛЬЗУЕМОЙ ЛИТЕРАТУРЫ  ……………………… стр. 26</w:t>
      </w:r>
    </w:p>
    <w:p w:rsidR="00124F79" w:rsidRDefault="00657E76">
      <w:pPr>
        <w:pStyle w:val="Heading1"/>
        <w:spacing w:line="360" w:lineRule="auto"/>
      </w:pPr>
      <w:r>
        <w:t>ПРИЛОЖЕНИЯ  ……………………………………………………….. стр. 27</w:t>
      </w:r>
    </w:p>
    <w:p w:rsidR="00124F79" w:rsidRDefault="00124F79">
      <w:pPr>
        <w:spacing w:line="360" w:lineRule="auto"/>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124F79">
      <w:pPr>
        <w:pStyle w:val="PlainText"/>
        <w:spacing w:line="360" w:lineRule="auto"/>
        <w:jc w:val="center"/>
        <w:rPr>
          <w:rFonts w:ascii="Times New Roman" w:eastAsia="MS Mincho" w:hAnsi="Times New Roman" w:cs="Times New Roman"/>
          <w:b/>
          <w:bCs/>
          <w:sz w:val="28"/>
        </w:rPr>
      </w:pPr>
    </w:p>
    <w:p w:rsidR="00124F79" w:rsidRDefault="00657E76">
      <w:pPr>
        <w:pStyle w:val="PlainText"/>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ВВЕДЕНИЕ</w:t>
      </w:r>
    </w:p>
    <w:p w:rsidR="00124F79" w:rsidRDefault="00124F79">
      <w:pPr>
        <w:pStyle w:val="PlainText"/>
        <w:spacing w:line="360" w:lineRule="auto"/>
        <w:jc w:val="center"/>
        <w:rPr>
          <w:rFonts w:ascii="Times New Roman" w:eastAsia="MS Mincho" w:hAnsi="Times New Roman" w:cs="Times New Roman"/>
          <w:b/>
          <w:bCs/>
          <w:sz w:val="28"/>
        </w:rPr>
      </w:pP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Основой современной экономики, ее сердцем, является банковская система. Крепкие и устойчивые банки означают стабильную экономику и наоборот, банкротства банков, невозвращенные кредиты, неуплаченные проценты - все это ослабляет банковскую систему и говорит о болезни экономики.</w:t>
      </w:r>
    </w:p>
    <w:p w:rsidR="00124F79" w:rsidRDefault="00657E76">
      <w:pPr>
        <w:pStyle w:val="PlainText"/>
        <w:spacing w:line="360" w:lineRule="auto"/>
        <w:jc w:val="both"/>
        <w:rPr>
          <w:rFonts w:ascii="Times New Roman" w:hAnsi="Times New Roman" w:cs="Times New Roman"/>
          <w:sz w:val="28"/>
          <w:szCs w:val="28"/>
        </w:rPr>
      </w:pPr>
      <w:r>
        <w:rPr>
          <w:rFonts w:ascii="Times New Roman" w:eastAsia="MS Mincho" w:hAnsi="Times New Roman" w:cs="Times New Roman"/>
          <w:sz w:val="28"/>
        </w:rPr>
        <w:t xml:space="preserve">  На банковскую систему влияет слишком рискованная кредитная политика, проводимая руководителями в погоне за прибылями, безрассудные расходы на развитие сети филиалов без учета их доходности. Серьезной проблемой является поддержание ликвидности банковской системы, привлечение слишком дорогих ресурсов и невозможность рентабельного их размещения.</w:t>
      </w:r>
    </w:p>
    <w:p w:rsidR="00124F79" w:rsidRDefault="00657E76">
      <w:pPr>
        <w:pStyle w:val="BodyText"/>
      </w:pPr>
      <w:r>
        <w:t xml:space="preserve">  На сегодняшний день кредитование реального сектора экономики стало основным источником дохода для многих банков. Учитывая, что ставки рефинансирования падают, доходность рынка ценных бумаг низкая, а рынок акций не стабилен, кредитование остается практически единственно нормальным инструментом получения прибыли. Расширение банковского кредитования, особенно средне- и долгосрочного, становится одним из важнейших условий поддержания экономического  роста.</w:t>
      </w:r>
    </w:p>
    <w:p w:rsidR="00124F79" w:rsidRDefault="00657E76">
      <w:pPr>
        <w:pStyle w:val="PlainText"/>
        <w:spacing w:line="360" w:lineRule="auto"/>
        <w:jc w:val="both"/>
        <w:rPr>
          <w:rFonts w:ascii="Times New Roman" w:hAnsi="Times New Roman" w:cs="Times New Roman"/>
          <w:sz w:val="28"/>
          <w:szCs w:val="28"/>
        </w:rPr>
      </w:pPr>
      <w:r>
        <w:rPr>
          <w:rFonts w:ascii="Times New Roman" w:eastAsia="MS Mincho" w:hAnsi="Times New Roman" w:cs="Times New Roman"/>
          <w:sz w:val="28"/>
        </w:rPr>
        <w:t xml:space="preserve">  В операциях современного банка наибольший удельный вес занимает кредитные операции, а в доходах, соответственно, проценты по кредитам. </w:t>
      </w:r>
    </w:p>
    <w:p w:rsidR="00124F79" w:rsidRDefault="00657E76">
      <w:pPr>
        <w:widowControl w:val="0"/>
        <w:tabs>
          <w:tab w:val="left" w:pos="9656"/>
        </w:tabs>
        <w:autoSpaceDE w:val="0"/>
        <w:autoSpaceDN w:val="0"/>
        <w:adjustRightInd w:val="0"/>
        <w:spacing w:line="360" w:lineRule="auto"/>
        <w:ind w:right="28"/>
        <w:jc w:val="both"/>
        <w:rPr>
          <w:sz w:val="28"/>
          <w:szCs w:val="28"/>
        </w:rPr>
      </w:pPr>
      <w:r>
        <w:rPr>
          <w:sz w:val="28"/>
          <w:szCs w:val="28"/>
        </w:rPr>
        <w:t xml:space="preserve">  Сегодня цена кредита стала одной из определяющих при выборе клиентом одного или иного банка.</w:t>
      </w:r>
    </w:p>
    <w:p w:rsidR="00124F79" w:rsidRDefault="00657E76">
      <w:pPr>
        <w:widowControl w:val="0"/>
        <w:tabs>
          <w:tab w:val="left" w:pos="9656"/>
        </w:tabs>
        <w:autoSpaceDE w:val="0"/>
        <w:autoSpaceDN w:val="0"/>
        <w:adjustRightInd w:val="0"/>
        <w:spacing w:line="360" w:lineRule="auto"/>
        <w:ind w:right="28"/>
        <w:jc w:val="both"/>
        <w:rPr>
          <w:sz w:val="28"/>
          <w:szCs w:val="28"/>
        </w:rPr>
      </w:pPr>
      <w:r>
        <w:rPr>
          <w:sz w:val="28"/>
          <w:szCs w:val="28"/>
        </w:rPr>
        <w:t xml:space="preserve">  Кредиты, выданные реальному сектору на протяжении последних двух лет, составляют основную часть активов российских банков. Доля кредитов в активах постоянно увеличивалась и к началу четвертого квартала 2002 года достигла  44% - самого высокого показателя за всю историю российской банковской системы.</w:t>
      </w:r>
    </w:p>
    <w:p w:rsidR="00124F79" w:rsidRDefault="00657E76">
      <w:pPr>
        <w:widowControl w:val="0"/>
        <w:tabs>
          <w:tab w:val="left" w:pos="9656"/>
        </w:tabs>
        <w:autoSpaceDE w:val="0"/>
        <w:autoSpaceDN w:val="0"/>
        <w:adjustRightInd w:val="0"/>
        <w:spacing w:line="360" w:lineRule="auto"/>
        <w:ind w:right="28"/>
        <w:jc w:val="both"/>
        <w:rPr>
          <w:sz w:val="28"/>
          <w:szCs w:val="28"/>
        </w:rPr>
      </w:pPr>
      <w:r>
        <w:rPr>
          <w:sz w:val="28"/>
          <w:szCs w:val="28"/>
        </w:rPr>
        <w:t xml:space="preserve">  Именно за счет процентных доходов российских банков удалось добиться впечатляющих финансовых результатов.</w:t>
      </w:r>
    </w:p>
    <w:p w:rsidR="00124F79" w:rsidRDefault="00657E76">
      <w:pPr>
        <w:widowControl w:val="0"/>
        <w:tabs>
          <w:tab w:val="left" w:pos="9656"/>
        </w:tabs>
        <w:autoSpaceDE w:val="0"/>
        <w:autoSpaceDN w:val="0"/>
        <w:adjustRightInd w:val="0"/>
        <w:spacing w:line="360" w:lineRule="auto"/>
        <w:ind w:right="28"/>
        <w:jc w:val="both"/>
        <w:rPr>
          <w:sz w:val="28"/>
          <w:szCs w:val="28"/>
        </w:rPr>
      </w:pPr>
      <w:r>
        <w:rPr>
          <w:sz w:val="28"/>
          <w:szCs w:val="28"/>
        </w:rPr>
        <w:t xml:space="preserve">  Чистая прибыль банков за 2001 год составила 69,8 млрд. рублей, а за три квартала 2002 года - 80,8 млрд. рублей.</w:t>
      </w:r>
    </w:p>
    <w:p w:rsidR="00124F79" w:rsidRDefault="00657E76">
      <w:pPr>
        <w:widowControl w:val="0"/>
        <w:tabs>
          <w:tab w:val="left" w:pos="9656"/>
        </w:tabs>
        <w:autoSpaceDE w:val="0"/>
        <w:autoSpaceDN w:val="0"/>
        <w:adjustRightInd w:val="0"/>
        <w:spacing w:line="360" w:lineRule="auto"/>
        <w:ind w:right="28"/>
        <w:jc w:val="both"/>
        <w:rPr>
          <w:sz w:val="28"/>
          <w:szCs w:val="28"/>
        </w:rPr>
      </w:pPr>
      <w:r>
        <w:rPr>
          <w:sz w:val="28"/>
          <w:szCs w:val="28"/>
        </w:rPr>
        <w:t xml:space="preserve">  При этом чистые процентные доходы (разность между процентами, полученными по кредитам и выплаченными по депозитам) достигли 93,9 млрд. и 106 млрд. рублей соответственно. Важность этого источника банковских доходов трудно переоценить.</w:t>
      </w:r>
    </w:p>
    <w:p w:rsidR="00124F79" w:rsidRDefault="00657E76">
      <w:pPr>
        <w:widowControl w:val="0"/>
        <w:tabs>
          <w:tab w:val="left" w:pos="9656"/>
        </w:tabs>
        <w:autoSpaceDE w:val="0"/>
        <w:autoSpaceDN w:val="0"/>
        <w:adjustRightInd w:val="0"/>
        <w:spacing w:line="360" w:lineRule="auto"/>
        <w:ind w:right="28"/>
        <w:jc w:val="both"/>
        <w:rPr>
          <w:sz w:val="28"/>
          <w:szCs w:val="28"/>
        </w:rPr>
      </w:pPr>
      <w:r>
        <w:rPr>
          <w:sz w:val="28"/>
          <w:szCs w:val="28"/>
        </w:rPr>
        <w:t xml:space="preserve">  Однако все впечатляющие успехи были продемонстрированы на фоне постоянно падающей процентной ставки. Если за 2000 год средневзвешенная ставка по рублёвым кредитам составляла 26,7% годовых при инфляции 20,2%, то за три квартала 2002 года она упала до 19% (по прогнозам, инфляция за этот год составит 15%). Увеличение массы прибыли в основном обеспечивалось расширением объема кредитов (за три квартала 2002 года прирост кредитов в реальном выражении составил всего 8,5% против 32%  за 2001 год), роль процентной ставки как фактора, обеспечивающего прибыльность банковского бизнеса, заметно усиливается.</w:t>
      </w:r>
    </w:p>
    <w:p w:rsidR="00124F79" w:rsidRDefault="00657E76">
      <w:pPr>
        <w:spacing w:line="360" w:lineRule="auto"/>
        <w:jc w:val="both"/>
        <w:rPr>
          <w:sz w:val="28"/>
        </w:rPr>
      </w:pPr>
      <w:r>
        <w:rPr>
          <w:sz w:val="28"/>
        </w:rPr>
        <w:t xml:space="preserve">  Целью работы является: рассмотрение некоторых перспектив кредитования и процесса формирования процентной ставки по банковским кредитам. В соответствии с вышеизложенным задачи работы определены следующим образом:</w:t>
      </w:r>
    </w:p>
    <w:p w:rsidR="00124F79" w:rsidRDefault="00657E76">
      <w:pPr>
        <w:numPr>
          <w:ilvl w:val="0"/>
          <w:numId w:val="1"/>
        </w:numPr>
        <w:spacing w:line="360" w:lineRule="auto"/>
        <w:jc w:val="both"/>
        <w:rPr>
          <w:sz w:val="28"/>
        </w:rPr>
      </w:pPr>
      <w:r>
        <w:rPr>
          <w:sz w:val="28"/>
        </w:rPr>
        <w:t>Выделить кредитование в банковском секторе как:</w:t>
      </w:r>
    </w:p>
    <w:p w:rsidR="00124F79" w:rsidRDefault="00657E76">
      <w:pPr>
        <w:numPr>
          <w:ilvl w:val="1"/>
          <w:numId w:val="1"/>
        </w:numPr>
        <w:spacing w:line="360" w:lineRule="auto"/>
        <w:jc w:val="both"/>
        <w:rPr>
          <w:sz w:val="28"/>
        </w:rPr>
      </w:pPr>
      <w:r>
        <w:rPr>
          <w:sz w:val="28"/>
        </w:rPr>
        <w:t>доступное и быстро развивающееся направление,</w:t>
      </w:r>
    </w:p>
    <w:p w:rsidR="00124F79" w:rsidRDefault="00657E76">
      <w:pPr>
        <w:numPr>
          <w:ilvl w:val="1"/>
          <w:numId w:val="1"/>
        </w:numPr>
        <w:spacing w:line="360" w:lineRule="auto"/>
        <w:jc w:val="both"/>
        <w:rPr>
          <w:sz w:val="28"/>
        </w:rPr>
      </w:pPr>
      <w:r>
        <w:rPr>
          <w:sz w:val="28"/>
        </w:rPr>
        <w:t>наиболее эффективное средство получения доходов,</w:t>
      </w:r>
    </w:p>
    <w:p w:rsidR="00124F79" w:rsidRDefault="00657E76">
      <w:pPr>
        <w:numPr>
          <w:ilvl w:val="1"/>
          <w:numId w:val="1"/>
        </w:numPr>
        <w:spacing w:line="360" w:lineRule="auto"/>
        <w:jc w:val="both"/>
        <w:rPr>
          <w:sz w:val="28"/>
        </w:rPr>
      </w:pPr>
      <w:r>
        <w:rPr>
          <w:sz w:val="28"/>
        </w:rPr>
        <w:t>технологически отлаженный банковский продукт с огромным потенциалом.</w:t>
      </w:r>
    </w:p>
    <w:p w:rsidR="00124F79" w:rsidRDefault="00657E76">
      <w:pPr>
        <w:numPr>
          <w:ilvl w:val="0"/>
          <w:numId w:val="1"/>
        </w:numPr>
        <w:spacing w:line="360" w:lineRule="auto"/>
        <w:jc w:val="both"/>
        <w:rPr>
          <w:sz w:val="28"/>
        </w:rPr>
      </w:pPr>
      <w:r>
        <w:rPr>
          <w:sz w:val="28"/>
        </w:rPr>
        <w:t>Рассмотреть основные составляющие образования процентной ставки кредитования.</w:t>
      </w:r>
    </w:p>
    <w:p w:rsidR="00124F79" w:rsidRDefault="00657E76">
      <w:pPr>
        <w:spacing w:line="360" w:lineRule="auto"/>
        <w:jc w:val="both"/>
        <w:rPr>
          <w:sz w:val="28"/>
        </w:rPr>
      </w:pPr>
      <w:r>
        <w:rPr>
          <w:sz w:val="28"/>
        </w:rPr>
        <w:t xml:space="preserve">  В качестве источников информации были выбраны, как классическая учебная литература, так и мнения ведущих специалистов по банковскому бизнесу, аналитические исследования рейтинговых агентств.</w:t>
      </w:r>
    </w:p>
    <w:p w:rsidR="00124F79" w:rsidRDefault="00124F79">
      <w:pPr>
        <w:pStyle w:val="PlainText"/>
        <w:spacing w:line="360" w:lineRule="auto"/>
        <w:jc w:val="center"/>
        <w:rPr>
          <w:rFonts w:ascii="Times New Roman" w:eastAsia="MS Mincho" w:hAnsi="Times New Roman" w:cs="Times New Roman"/>
          <w:b/>
          <w:bCs/>
          <w:sz w:val="28"/>
        </w:rPr>
      </w:pPr>
    </w:p>
    <w:p w:rsidR="00124F79" w:rsidRDefault="00657E76">
      <w:pPr>
        <w:pStyle w:val="PlainText"/>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ГЛАВА 1. КРЕДИТОВАНИЕ – ОСНОВНОЙ ИНСТРУМЕНТ БАНКОВСКОГО БИЗНЕСА.</w:t>
      </w:r>
    </w:p>
    <w:p w:rsidR="00124F79" w:rsidRDefault="00124F79">
      <w:pPr>
        <w:pStyle w:val="PlainText"/>
        <w:spacing w:line="360" w:lineRule="auto"/>
        <w:jc w:val="center"/>
        <w:rPr>
          <w:rFonts w:ascii="Times New Roman" w:eastAsia="MS Mincho" w:hAnsi="Times New Roman" w:cs="Times New Roman"/>
          <w:b/>
          <w:bCs/>
          <w:sz w:val="28"/>
        </w:rPr>
      </w:pPr>
    </w:p>
    <w:p w:rsidR="00124F79" w:rsidRDefault="00657E76">
      <w:pPr>
        <w:pStyle w:val="PlainText"/>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1.1 Кредитные операции и их виды</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Кредитные операции – это отношения между кредитором и дебитором (заемщиком) по поводу предоставления (получения) во временное пользование денежных средств, их возврата и оплаты. При этом имеется в виду именно содержание действий участников отношений, прежде всего банковских работников.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Кредитные операции банков и кредитных учреждений в первом приближении делятся на: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Активные и пассивные.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В первом случае банк (кредитное учреждение) является кредитором, т.е. стороной, дающей кредит (ссужающей деньги) и размещающей денежные средства в форме кредитов.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 втором – дебитором, т.е. стороной, берущей кредит и принимающей денежные средства в форме депозитов (вкладов). Т. е. и активные, и пассивные кредитные операции предполагают использование, как кредитов (ссуд), так и депозитов (вкладов). Иначе говоря, кредитные операции включают в себя: ссудные операции и депозитные операции.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Таким образом, ссудные операции – это действие работников банков (кредитных учреждений) по предоставлению и (или) получению кредитов, и их возврату и оплате соответствующих процентов, а депозитные операции – действие тех же работников по размещению и (или) привлечению к себе вкладов, их возврату и оплате причитающихся процентов.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Принципиальное деление кредитных операций на указанные виды схематично может быть представлено следующим образом:</w:t>
      </w:r>
    </w:p>
    <w:p w:rsidR="00124F79" w:rsidRDefault="00657E76">
      <w:pPr>
        <w:pStyle w:val="PlainText"/>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Кредитные операции:</w:t>
      </w:r>
    </w:p>
    <w:p w:rsidR="00124F79" w:rsidRDefault="00657E76">
      <w:pPr>
        <w:pStyle w:val="PlainText"/>
        <w:spacing w:line="360" w:lineRule="auto"/>
        <w:jc w:val="center"/>
        <w:rPr>
          <w:rFonts w:ascii="Times New Roman" w:eastAsia="MS Mincho" w:hAnsi="Times New Roman" w:cs="Times New Roman"/>
          <w:sz w:val="28"/>
        </w:rPr>
      </w:pPr>
      <w:r>
        <w:rPr>
          <w:rFonts w:ascii="Times New Roman" w:eastAsia="MS Mincho" w:hAnsi="Times New Roman" w:cs="Times New Roman"/>
          <w:sz w:val="28"/>
        </w:rPr>
        <w:t>Активные операции:                                   Пассивные операции: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1. Кредитование клиентов.                                   6. Депозиты клиентов.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2. Кредитование других банков.                          7. Депозиты банков.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3. Депозиты в других банках.                              8. Кредиты банков в том числе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4. Средства на резервном корсчете                        центрального.</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центральном банке.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5. Средства на корсчетах в других</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банках.</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Итак, ссудные операции – пункты № 1, 2 (активные) и № 8 (пассивная), депозитные операции – пункты № 3, 4, 5 (активные) и № 6, 7 (пассивные).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Основной предмет кредитных операций – кредит (ссуда) как определенная сумма денег, которая выдается (получается), возвращается, оплачивается, соответственно депозитных операций – вклад (депозит) как сумма денег и (или) иных ценностей (ценных бумаг), которая помещается (принимается), возвращается, в необходимых случаях оплачивается. </w:t>
      </w:r>
    </w:p>
    <w:p w:rsidR="00124F79" w:rsidRDefault="00124F79">
      <w:pPr>
        <w:pStyle w:val="PlainText"/>
        <w:spacing w:line="360" w:lineRule="auto"/>
        <w:jc w:val="both"/>
        <w:rPr>
          <w:rFonts w:ascii="Times New Roman" w:eastAsia="MS Mincho" w:hAnsi="Times New Roman" w:cs="Times New Roman"/>
          <w:sz w:val="28"/>
        </w:rPr>
      </w:pPr>
    </w:p>
    <w:p w:rsidR="00124F79" w:rsidRDefault="00657E76">
      <w:pPr>
        <w:pStyle w:val="PlainText"/>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1.2 Понятие и составные элементы кредитной политики</w:t>
      </w:r>
    </w:p>
    <w:p w:rsidR="00124F79" w:rsidRDefault="00124F79">
      <w:pPr>
        <w:pStyle w:val="PlainText"/>
        <w:spacing w:line="360" w:lineRule="auto"/>
        <w:jc w:val="center"/>
        <w:rPr>
          <w:rFonts w:ascii="Times New Roman" w:eastAsia="MS Mincho" w:hAnsi="Times New Roman" w:cs="Times New Roman"/>
          <w:b/>
          <w:bCs/>
          <w:sz w:val="28"/>
        </w:rPr>
      </w:pP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Кредитная политика – это стратегия и тактика банка в области кредитных операций. Не существует единой кредитной политики для всех банков. Каждый банк формирует свою собственную кредитную политику, учитывая экономические, политические, географические, организационные и иные факторы, оказывающие влияние на его деятельность. Считается, что риски банка повышаются, если он не имеет своей кредитной политики; если он ее имеет, но не довел до сведения всех исполнителей; если он имеет противоречивую или неконкретную политику. Кредитная политика в части стратегии вбирает в себя приоритеты, принципы и содержательные цели конкретного банка на кредитном рынке, а в части тактики - финансовый и иной инструментарий, используемый данным банком для реализации его целей при осуществлении кредитных сделок, правила их совершения, порядок организации кредитного процесса. Таким образом, кредитная политика создает необходимые общие предпосылки эффективной работы персонала кредитного подразделения банка (понимания приоритетов, целей, инструментов, методов организации кредитных сделок), объединяет и организует усилия персонала, уменьшает вероятность ошибок и принятия нерациональных решений.</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зарубежной банковской практике формирование кредитной политики включает,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во-первых, определение стратегии, утверждаемой советом директоров (правлением);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во-вторых, разработку подробного руководства по осуществлению кредитных операций, призванного обеспечить реализацию стратегических направлений деятельности банка в данной сфере. Подготовкой такого руководства обычно занимается специальное подразделение, в чьи функциональные обязанности входит также контроль за выполнением требований данного документа.</w:t>
      </w:r>
    </w:p>
    <w:p w:rsidR="00124F79" w:rsidRDefault="00124F79"/>
    <w:p w:rsidR="00124F79" w:rsidRDefault="00657E76">
      <w:pPr>
        <w:pStyle w:val="Title"/>
        <w:rPr>
          <w:b/>
          <w:bCs/>
        </w:rPr>
      </w:pPr>
      <w:r>
        <w:rPr>
          <w:b/>
          <w:bCs/>
        </w:rPr>
        <w:t>1.3 Эффективность кредитования (данные рейтингового агентства  «Эксперт РА»)</w:t>
      </w:r>
    </w:p>
    <w:p w:rsidR="00124F79" w:rsidRDefault="00124F79">
      <w:pPr>
        <w:spacing w:line="360" w:lineRule="auto"/>
        <w:jc w:val="both"/>
        <w:rPr>
          <w:sz w:val="28"/>
        </w:rPr>
      </w:pPr>
    </w:p>
    <w:p w:rsidR="00124F79" w:rsidRDefault="00657E76">
      <w:pPr>
        <w:spacing w:line="360" w:lineRule="auto"/>
        <w:jc w:val="both"/>
        <w:rPr>
          <w:sz w:val="28"/>
        </w:rPr>
      </w:pPr>
      <w:r>
        <w:rPr>
          <w:sz w:val="28"/>
        </w:rPr>
        <w:t xml:space="preserve">  Для развития банковской системы далеко не безразлично, как формируются заработки. У банков есть, как известно, три основных направления деятельности: кредитные операции, работа на рынке ценных бумаг и валютные операции. Нам наиболее интересно кредитование, и с точки зрения экономического роста, и с точки зрения вклада в доходы банков (см. приложение диаграмму 1).</w:t>
      </w:r>
    </w:p>
    <w:p w:rsidR="00124F79" w:rsidRDefault="00657E76">
      <w:pPr>
        <w:pStyle w:val="BodyText"/>
        <w:jc w:val="both"/>
      </w:pPr>
      <w:r>
        <w:t xml:space="preserve">  Что касается кредитной деятельности, то по сравнению с минимумом, зафиксированном в четвертом квартале 1998 года, доля процентных доходов по выданным кредитам в валовых доходах выросла втрое, хотя до восстановления докризисного уровня еще далеко. С 2001 года чистый доход от кредитных операций стабильно превышает доход от работы с ценными бумагами. Несмотря на то, что кредитный портфель включает кредиты всем субъектам экономики, основные процентные доходы (до 70%) получают от кредитования реального сектора экономики.</w:t>
      </w:r>
    </w:p>
    <w:p w:rsidR="00124F79" w:rsidRDefault="00657E76">
      <w:pPr>
        <w:pStyle w:val="BodyText"/>
        <w:jc w:val="both"/>
      </w:pPr>
      <w:r>
        <w:t xml:space="preserve">   Лидируют здесь банки, ориентированные на кредитование, - доля кредитов в их активах превышает 50% (см. приложение таблицу 2). В первой десятке присутствует Сбербанк, начавший послекризисную кредитную экспансию, два банка из второй по размеру активов десятки («Менатеп СПб» и ДиБ) и семь более мелких банков. В их числе банк «Возрождение», активно работающий в Московской области, отраслевые: Транскредитбанк и Промсвязьбанк, связанный с «ЛУКойлом» «Петрокоммерц». Всех их объединяет одно – кредитуют они преимущественно реальный сектор экономики, в то время как следующие за ними иностранные «дочки» и крупнейшие банки в большей степени ориентированы на межбанковское кредитование, работу со структурами, входящими в ФПГ, и иные операции.</w:t>
      </w:r>
    </w:p>
    <w:p w:rsidR="00124F79" w:rsidRDefault="00657E76">
      <w:pPr>
        <w:pStyle w:val="BodyText"/>
        <w:jc w:val="both"/>
      </w:pPr>
      <w:r>
        <w:t xml:space="preserve">   Кстати, лишь в кредитной деятельности наблюдается некоторое влияние снижения устойчивости на эффективность. Что в принципе и понятно: клиенты обращают внимание на надежность банка, прежде всего при проведении кредитно – депозитных операций.</w:t>
      </w:r>
    </w:p>
    <w:p w:rsidR="00124F79" w:rsidRDefault="00124F79">
      <w:pPr>
        <w:spacing w:line="360" w:lineRule="auto"/>
        <w:jc w:val="both"/>
        <w:rPr>
          <w:sz w:val="28"/>
        </w:rPr>
      </w:pPr>
    </w:p>
    <w:p w:rsidR="00124F79" w:rsidRDefault="00657E76">
      <w:pPr>
        <w:pStyle w:val="Title"/>
        <w:rPr>
          <w:b/>
          <w:bCs/>
        </w:rPr>
      </w:pPr>
      <w:r>
        <w:rPr>
          <w:b/>
          <w:bCs/>
        </w:rPr>
        <w:t>1.4 Потребительское кредитование</w:t>
      </w:r>
    </w:p>
    <w:p w:rsidR="00124F79" w:rsidRDefault="00124F79">
      <w:pPr>
        <w:pStyle w:val="Title"/>
        <w:jc w:val="both"/>
      </w:pPr>
    </w:p>
    <w:p w:rsidR="00124F79" w:rsidRDefault="00657E76">
      <w:pPr>
        <w:spacing w:line="360" w:lineRule="auto"/>
        <w:jc w:val="both"/>
        <w:rPr>
          <w:sz w:val="28"/>
        </w:rPr>
      </w:pPr>
      <w:r>
        <w:rPr>
          <w:sz w:val="28"/>
        </w:rPr>
        <w:t xml:space="preserve">  Потребительское кредитование для российского рынка – относительно новый продукт. Рынок потребительского кредитования вырос за последние два года буквально с нуля. По данным Центрального Банка РФ, еще полтора года назад в кредитных портфелях банков число выданных кредитов составляло 80,707 млрд. рублей. С того времени этот показатель возрос на 63% и сейчас достигает 131,889 млрд. рублей. По прогнозам Минэкономразвития, в 2003 году рост в секторе потребительского кредитования может составить 40%</w:t>
      </w:r>
    </w:p>
    <w:p w:rsidR="00124F79" w:rsidRDefault="00657E76">
      <w:pPr>
        <w:spacing w:line="360" w:lineRule="auto"/>
        <w:jc w:val="both"/>
        <w:rPr>
          <w:sz w:val="28"/>
        </w:rPr>
      </w:pPr>
      <w:r>
        <w:rPr>
          <w:sz w:val="28"/>
        </w:rPr>
        <w:t xml:space="preserve">  Потребительское кредитование постепенно становится технологически отлаженным банковским продуктом. Оно еще не стало дешевым, но доступным стало.</w:t>
      </w:r>
    </w:p>
    <w:p w:rsidR="00124F79" w:rsidRDefault="00657E76">
      <w:pPr>
        <w:spacing w:line="360" w:lineRule="auto"/>
        <w:jc w:val="both"/>
        <w:rPr>
          <w:sz w:val="28"/>
        </w:rPr>
      </w:pPr>
      <w:r>
        <w:rPr>
          <w:sz w:val="28"/>
        </w:rPr>
        <w:t xml:space="preserve">  Потенциал этого сектора остается огромным. По оценкам консалтинговой компании “</w:t>
      </w:r>
      <w:r>
        <w:rPr>
          <w:sz w:val="28"/>
          <w:lang w:val="en-US"/>
        </w:rPr>
        <w:t>Bakers</w:t>
      </w:r>
      <w:r>
        <w:rPr>
          <w:sz w:val="28"/>
        </w:rPr>
        <w:t xml:space="preserve"> &amp; </w:t>
      </w:r>
      <w:r>
        <w:rPr>
          <w:sz w:val="28"/>
          <w:lang w:val="en-US"/>
        </w:rPr>
        <w:t>Mokenrie</w:t>
      </w:r>
      <w:r>
        <w:rPr>
          <w:sz w:val="28"/>
        </w:rPr>
        <w:t>”, число потенциальных заемщиков среди частных лиц превышает 2 млн. человек. Правда, рынок можно назвать сформировавшимся в столичных городах. В регионах же эта услуга только начинает свое развитие. Но даже Москве далеко до западного уровня.</w:t>
      </w:r>
    </w:p>
    <w:p w:rsidR="00124F79" w:rsidRDefault="00657E76">
      <w:pPr>
        <w:spacing w:line="360" w:lineRule="auto"/>
        <w:jc w:val="both"/>
        <w:rPr>
          <w:sz w:val="28"/>
        </w:rPr>
      </w:pPr>
      <w:r>
        <w:rPr>
          <w:sz w:val="28"/>
        </w:rPr>
        <w:t xml:space="preserve">  Объемы потребительского кредитования на мировом рынке составляют $1,706 трлн. Например, в США только за август 2002 года было выдано потребительских кредитов на сумму около $2,29 млрд. В России суммы на порядок ниже.</w:t>
      </w:r>
    </w:p>
    <w:p w:rsidR="00124F79" w:rsidRDefault="00124F79">
      <w:pPr>
        <w:spacing w:line="360" w:lineRule="auto"/>
        <w:jc w:val="both"/>
        <w:rPr>
          <w:sz w:val="28"/>
        </w:rPr>
      </w:pPr>
    </w:p>
    <w:p w:rsidR="00124F79" w:rsidRDefault="00657E76">
      <w:pPr>
        <w:pStyle w:val="PlainText"/>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ГЛАВА 2. ПРОЦЕНТНАЯ СТАВКА И ЕЕ РОЛЬ, КАК ФАКТОРА ОБЕСПЕЧИВАЮЩЕГО ПРИБЫЛЬНОСТЬ БАНКОВСКОГО БИЗНЕСА.</w:t>
      </w:r>
    </w:p>
    <w:p w:rsidR="00124F79" w:rsidRDefault="00124F79">
      <w:pPr>
        <w:pStyle w:val="PlainText"/>
        <w:spacing w:line="360" w:lineRule="auto"/>
        <w:jc w:val="center"/>
        <w:rPr>
          <w:rFonts w:ascii="Times New Roman" w:eastAsia="MS Mincho" w:hAnsi="Times New Roman" w:cs="Times New Roman"/>
          <w:b/>
          <w:bCs/>
          <w:sz w:val="28"/>
        </w:rPr>
      </w:pPr>
    </w:p>
    <w:p w:rsidR="00124F79" w:rsidRDefault="00657E76">
      <w:pPr>
        <w:pStyle w:val="PlainText"/>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2.1 Цена банковского кредита</w:t>
      </w:r>
    </w:p>
    <w:p w:rsidR="00124F79" w:rsidRDefault="00124F79">
      <w:pPr>
        <w:pStyle w:val="PlainText"/>
        <w:spacing w:line="360" w:lineRule="auto"/>
        <w:jc w:val="both"/>
        <w:rPr>
          <w:rFonts w:ascii="Times New Roman" w:eastAsia="MS Mincho" w:hAnsi="Times New Roman" w:cs="Times New Roman"/>
          <w:sz w:val="28"/>
        </w:rPr>
      </w:pP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Деньги в качестве кредитных ресурсов представляют собой предмет купли-продажи, имеющий свою цену – банковский (ссудный) процент.</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Процент выступает в виде определенной суммы денег, получаемый кредитором от заемщика за «товар» - в данном случае за пользование временно ссуженными деньгами. Точнее, даже не за пользование, а за право пользования: если кредит просто пролежал у заемщика, то это не освобождает последнего от необходимости платить за него. В строгом смысле слова за взятый кредит необходимо заплатить не только процент – необходимо погасить сумму основного долга, а, кроме того, нередко приходится платить комиссионные, штрафы. Тем не менее, ценой кредита считается именно банковский (ссудный) процент как цена или плата за право пользования заемными средствами.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Источником уплаты процента является часть прибыли заемщика, полученная им в результате использования заемных средств.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зависимости от характерных особенностей разных секторов рынка ссудных капиталов можно выделить несколько групп однородных ставок процента кредитования:</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ставки денежного рынка, используемые при краткосрочных кредитных операциях между кредитно-финансовыми институтами;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официальная учетная ставка;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ставки рынка ценных бумаг – ставки доходности разнообразных акций и облигаций в момент их эмиссии и в дальнейшем на вторичном рынке;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ставки банков и кредитных учреждений для небанковских заемщиков и кредиторов.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свою очередь в рамках каждой из перечисленных групп процентные ставки можно классифицировать по:</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срокам сделки – на долго-, средне- и краткосрочные;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роли в структуре вставок – на основные (базовые) и дополнительные, меняющиеся в след за основными;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характеру формирования – на преимущественно рыночные (уровень и движение которых зависит в основном от общей экономической конъюнктуры и состояния рынка ссудных капиталов) и сознательно регулируемый прямо или косвенно (Центральным Банком РФ, синдикатами банков и кредитных учреждений, другими субъектами);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масштабом использования – на ставке, применяемой исключительно на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национальных кредитных рынках, и ставки, используемые одновременно на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национальных и международных рынках;</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по характеру изменения в течение срока пользования ссуды – на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фиксированные (неизменные) и плавающие (изменяющиеся) ставки.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настоящее время в банковском секторе экономики существует целый комплекс различных видов процентных ставок:</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Во-первых, это процентные ставки, подверженные непосредственному регулированию. К регулируемым ставкам относятся ставка рефинансирования и штрафная ставка ЦБ РФ.</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Во-вторых, это рыночные процентные ставки. Они делятся на аукционные и неаукционные (банковские ставки). К первому виду ставок относятся ставки по депозитам и банковским кредитам (включая валютные кредиты), размещаемым посредством аукционных торгов и в кредитных магазинах. Ко второму виду ставок относятся стоимость привлекаемых банками депозитов при непосредственной работе с клиентами, ставки по межбанковской работе с клиентами, ставки по межбанковским кредитам (включая валютные) другим банкам и ставки по клиентским кредитам (включая валютные) конкретным небанковским заемщикам.</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Коммерческие банки при заключении кредитных соглашений самостоятельно договариваются с заемщиками о величине процентных ставок. С развитием рыночных начал хозяйствования норма процента будет стремиться к средней норме прибыли в экономике. В любом случае на величину и динамику ставки процента влияют как общие, макроэкономические факторы, так и факторы частные, лежащие на стороне самих участников кредитного процесса, в том числе отдельных банков.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К числу общих факторов относятся:</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соотношение спроса и предложения заемных средств;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регулирующая политика центрального банка;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уровень инфляции в народном хозяйстве и др.</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Частные факторы определяются условиями функционирования конкретного банка (кредитного учреждения), его положением на рынке кредитных ресурсов, избранной кредитной и процентной политикой, степенью рискованности осуществляемых операций. Уровень процентных ставок по активным операциям банка формируется во многом на базе спроса и предложения заемных средств. Вместе с тем на этот уровень существенное влияние оказывают:</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«себестоимость» ссудного капитала данного банка;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кредитоспособность заемщика;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целевое направление, срок, объем предоставляемого кредита;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способы обеспечения возвратности кредита и др.</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При определении процентных ставок по каждой конкретной сделке банки ориентируются на уровень ставок, который бы, с одной стороны, не вынудил заемщика (кредитора) отказаться от сделки, с другой же – позволил банку не только возместить свои издержки, но и получить прибыль желательно не ниже средней. Что касается издержек (затрат) банка на проведение кредитных операций, то они состоят из двух комплексных групп расходов, каждая из которых включает в себя несколько элементов: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1. Расходы по привлечению ресурсов, в том числе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уплаченные проценты по межбанковским кредитам (включая кредиты центрального банка) и депозитам;</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проценты, выплаченные предприятиям, организациям и учреждениям за хранящиеся на их расчетных и текущих счетах деньги;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проценты, выплаченные по вкладам физических лиц;</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2. Расходы по обеспечению кредитной деятельности банка, в том числе: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расходы на заработную плату сотрудников, занятых привлечением и размещением ресурсов;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расходы на содержание аппарата управления, включая представительские расходы;</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амортизация оборудования, машин и механизмов;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 оплата услуг вычислительного центра, административно хозяйственные, канцелярские, почтовые, телеграфные и другие расходы. Примечание. Последние три элемента связаны как со ссудными, так и со всеми прочими операциями банка. Подсчитать действительные издержки банка не просто. Основные сложности связаны со следующими обстоятельствами.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Во-первых, межбанковские кредиты привлекаются под разные проценты, которые к тому же часто пересматриваются. Из-за этого приходится делать регулярные перерасчеты.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Во-вторых, Центральный банк РФ устанавливает верхний предел выплаты процентов по таким кредитам, относимые на расходы банка. Следовательно, проценты, выплаченные сверх этого предела, не исключаются из налогооблагаемой базы и могут покрываться лишь за счет прибыли банка. Тогда реальные расходы по привлечению межбанковских кредитов увеличатся на сумму переплаченных сверх нормы процентов и суммы, которую дополнительно придется отдать в виде налогов.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В-третьих, для расчета реальных расходов и соответственно реальной процентной ставки из общей суммы привлеченных и заемных средств должны быть вычтены все деньги, не используемые банком в его активных операциях: суммы, содержащиеся в фонде обязательных резервов в Центральном банке РФ и на корсчете.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В-четвертых, необходимо иметь механизм отнесения общих расходов по обеспечению функционирования банка на его собственно кредитную деятельность и соответственно правила определения величины той надбавки к цене кредита, которая оправдана этими общебанковскими расходами.</w:t>
      </w:r>
    </w:p>
    <w:p w:rsidR="00124F79" w:rsidRDefault="00124F79">
      <w:pPr>
        <w:pStyle w:val="PlainText"/>
        <w:spacing w:line="360" w:lineRule="auto"/>
        <w:jc w:val="both"/>
        <w:rPr>
          <w:rFonts w:ascii="Times New Roman" w:eastAsia="MS Mincho" w:hAnsi="Times New Roman" w:cs="Times New Roman"/>
          <w:sz w:val="28"/>
        </w:rPr>
      </w:pPr>
    </w:p>
    <w:p w:rsidR="00124F79" w:rsidRDefault="00657E76">
      <w:pPr>
        <w:pStyle w:val="PlainText"/>
        <w:spacing w:line="360" w:lineRule="auto"/>
        <w:jc w:val="center"/>
        <w:rPr>
          <w:rFonts w:ascii="Times New Roman" w:eastAsia="MS Mincho" w:hAnsi="Times New Roman" w:cs="Times New Roman"/>
          <w:b/>
          <w:bCs/>
          <w:sz w:val="28"/>
        </w:rPr>
      </w:pPr>
      <w:r>
        <w:rPr>
          <w:rFonts w:ascii="Times New Roman" w:eastAsia="MS Mincho" w:hAnsi="Times New Roman" w:cs="Times New Roman"/>
          <w:b/>
          <w:bCs/>
          <w:sz w:val="28"/>
        </w:rPr>
        <w:t>2.2 Порядок установления процентной ставки.</w:t>
      </w:r>
    </w:p>
    <w:p w:rsidR="00124F79" w:rsidRDefault="00124F79">
      <w:pPr>
        <w:pStyle w:val="PlainText"/>
        <w:spacing w:line="360" w:lineRule="auto"/>
        <w:jc w:val="center"/>
        <w:rPr>
          <w:rFonts w:ascii="Times New Roman" w:eastAsia="MS Mincho" w:hAnsi="Times New Roman" w:cs="Times New Roman"/>
          <w:sz w:val="28"/>
        </w:rPr>
      </w:pP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ходе  дальнейшего  анализа  определим порядок установления процентной ставки для отдельного клиента и установим механизм определения кредитного риска (кредитоспособности). Процентная ставка устанавливается на основе средней ставки кредитования, которая корректируется в зависимости от надежности клиента и надежности самого проекта. Средняя ставка кредитования зависит от  таких объективных характеристик как уровень инфляции, избыток или недостаток денежных средств. На установление конкретной ставки кредитования отдельного заемщика оказывает  влияние множество факторов, оценка которых и анализ как раз и составляет  процесс анализа кредитоспособности клиента. В этом процессе можно выделить три этапа: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формирование общего представления о клиенте,</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анализ финансового состояния,</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анализ кредитуемого проекта (сделки).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На 1-м этапе происходит личное знакомство с клиентом руководителя банка,  начальника кредитного  отдела,  экономиста.  Здесь оцениваются деловые  и  личностные характеристики руководителя и главного бухгалтера, происходит  общее  обсуждение  кредитуемого проекта и оговаривается процентная ставка по кредиту.  При формировании представления о клиенте рассчитываются и/или анализируются следующие показатели: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учредительные документы;</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период функционирования предприятия;</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собственность на фонды;</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местонахождение заемщика;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деловая активность клиента;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рентабельность активов;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рентабельность затрат;</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соотношение кредита и объема реализации продукции.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Изучение учредительных документов состоит,  прежде  всего,  из оценки состава учредителей, поскольку значительную роль играет их репутация. Необходимо исключить возможность кредитования ненадежных учредителей через созданные ими предприятия, особенно если у них имелись факты неплатежа, либо имела место ликвидация предприятий данного учредителя. Нужно обратить внимание на смену учредителей, в связи, с чем она происходила. Внимательно издается устав и правоспособность  юридических лиц и их руководителей на предмет возможности кредитования и осуществления кредитуемого проекта. Если заемщик не является собственником основных и оборотных фондов, это говорит о его низкой платежеспособности. В случае неплатежа могут возникнуть проблемы с истребование кредита. Неразвитость банковской информации о заемщиках и их контрагентах ухудшает контроль за использованием кредита. Поэтому желательно, чтобы заемщик находился в одном пункте с банком или поблизости. Деловая активность клиента оценивается сопоставлением  итога баланса за определенный период. Должен наблюдаться рост баланса, причем темп его роста должен превышать темп инфляции. Рентабельность активов  показывает эффективность размещения средств и определяется отношением нераспределенной прибыли за минусом платежей в бюджет к итогу баланса за вычетом результата от реализации. Рентабельность затрат отражает долю прибыли от каждого рубля затрат на производство и реализацию продукции. Показатель рассчитывается отношением нераспределенной прибыли к затратам на произ­водство и реализацию. Сопоставляя сумму  кредита и объем реализации,  положительно оценивается превышение последнего показателя. Анализ финансового состояния клиентов производится с помощью следующей системы показателей:</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обобщающий показатель платежеспособности;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коэффициент автономии;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коэффициент соотношения заемных и собственных средств;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коэффициент ликвидности;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коэффициент покрытия;</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коэффициент маневренности;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коэффициент  обеспеченности  запасов и затрат собственными источниками формирования;</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оборот материалов и готовой продукции;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длительность дебиторской задолженности;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однодневная реализация;</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прибыль;</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бюджет денежных средств.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В результате расчета, оценки и анализа вышеприведенных показателей кредитный  работник делает  вывод о финансовом состоянии заемщика, которое позволяет или не позволяет,  либо позволяет при определенных условиях иметь кредитные отношения. Дальнейшим этапом анализа является характеристика и изучение кредитуемого проекта.  Она производится с учетом следующих факторов:</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Объект кредитования. Он должен соответствовать целям клиента, его производственным  интересам. С  осторожностью  следует кредитовать проекты, преследующие иные цели.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Срок кредитования.  Для торгово-посреднических сделок кредит предоставляется обычно до 3-х месяцев,  производственные затраты кредитуются в течение 1 года,  инвестиционные проекты - до 2 лет.</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Размер кредита. Кредит не должен быть больше, чем необходимо для конкретной сделки.  Не должен быть он и меньше, чтобы не возникла потребность в дополнительных средствах. Ссуда обычно предоставляется при наличии и собственных вложений клиента в кредитуемое мероприятие,  поскольку  это  повышает  заинтересованность клиента.</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Наличие обеспечения. Имущество должно быть собственностью клиента, обладать  высокой ликвидностью,  покрывать кредит и проценты по нему плюс возможные издержки по реализации.</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 xml:space="preserve">- Окупаемость  кредитуемого проекта. Проект должен принести прибыль, срок окупаемости его должен быть меньше срока погашения кредита. По завершению 3-го этапа анализа кредитный работник составляет письменное  заключение о возможности кредитования указанного мероприятия. Здесь же отражаются результаты  анализа финансового состояния. Необходимо отметить, что по всем рассчитываемым коэффициентам результат сравнивается с нормативным значением и отмечается его выполнение или невыполнение. Комплексная же оценка кредитоспособности производится на основе представления о важности каждой составляющей этой оценки. Такой подход к оценке каждого фактора не  дает полного представления о состоянии дел заемщика, поскольку нормативные значения одними предприятиями могут  выполняться (не выполняться) в большей степени, чем </w:t>
      </w:r>
    </w:p>
    <w:p w:rsidR="00124F79" w:rsidRDefault="00657E76">
      <w:pPr>
        <w:pStyle w:val="PlainText"/>
        <w:spacing w:line="360" w:lineRule="auto"/>
        <w:jc w:val="both"/>
        <w:rPr>
          <w:rFonts w:ascii="Times New Roman" w:eastAsia="MS Mincho" w:hAnsi="Times New Roman" w:cs="Times New Roman"/>
          <w:sz w:val="28"/>
        </w:rPr>
      </w:pPr>
      <w:r>
        <w:rPr>
          <w:rFonts w:ascii="Times New Roman" w:eastAsia="MS Mincho" w:hAnsi="Times New Roman" w:cs="Times New Roman"/>
          <w:sz w:val="28"/>
        </w:rPr>
        <w:t>другими. Важность каждого фактора в системе показателей кредитоспособности также не зафиксирована, что не позволяет определить его роль, и дает возможность маневрирования с целью получения желаемого представления о клиенте. Кредитный риск не получает количественного выражения и если и включается в процентную ставку, то только на уровне общих представлений.</w:t>
      </w:r>
    </w:p>
    <w:p w:rsidR="00124F79" w:rsidRDefault="00124F79">
      <w:pPr>
        <w:widowControl w:val="0"/>
        <w:tabs>
          <w:tab w:val="left" w:pos="9656"/>
        </w:tabs>
        <w:autoSpaceDE w:val="0"/>
        <w:autoSpaceDN w:val="0"/>
        <w:adjustRightInd w:val="0"/>
        <w:spacing w:line="360" w:lineRule="auto"/>
        <w:ind w:right="28"/>
        <w:jc w:val="both"/>
        <w:rPr>
          <w:rFonts w:ascii="Times New Roman CYR" w:hAnsi="Times New Roman CYR" w:cs="Times New Roman CYR"/>
          <w:sz w:val="28"/>
          <w:szCs w:val="28"/>
        </w:rPr>
      </w:pPr>
    </w:p>
    <w:p w:rsidR="00124F79" w:rsidRDefault="00657E76">
      <w:pPr>
        <w:pStyle w:val="Heading1"/>
        <w:jc w:val="center"/>
        <w:rPr>
          <w:b/>
          <w:bCs/>
        </w:rPr>
      </w:pPr>
      <w:r>
        <w:rPr>
          <w:b/>
          <w:bCs/>
        </w:rPr>
        <w:t>2.3 Ставка как результат торга</w:t>
      </w: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Поскольку формирование процентной ставки является результатом переговорного процесса между потенциальными кредиторами и заемщиками, факторы, влияющие на достижение или недостижение договоренности, характеризуют возможности каждой стороны и связи между ними. Главными среди них являются:</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рентабельность заемщика;</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стоимость привлеченных средств, а также ценовая структура пассивов банка;</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наличие альтернатив, позволяющих банку получить большую прибыль с меньшим риском;</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наличие каких-либо иных отношений между договаривающимися сторонами (отношения собственности, ранее выданные кредиты и т. п.);</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 оценка кредитного риска.</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Рассмотрим все эти факторы последовательно, чтобы оценить их влияние на величину процентной ставки в пост кризисный период и выявить возможности компромисса между кредитором и заемщиком по каждому из них. При этом ограничимся ставкой по кредитам в рублях, так как, во-первых, валюта кредита определяется не процентной ставкой, а целевым характером кредита, а во-вторых, в течении последних двух лет значение процентной ставки по кредитам в валюте практически эквивалентно процентной ставке по кредитам в рублях с учетом роста курса.</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промышленных предприятий процентная ставка является, пожалуй, основным фактором, определяющих доступность кредитов, то есть возможность пользоваться кредитными ресурсами банков. Это видно из простого сопоставления динамики заимствований и стоимости кредитов (см. приложение диаграмму 2). Рост заимствований промышленности (в реальном выражении) начался именно тогда, когда процентная ставка по кредитным ресурсам оказалась ниже той, что могли себе позволить предприятия.</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январе 1999-го  - мае 2000 года ставки предложения кредитов банковским сектором были значительно выше, чем ставки, по которым промышленные предприятия могли привлекать кредитные ресурсы. В то же время обе ставки - и спроса, и предложения - снижались, поэтому, согласно опросам предприятий, условия кредитования улучшались. По всей видимости, в этот период повышалась дискретность кредитования: об этом свидетельствует сокращение заимствований промышленности и рост количества кредитуемых предприятий (с 45% в январе 1999 года до 51% в мае 2000-го). Действительно, растущая рентабельность, а, следовательно, и ликвидность несколько ослабили зависимость предприятий от заимствований. Поэтому кредитные ресурсы привлекались в меньших объемах.</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 ноября 2000 года, когда процентные ставки стали приемлемы для предприятий, круг заемщиков начал расширяться активнее. Число компаний, не имеющих и не планирующих иметь заимствований, сокращалось - с 51% в октябре 2000 года до 37% в середине 2002-го. При этом менее половины опрошенных согласны с тем, что условия кредитования улучшаются. Но это и понятно: ведь процентные ставки с этого момента начали снижаться значительно медленнее, чем в предшествовавший период.</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Справедливости ради необходимо отметить, что абсолютно допустимые (с точки зрения рентабельности) ставки по привлекаемым кредитам не всегда согласуются с теми ставками, по которым промышленные предприятия готовы привлекать кредитные ресурсы, и ставками, по которым банковский сектор кредитует экономику (см. приложение таблицу 1).</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период начала роста кредитования (2000 год) промышленность потенциально была готова и к более высоким ставкам: об этом свидетельствует превышение допустимой ставки по кредитам над ставкой предложения. При этом относительно низкий уровень запрашиваемых  предприятиями ставок на кредитные ресурсы (23,8% годовых), по всей видимости, обусловлен меньшим спросом на кредиты со стороны высокорентабельной нефтяной промышленности и готовностью других отраслей привлекать кредитные ресурсы по ставке не выше (24% годовых).</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Положительная разница между ставкой предложения со стороны банков (17,9%) и ставкой спроса со стороны предприятий (19,7%) в 2001 году, объясняется активизацией нефтяной промышленности на рынке кредитов. Замедление роста ликвидности и необходимость финансирования начатых ранее (преимущественно на основе собственных ресурсов) проектов с большой вероятностью приведет к тому, что значительный поток вновь будет перенаправлен в эту высокорентабельную отрасль. На вероятность такого сценария указывает также тот факт, что для прочих отраслей промышленности ставка 17,9% годовых уже превысила пороговые 16% , хотя для промышленности в целом и остается допустимой.</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первом полугодии 2002 года, когда рентабельность производства снизилась до 6,5% , промышленность реально была готова лишь к кредитам  по ставкам не выше 11% годовых. В тоже время декларируемые предприятиями как возможные ставки привлечения кредитных ресурсов по-прежнему находятся на уровне 19-20% - явно выше, чем они могут себе позволить в действительности. Поскольку опросные ставки это всегда компромисс между желаемым и действительным положением на рынке, такое соотношение можно расценивать либо как признак недостаточности кредитных ресурсов на рынке, либо как понимание невозможности дальнейшего заметного снижения ставок со стороны банковской системы.</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Фактически ставки по банковским кредитам, предоставляемым предприятиям, в 2002 году снизились меньше чем на один процентный пункт. После того как в 2001 году был пройден нулевой уровень процентных ставок в реальном выражении, в 2002-м реальная ставка по банковским кредитам стабильно положительна. Поскольку в дальнейшем банки вряд ли захотят существенно снижать ставки по предоставляемым кредитам, первоначальное ухудшение финансового положения предприятий из-за высоких процентных  выплат сменится отказом от дорогих кредитных ресурсов, что, в свою очередь, неизбежно затормозит промышленный рост. Возможно, продолжающееся расширение кредитования промышленности в ситуации, когда ставки формально выше допустимых, - это признак грядущей напряженности во взаимоотношениях реального и банковского секторов.</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Откуда же могут прийти кредиты, необходимые для поддержания энергичного промышленного роста? Сейчас около трех четвертей инвестиций совершается за счет внутренних средств самих компаний. С одной стороны это все, на что они способны, с другой - этих средств явно недостаточно.</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Суммарный объем выданных банками кредитов предприятиям на сегодня составляет 42,2 млрд. долларов, из них на срок более шести месяцев - 25,7 млрд. долларов. Банкиры прогнозируют рост кредитного портфеля на 10-15% в год при благоприятных условиях.</w:t>
      </w: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657E76">
      <w:pPr>
        <w:pStyle w:val="Heading2"/>
      </w:pPr>
      <w:r>
        <w:t>2.4 Ресурсы банков не дешевеют</w:t>
      </w: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Для банка как финансового посредника большую роль играет не только само значение процентной ставки, сколько её соотношение со стоимостью имеющихся у него ресурсов. И в этом смысле ситуацию трудно назвать благоприятной. Хотя депозитные ставки снижаются, (что является естественным следствием уменьшения инфляции), структура привлеченных банками средств меняется: большой вес приобретают дорогие ресурсы.</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До 2002 года основным источником привлеченных средств для банков были ресурсы предприятий (на конец 2000 года они составляли более 35% всех привлеченных средств). Главным их преимуществом была дешевизна: ведь порядка 70% этих средств - остатки на счетах до востребования. Но с прошлого года ситуация стала постепенно меняться: увеличение доходов населения и тенденция к сбережению привели к бурному росту депозитов физических лиц. Казалось бы, банкам нужно радоваться: идет волна новых ресурсов. Но за них нужно платить, и платить больше.</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Необходимо отметить, что рост в привлеченных средствах банков доли такого дорогого ресурса, как вклады населения, замещающего "бесплатные" остатки на счетах предприятий, будет вести к снижению прибыльности банков. Среднемесячные темпы прироста частных вкладов вот уже два года стабильно держатся на уровне 3,6 - 3,7%. При этом быстрое расширение вкладов населения компенсирует стагнацию остатков на счетах реального сектора, давая банкам ресурсы для поддержания динамики кредитования. Фундаментом быстрого роста вкладов населения является тенденция к повышению его реальных доходов, которая носит реальный характер, - в отличие от динамики доходов реального сектора, колеблющихся под воздействием нестабильной внешнеторговой конъюнктуры.</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Средняя ставка по депозитам физических лиц в рублях на начало сентября 2002 года составляла 11% годовых. Однако при этом ставки по банковским депозитам физических лиц в рублях сроком более полугода (они более удобны для кредитования, так как снижают временной разрыв между активами и пассивами) во многих банках превышают 15% годовых, то есть обеспечивают реальную положительную процентную ставку. Понятно, что в таких условиях банкам крайне сложно идти на снижение ставок по кредитам.</w:t>
      </w: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657E76">
      <w:pPr>
        <w:pStyle w:val="Heading1"/>
        <w:jc w:val="center"/>
        <w:rPr>
          <w:b/>
          <w:bCs/>
        </w:rPr>
      </w:pPr>
      <w:r>
        <w:rPr>
          <w:b/>
          <w:bCs/>
        </w:rPr>
        <w:t>2.5 Альтернативы кредитам пока нет</w:t>
      </w: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снижение процентной ставки по кредитам, бесспорно, повлияла их фактическая безальтернативность. Непосредственно после кризиса 1998 года банки способствовали оттоку капитала, увеличивая остатки на счетах в иностранных банках, предоставляя им межбанковские кредиты, покупая долговые обязательства нерезидентов и т. п.  С начала 1999-го до середины 2001 года иностранные активы российских банков выросли на 11 млрд. долларов, а чистая международная инвестиционная позиция (без учета операций Банка России) - на 9 млрд. долларов.</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Но в конце концов ситуация стабилизировалась, страх перед новым дефолтом отступил, и банки обратили внимание на убыточность собственных валютных резервов. Только за счет реального укрепления курса рубля в 2001-м и в первой половине 2002 года они недополучили около 35 млрд. рублей доходов.</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Рынок государственных ценных бумаг после дефолта так и не восстановился (в 2002 году ежедневный оборот рынка ГКО-ОФЗ в долларовом выражении более чем в 40 раз уступал среднему значению за 1997 год). Как при первичном размещении, так и на вторичных торгах главным игроком является Сбербанк РФ, довольно активны и другие госбанки (прежде всего Внешторгбанк), а на долю негосударственных банков в 2002 году приходится немногим более 20% (против 40% в 1997 году). Впрочем, это и не удивительно, если вспомнить, что эффективная доходность ОФЗ к осени 2002 года опустилась до 14% - ниже ожидаемой годовой инфляции.</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Несколько иная ситуация сложилась с валютными госбумагами. Благоприятная конъюнктура российских внешних долгов (за первую половину года индекс цен обращающихся на рынке российских долговых обязательств, рассчитываемых компанией "Джи Пи Морган", вырос на 18%) позволила банкам получать более 900 млн. долларов чистого дохода, что обеспечивало доходность свыше 25% годовых в валюте. Однако летом и осенью конъюнктура финансовых рынков заметно ухудшилась, и это немедленно отразилось на котировках российских валютных бумаг (прирост вышеупомянутого индекса "Джи Пи Морган" за третий квартал составил всего 3%), поэтому ожидать даже близких результатов от сделок с ценными бумагами во втором полугодии не приходится.</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Банки почти не проводят операции на рынке корпоративных ценных бумаг: негосударственные бумаги в их активах (за вычетом векселей) составляют лишь 1,5-2% (примерно столько же было и до кризиса), да и то в собственности банков в основном находятся бумаги, приобретенные для контроля над предприятиями. Активных игроков на биржевом рынке облигаций (РТС, ММВБ и других площадках) среди банков крайне мало. Небольшие объемы и сильная волатильность рынка негосударственных ценных бумаг делают его неинтересным для заметных банковских инвестиций.</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Все это вынуждает банки ценить каждого хорошего заемщика буквально на вес золота, что, конечно, отражается и на процентной ставке.</w:t>
      </w:r>
    </w:p>
    <w:p w:rsidR="00124F79" w:rsidRDefault="00124F79">
      <w:pPr>
        <w:pStyle w:val="Heading1"/>
        <w:rPr>
          <w:b/>
          <w:bCs/>
        </w:rPr>
      </w:pPr>
    </w:p>
    <w:p w:rsidR="00124F79" w:rsidRDefault="00657E76">
      <w:pPr>
        <w:pStyle w:val="Heading1"/>
        <w:jc w:val="center"/>
        <w:rPr>
          <w:b/>
          <w:bCs/>
        </w:rPr>
      </w:pPr>
      <w:r>
        <w:rPr>
          <w:b/>
          <w:bCs/>
        </w:rPr>
        <w:t>2.6 Внутренние резервы исчерпаны</w:t>
      </w: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На процентную ставку по кредитам определенное влияние оказывает все усиливающаяся зависимость многих крупных российских банков от своих основных заемщиков. На середину 2002 года доля крупных кредитных рисков в банковских активах, достигла 35% , в то время как в 2001 году она составляла около 30% , а до кризиса 1998 года не превышала четверти. В большинстве случаев эти заемщики вместе с банками входят в состав одной интегрированной бизнес-группы.  </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Можно предположить, что для "своих" предприятий ставка является более низкой, чем в среднем по рынку, - это цена, которую платит банк за возможность иметь дополнительную информацию о поведении заемщика и дополнительный контроль за ним. Оценка динамики такого скрытого дисконта дает основания утверждать, что к 2002 году разрыв между рыночными и внутренними ставками снизился до минимума. Это означает, что и внутригрупповые кредиты выдаются практически на рыночных условиях, а скрытое дотирование промышленных предприятий группы за счет банков почти прекратилось. Во главу угла сегодня ставится не родственная близость, а экономическая эффективность: предприятие теперь вполне может пойти за кредитом к конкуренту "своего" банка, если тот предложит более выгодные условия.</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Оценить величину скрытого дисконта можно, сравнив фактические доходы и их расчетный аналог, полученный при умножении процентной ставки на объем кредитов соответствующих сроков. Расчеты показывают, что если в 1999 году банки теряли около половины дохода, который они могли получить от кредитования по рыночным процентным ставкам, то в 2000 году этот показатель снизился до 30% , а в 2001 году до 25%. Более того, в первом полугодии 2002 года расчетная доля недополученных процентных доходов упала до 10%.</w:t>
      </w:r>
    </w:p>
    <w:p w:rsidR="00124F79" w:rsidRDefault="00657E76">
      <w:pPr>
        <w:widowControl w:val="0"/>
        <w:autoSpaceDE w:val="0"/>
        <w:autoSpaceDN w:val="0"/>
        <w:adjustRightInd w:val="0"/>
        <w:spacing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С одной стороны это свидетельствует том, что кредиты заемщикам выдаются     на рыночных условиях, но, с другой стороны, показывает, что скрытые резервы банков по увеличению процентных доходов от кредитования почти исчерпаны.</w:t>
      </w:r>
    </w:p>
    <w:p w:rsidR="00124F79" w:rsidRDefault="00657E76">
      <w:pPr>
        <w:pStyle w:val="BodyText"/>
        <w:jc w:val="both"/>
      </w:pPr>
      <w:r>
        <w:t xml:space="preserve">  Что будет с процентной ставкой в ближайшем будущем? Можно предположить, что реальные процентные ставки все же будут находиться на слабо положительном уровне, номинальные - снижаться вслед за инфляцией. Возникший разрыв между уровнями ставок, приемлемыми для предприятий и для банков, может быть преодолен, прежде всего, за счет снижения рисков. Когда деятельность потенциального заемщика станет более прозрачной, это понизит как собственно рисковый компонент, так и издержки банка по оценке риска. В этом случае проигравших не будет - банк с минимальными издержками получит хорошего клиента, а клиент - недорогие ресурсы.</w:t>
      </w: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124F79">
      <w:pPr>
        <w:widowControl w:val="0"/>
        <w:autoSpaceDE w:val="0"/>
        <w:autoSpaceDN w:val="0"/>
        <w:adjustRightInd w:val="0"/>
        <w:spacing w:line="360" w:lineRule="auto"/>
        <w:jc w:val="both"/>
        <w:rPr>
          <w:rFonts w:ascii="Times New Roman CYR" w:hAnsi="Times New Roman CYR" w:cs="Times New Roman CYR"/>
          <w:sz w:val="28"/>
          <w:szCs w:val="28"/>
        </w:rPr>
      </w:pPr>
    </w:p>
    <w:p w:rsidR="00124F79" w:rsidRDefault="00657E76">
      <w:pPr>
        <w:pStyle w:val="Title"/>
        <w:rPr>
          <w:b/>
          <w:bCs/>
        </w:rPr>
      </w:pPr>
      <w:r>
        <w:rPr>
          <w:b/>
          <w:bCs/>
        </w:rPr>
        <w:t>ЗАКЛЮЧЕНИЕ</w:t>
      </w:r>
    </w:p>
    <w:p w:rsidR="00124F79" w:rsidRDefault="00124F79">
      <w:pPr>
        <w:spacing w:line="360" w:lineRule="auto"/>
        <w:jc w:val="both"/>
        <w:rPr>
          <w:sz w:val="28"/>
        </w:rPr>
      </w:pPr>
    </w:p>
    <w:p w:rsidR="00124F79" w:rsidRDefault="00657E76">
      <w:pPr>
        <w:spacing w:line="360" w:lineRule="auto"/>
        <w:jc w:val="both"/>
        <w:rPr>
          <w:sz w:val="28"/>
        </w:rPr>
      </w:pPr>
      <w:r>
        <w:rPr>
          <w:sz w:val="28"/>
        </w:rPr>
        <w:t xml:space="preserve">  В ходе данной работы выявлено:</w:t>
      </w:r>
    </w:p>
    <w:p w:rsidR="00124F79" w:rsidRDefault="00657E76">
      <w:pPr>
        <w:numPr>
          <w:ilvl w:val="0"/>
          <w:numId w:val="2"/>
        </w:numPr>
        <w:spacing w:line="360" w:lineRule="auto"/>
        <w:jc w:val="both"/>
        <w:rPr>
          <w:sz w:val="28"/>
        </w:rPr>
      </w:pPr>
      <w:r>
        <w:rPr>
          <w:sz w:val="28"/>
        </w:rPr>
        <w:t>В настоящее время в условиях стабилизации экономики ниша услуг банковского кредитования для российского рынка еще не заполнена, т.е. можно выделить кредитование как наиболее перспективное средство получения доходов банками.</w:t>
      </w:r>
    </w:p>
    <w:p w:rsidR="00124F79" w:rsidRDefault="00657E76">
      <w:pPr>
        <w:numPr>
          <w:ilvl w:val="0"/>
          <w:numId w:val="2"/>
        </w:numPr>
        <w:spacing w:line="360" w:lineRule="auto"/>
        <w:jc w:val="both"/>
        <w:rPr>
          <w:sz w:val="28"/>
        </w:rPr>
      </w:pPr>
      <w:r>
        <w:rPr>
          <w:sz w:val="28"/>
        </w:rPr>
        <w:t>В условиях стабилизации экономики наметилась тенденция увеличения объема заимствований в промышленности и банкам для привлечения потенциальных заемщиков необходимо определить величину процентной ставки кредитования, как наиболее важный фактор, влияющий на выбор заемщиком того или иного банка, а, следовательно, необходимо более детально рассматривать составляющие, формирующие величину процентной ставки, влияющие на стоимость кредитов.</w:t>
      </w:r>
    </w:p>
    <w:p w:rsidR="00124F79" w:rsidRDefault="00657E76">
      <w:pPr>
        <w:pStyle w:val="BodyText"/>
        <w:numPr>
          <w:ilvl w:val="0"/>
          <w:numId w:val="2"/>
        </w:numPr>
      </w:pPr>
      <w:r>
        <w:t>Также в условиях стабилизации экономики становится возможным расширение такого перспективного направления, обладающего огромным потенциалом – кредитование потребительского сектора. И здесь процентная ставка также решает определяющую роль в привлечении частных кредитозаемщиков.</w:t>
      </w: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657E76">
      <w:pPr>
        <w:pStyle w:val="Heading2"/>
        <w:widowControl/>
        <w:autoSpaceDE/>
        <w:autoSpaceDN/>
        <w:adjustRightInd/>
        <w:rPr>
          <w:rFonts w:ascii="Times New Roman" w:hAnsi="Times New Roman" w:cs="Times New Roman"/>
          <w:szCs w:val="24"/>
        </w:rPr>
      </w:pPr>
      <w:r>
        <w:rPr>
          <w:rFonts w:ascii="Times New Roman" w:hAnsi="Times New Roman" w:cs="Times New Roman"/>
          <w:szCs w:val="24"/>
        </w:rPr>
        <w:t>СПИСОК ИСПОЛЬЗУЕМОЙ ЛИТЕРАТУРЫ</w:t>
      </w:r>
    </w:p>
    <w:p w:rsidR="00124F79" w:rsidRDefault="00124F79">
      <w:pPr>
        <w:spacing w:line="360" w:lineRule="auto"/>
        <w:jc w:val="both"/>
        <w:rPr>
          <w:sz w:val="28"/>
        </w:rPr>
      </w:pPr>
    </w:p>
    <w:p w:rsidR="00124F79" w:rsidRDefault="00657E76">
      <w:pPr>
        <w:spacing w:line="360" w:lineRule="auto"/>
        <w:jc w:val="both"/>
        <w:rPr>
          <w:sz w:val="28"/>
        </w:rPr>
      </w:pPr>
      <w:r>
        <w:rPr>
          <w:sz w:val="28"/>
        </w:rPr>
        <w:t>1. Жарковская Е.А.,  Арендс И.С.  «Банковское дело», Москва 2002 г.</w:t>
      </w:r>
    </w:p>
    <w:p w:rsidR="00124F79" w:rsidRDefault="00657E76">
      <w:pPr>
        <w:spacing w:line="360" w:lineRule="auto"/>
        <w:jc w:val="both"/>
        <w:rPr>
          <w:sz w:val="28"/>
        </w:rPr>
      </w:pPr>
      <w:r>
        <w:rPr>
          <w:sz w:val="28"/>
        </w:rPr>
        <w:t>2. Воронина В.П.,  Федосова С.П.  «Деньги. Банки. Кредит», Москва 2000 г.</w:t>
      </w:r>
    </w:p>
    <w:p w:rsidR="00124F79" w:rsidRDefault="00657E76">
      <w:pPr>
        <w:spacing w:line="360" w:lineRule="auto"/>
        <w:jc w:val="both"/>
        <w:rPr>
          <w:sz w:val="28"/>
        </w:rPr>
      </w:pPr>
      <w:r>
        <w:rPr>
          <w:sz w:val="28"/>
        </w:rPr>
        <w:t>3. Балабанов И.Т. «Банки и банковское дело», С.Петербург 2002 г.</w:t>
      </w:r>
    </w:p>
    <w:p w:rsidR="00124F79" w:rsidRDefault="00657E76">
      <w:pPr>
        <w:spacing w:line="360" w:lineRule="auto"/>
        <w:jc w:val="both"/>
        <w:rPr>
          <w:sz w:val="28"/>
        </w:rPr>
      </w:pPr>
      <w:r>
        <w:rPr>
          <w:sz w:val="28"/>
        </w:rPr>
        <w:t>4. «Коммерсант Рейтинг», Альманах издательского дома «Коммерсантъ» №01 (01) 2003 г.</w:t>
      </w:r>
    </w:p>
    <w:p w:rsidR="00124F79" w:rsidRDefault="00657E76">
      <w:pPr>
        <w:spacing w:line="360" w:lineRule="auto"/>
        <w:jc w:val="both"/>
        <w:rPr>
          <w:sz w:val="28"/>
        </w:rPr>
      </w:pPr>
      <w:r>
        <w:rPr>
          <w:sz w:val="28"/>
        </w:rPr>
        <w:t>5. Журнал «Эксперт» №№ 45(351), 44(350), 46(352), 38(344), 38(344), 37(343), 42(348), 43(349)</w:t>
      </w:r>
    </w:p>
    <w:p w:rsidR="00124F79" w:rsidRDefault="00657E76">
      <w:pPr>
        <w:spacing w:line="360" w:lineRule="auto"/>
        <w:jc w:val="both"/>
        <w:rPr>
          <w:sz w:val="28"/>
        </w:rPr>
      </w:pPr>
      <w:r>
        <w:rPr>
          <w:sz w:val="28"/>
        </w:rPr>
        <w:t>6. Журнал «Коммерсантъ Деньги» №№ 40(395), 42(397)</w:t>
      </w: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657E76">
      <w:pPr>
        <w:pStyle w:val="Heading1"/>
        <w:jc w:val="center"/>
        <w:rPr>
          <w:b/>
          <w:bCs/>
        </w:rPr>
      </w:pPr>
      <w:r>
        <w:rPr>
          <w:b/>
          <w:bCs/>
        </w:rPr>
        <w:t>ПРИЛОЖЕНИЯ</w:t>
      </w:r>
    </w:p>
    <w:p w:rsidR="00124F79" w:rsidRDefault="00657E76">
      <w:pPr>
        <w:pStyle w:val="Heading1"/>
        <w:jc w:val="right"/>
      </w:pPr>
      <w:r>
        <w:t>Диаграмма 1.</w:t>
      </w:r>
    </w:p>
    <w:p w:rsidR="00124F79" w:rsidRDefault="00657E76">
      <w:r>
        <w:object w:dxaOrig="9615" w:dyaOrig="10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75pt;height:524.25pt" o:ole="">
            <v:imagedata r:id="rId7" o:title=""/>
          </v:shape>
          <o:OLEObject Type="Embed" ProgID="MSGraph.Chart.8" ShapeID="_x0000_i1025" DrawAspect="Content" ObjectID="_1478778073" r:id="rId8">
            <o:FieldCodes>\s</o:FieldCodes>
          </o:OLEObject>
        </w:object>
      </w:r>
    </w:p>
    <w:p w:rsidR="00124F79" w:rsidRDefault="00657E76">
      <w:pPr>
        <w:pStyle w:val="Caption"/>
        <w:rPr>
          <w:b/>
          <w:bCs/>
        </w:rPr>
      </w:pPr>
      <w:r>
        <w:rPr>
          <w:b/>
          <w:bCs/>
        </w:rPr>
        <w:t>Источник: Рейтинговое агентство «Эксперт РА»</w:t>
      </w: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657E76">
      <w:pPr>
        <w:jc w:val="right"/>
        <w:rPr>
          <w:sz w:val="28"/>
        </w:rPr>
      </w:pPr>
      <w:r>
        <w:rPr>
          <w:sz w:val="28"/>
        </w:rPr>
        <w:t>Диаграмма 2.</w:t>
      </w:r>
    </w:p>
    <w:p w:rsidR="00124F79" w:rsidRDefault="00657E76">
      <w:pPr>
        <w:jc w:val="center"/>
      </w:pPr>
      <w:r>
        <w:object w:dxaOrig="9375" w:dyaOrig="11235">
          <v:shape id="_x0000_i1026" type="#_x0000_t75" style="width:468.75pt;height:561.75pt" o:ole="">
            <v:imagedata r:id="rId9" o:title=""/>
          </v:shape>
          <o:OLEObject Type="Embed" ProgID="MSGraph.Chart.8" ShapeID="_x0000_i1026" DrawAspect="Content" ObjectID="_1478778074" r:id="rId10">
            <o:FieldCodes>\s</o:FieldCodes>
          </o:OLEObject>
        </w:object>
      </w:r>
    </w:p>
    <w:p w:rsidR="00124F79" w:rsidRDefault="00657E76">
      <w:pPr>
        <w:rPr>
          <w:b/>
          <w:bCs/>
          <w:sz w:val="28"/>
        </w:rPr>
      </w:pPr>
      <w:r>
        <w:rPr>
          <w:b/>
          <w:bCs/>
          <w:sz w:val="28"/>
        </w:rPr>
        <w:t>Источник: Центр развития</w:t>
      </w: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tbl>
      <w:tblPr>
        <w:tblpPr w:leftFromText="180" w:rightFromText="180" w:vertAnchor="page" w:horzAnchor="margin" w:tblpXSpec="center" w:tblpY="3115"/>
        <w:tblW w:w="9590"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0A0" w:firstRow="1" w:lastRow="0" w:firstColumn="1" w:lastColumn="0" w:noHBand="0" w:noVBand="0"/>
      </w:tblPr>
      <w:tblGrid>
        <w:gridCol w:w="3708"/>
        <w:gridCol w:w="1262"/>
        <w:gridCol w:w="1173"/>
        <w:gridCol w:w="1179"/>
        <w:gridCol w:w="2268"/>
      </w:tblGrid>
      <w:tr w:rsidR="00124F79">
        <w:trPr>
          <w:trHeight w:val="646"/>
          <w:tblCellSpacing w:w="20" w:type="dxa"/>
          <w:jc w:val="center"/>
        </w:trPr>
        <w:tc>
          <w:tcPr>
            <w:tcW w:w="3648" w:type="dxa"/>
            <w:vAlign w:val="center"/>
          </w:tcPr>
          <w:p w:rsidR="00124F79" w:rsidRDefault="00124F79">
            <w:pPr>
              <w:rPr>
                <w:sz w:val="28"/>
              </w:rPr>
            </w:pPr>
          </w:p>
        </w:tc>
        <w:tc>
          <w:tcPr>
            <w:tcW w:w="1222" w:type="dxa"/>
            <w:vAlign w:val="center"/>
          </w:tcPr>
          <w:p w:rsidR="00124F79" w:rsidRDefault="00657E76">
            <w:pPr>
              <w:jc w:val="center"/>
              <w:rPr>
                <w:sz w:val="28"/>
              </w:rPr>
            </w:pPr>
            <w:r>
              <w:rPr>
                <w:sz w:val="28"/>
              </w:rPr>
              <w:t>1999 г.</w:t>
            </w:r>
          </w:p>
        </w:tc>
        <w:tc>
          <w:tcPr>
            <w:tcW w:w="1133" w:type="dxa"/>
            <w:vAlign w:val="center"/>
          </w:tcPr>
          <w:p w:rsidR="00124F79" w:rsidRDefault="00657E76">
            <w:pPr>
              <w:jc w:val="center"/>
              <w:rPr>
                <w:sz w:val="28"/>
              </w:rPr>
            </w:pPr>
            <w:r>
              <w:rPr>
                <w:sz w:val="28"/>
              </w:rPr>
              <w:t>2000 г.</w:t>
            </w:r>
          </w:p>
        </w:tc>
        <w:tc>
          <w:tcPr>
            <w:tcW w:w="1139" w:type="dxa"/>
            <w:vAlign w:val="center"/>
          </w:tcPr>
          <w:p w:rsidR="00124F79" w:rsidRDefault="00657E76">
            <w:pPr>
              <w:jc w:val="center"/>
              <w:rPr>
                <w:sz w:val="28"/>
              </w:rPr>
            </w:pPr>
            <w:r>
              <w:rPr>
                <w:sz w:val="28"/>
              </w:rPr>
              <w:t>2001 г.</w:t>
            </w:r>
          </w:p>
        </w:tc>
        <w:tc>
          <w:tcPr>
            <w:tcW w:w="2208" w:type="dxa"/>
            <w:vAlign w:val="center"/>
          </w:tcPr>
          <w:p w:rsidR="00124F79" w:rsidRDefault="00657E76">
            <w:pPr>
              <w:jc w:val="center"/>
              <w:rPr>
                <w:sz w:val="28"/>
              </w:rPr>
            </w:pPr>
            <w:r>
              <w:rPr>
                <w:sz w:val="28"/>
              </w:rPr>
              <w:t>2002 г. Первое полугодие</w:t>
            </w:r>
          </w:p>
        </w:tc>
      </w:tr>
      <w:tr w:rsidR="00124F79">
        <w:trPr>
          <w:trHeight w:val="2009"/>
          <w:tblCellSpacing w:w="20" w:type="dxa"/>
          <w:jc w:val="center"/>
        </w:trPr>
        <w:tc>
          <w:tcPr>
            <w:tcW w:w="3648" w:type="dxa"/>
            <w:vAlign w:val="center"/>
          </w:tcPr>
          <w:p w:rsidR="00124F79" w:rsidRDefault="00657E76">
            <w:pPr>
              <w:rPr>
                <w:sz w:val="28"/>
              </w:rPr>
            </w:pPr>
            <w:r>
              <w:rPr>
                <w:sz w:val="28"/>
              </w:rPr>
              <w:t xml:space="preserve"> Ставка, по которой промышленные предприятия</w:t>
            </w:r>
          </w:p>
          <w:p w:rsidR="00124F79" w:rsidRDefault="00657E76">
            <w:pPr>
              <w:rPr>
                <w:sz w:val="28"/>
              </w:rPr>
            </w:pPr>
            <w:r>
              <w:rPr>
                <w:sz w:val="28"/>
              </w:rPr>
              <w:t>готовы привлекать кредитные ресуры, расчетная.</w:t>
            </w:r>
          </w:p>
        </w:tc>
        <w:tc>
          <w:tcPr>
            <w:tcW w:w="1222" w:type="dxa"/>
            <w:vAlign w:val="center"/>
          </w:tcPr>
          <w:p w:rsidR="00124F79" w:rsidRDefault="00124F79">
            <w:pPr>
              <w:jc w:val="center"/>
              <w:rPr>
                <w:sz w:val="36"/>
              </w:rPr>
            </w:pPr>
          </w:p>
          <w:p w:rsidR="00124F79" w:rsidRDefault="00657E76">
            <w:pPr>
              <w:jc w:val="center"/>
              <w:rPr>
                <w:sz w:val="36"/>
              </w:rPr>
            </w:pPr>
            <w:r>
              <w:rPr>
                <w:sz w:val="36"/>
              </w:rPr>
              <w:t>26-33</w:t>
            </w:r>
          </w:p>
        </w:tc>
        <w:tc>
          <w:tcPr>
            <w:tcW w:w="1133" w:type="dxa"/>
            <w:vAlign w:val="center"/>
          </w:tcPr>
          <w:p w:rsidR="00124F79" w:rsidRDefault="00124F79">
            <w:pPr>
              <w:jc w:val="center"/>
              <w:rPr>
                <w:sz w:val="36"/>
              </w:rPr>
            </w:pPr>
          </w:p>
          <w:p w:rsidR="00124F79" w:rsidRDefault="00657E76">
            <w:pPr>
              <w:jc w:val="center"/>
              <w:rPr>
                <w:sz w:val="36"/>
              </w:rPr>
            </w:pPr>
            <w:r>
              <w:rPr>
                <w:sz w:val="36"/>
              </w:rPr>
              <w:t>33-38</w:t>
            </w:r>
          </w:p>
        </w:tc>
        <w:tc>
          <w:tcPr>
            <w:tcW w:w="1139" w:type="dxa"/>
            <w:vAlign w:val="center"/>
          </w:tcPr>
          <w:p w:rsidR="00124F79" w:rsidRDefault="00124F79">
            <w:pPr>
              <w:jc w:val="center"/>
              <w:rPr>
                <w:sz w:val="36"/>
              </w:rPr>
            </w:pPr>
          </w:p>
          <w:p w:rsidR="00124F79" w:rsidRDefault="00657E76">
            <w:pPr>
              <w:jc w:val="center"/>
              <w:rPr>
                <w:sz w:val="36"/>
              </w:rPr>
            </w:pPr>
            <w:r>
              <w:rPr>
                <w:sz w:val="36"/>
              </w:rPr>
              <w:t>22-24</w:t>
            </w:r>
          </w:p>
        </w:tc>
        <w:tc>
          <w:tcPr>
            <w:tcW w:w="2208" w:type="dxa"/>
            <w:vAlign w:val="center"/>
          </w:tcPr>
          <w:p w:rsidR="00124F79" w:rsidRDefault="00124F79">
            <w:pPr>
              <w:jc w:val="center"/>
              <w:rPr>
                <w:sz w:val="36"/>
              </w:rPr>
            </w:pPr>
          </w:p>
          <w:p w:rsidR="00124F79" w:rsidRDefault="00657E76">
            <w:pPr>
              <w:jc w:val="center"/>
              <w:rPr>
                <w:sz w:val="36"/>
              </w:rPr>
            </w:pPr>
            <w:r>
              <w:rPr>
                <w:sz w:val="36"/>
              </w:rPr>
              <w:t>8-11</w:t>
            </w:r>
          </w:p>
        </w:tc>
      </w:tr>
      <w:tr w:rsidR="00124F79">
        <w:trPr>
          <w:trHeight w:val="1967"/>
          <w:tblCellSpacing w:w="20" w:type="dxa"/>
          <w:jc w:val="center"/>
        </w:trPr>
        <w:tc>
          <w:tcPr>
            <w:tcW w:w="3648" w:type="dxa"/>
            <w:vAlign w:val="center"/>
          </w:tcPr>
          <w:p w:rsidR="00124F79" w:rsidRDefault="00657E76">
            <w:pPr>
              <w:rPr>
                <w:sz w:val="28"/>
              </w:rPr>
            </w:pPr>
            <w:r>
              <w:rPr>
                <w:sz w:val="28"/>
              </w:rPr>
              <w:t xml:space="preserve"> Ставка, по которой промышленные предприятия</w:t>
            </w:r>
          </w:p>
          <w:p w:rsidR="00124F79" w:rsidRDefault="00657E76">
            <w:pPr>
              <w:rPr>
                <w:sz w:val="28"/>
              </w:rPr>
            </w:pPr>
            <w:r>
              <w:rPr>
                <w:sz w:val="28"/>
              </w:rPr>
              <w:t>готовы привлекать кредитные ресурсы, опросы РЭБ.</w:t>
            </w:r>
          </w:p>
        </w:tc>
        <w:tc>
          <w:tcPr>
            <w:tcW w:w="1222" w:type="dxa"/>
            <w:vAlign w:val="center"/>
          </w:tcPr>
          <w:p w:rsidR="00124F79" w:rsidRDefault="00124F79">
            <w:pPr>
              <w:jc w:val="center"/>
              <w:rPr>
                <w:sz w:val="36"/>
              </w:rPr>
            </w:pPr>
          </w:p>
          <w:p w:rsidR="00124F79" w:rsidRDefault="00657E76">
            <w:pPr>
              <w:jc w:val="center"/>
              <w:rPr>
                <w:sz w:val="36"/>
              </w:rPr>
            </w:pPr>
            <w:r>
              <w:rPr>
                <w:sz w:val="36"/>
              </w:rPr>
              <w:t>32,8</w:t>
            </w:r>
          </w:p>
        </w:tc>
        <w:tc>
          <w:tcPr>
            <w:tcW w:w="1133" w:type="dxa"/>
            <w:vAlign w:val="center"/>
          </w:tcPr>
          <w:p w:rsidR="00124F79" w:rsidRDefault="00124F79">
            <w:pPr>
              <w:jc w:val="center"/>
              <w:rPr>
                <w:sz w:val="36"/>
              </w:rPr>
            </w:pPr>
          </w:p>
          <w:p w:rsidR="00124F79" w:rsidRDefault="00657E76">
            <w:pPr>
              <w:jc w:val="center"/>
              <w:rPr>
                <w:sz w:val="36"/>
              </w:rPr>
            </w:pPr>
            <w:r>
              <w:rPr>
                <w:sz w:val="36"/>
              </w:rPr>
              <w:t>23,8</w:t>
            </w:r>
          </w:p>
        </w:tc>
        <w:tc>
          <w:tcPr>
            <w:tcW w:w="1139" w:type="dxa"/>
            <w:vAlign w:val="center"/>
          </w:tcPr>
          <w:p w:rsidR="00124F79" w:rsidRDefault="00124F79">
            <w:pPr>
              <w:jc w:val="center"/>
              <w:rPr>
                <w:sz w:val="36"/>
              </w:rPr>
            </w:pPr>
          </w:p>
          <w:p w:rsidR="00124F79" w:rsidRDefault="00657E76">
            <w:pPr>
              <w:jc w:val="center"/>
              <w:rPr>
                <w:sz w:val="36"/>
              </w:rPr>
            </w:pPr>
            <w:r>
              <w:rPr>
                <w:sz w:val="36"/>
              </w:rPr>
              <w:t>19,7</w:t>
            </w:r>
          </w:p>
        </w:tc>
        <w:tc>
          <w:tcPr>
            <w:tcW w:w="2208" w:type="dxa"/>
            <w:vAlign w:val="center"/>
          </w:tcPr>
          <w:p w:rsidR="00124F79" w:rsidRDefault="00124F79">
            <w:pPr>
              <w:jc w:val="center"/>
              <w:rPr>
                <w:sz w:val="36"/>
              </w:rPr>
            </w:pPr>
          </w:p>
          <w:p w:rsidR="00124F79" w:rsidRDefault="00657E76">
            <w:pPr>
              <w:jc w:val="center"/>
              <w:rPr>
                <w:sz w:val="36"/>
              </w:rPr>
            </w:pPr>
            <w:r>
              <w:rPr>
                <w:sz w:val="36"/>
              </w:rPr>
              <w:t>19,5</w:t>
            </w:r>
          </w:p>
        </w:tc>
      </w:tr>
      <w:tr w:rsidR="00124F79">
        <w:trPr>
          <w:trHeight w:val="1440"/>
          <w:tblCellSpacing w:w="20" w:type="dxa"/>
          <w:jc w:val="center"/>
        </w:trPr>
        <w:tc>
          <w:tcPr>
            <w:tcW w:w="3648" w:type="dxa"/>
            <w:vAlign w:val="center"/>
          </w:tcPr>
          <w:p w:rsidR="00124F79" w:rsidRDefault="00657E76">
            <w:pPr>
              <w:rPr>
                <w:sz w:val="28"/>
              </w:rPr>
            </w:pPr>
            <w:r>
              <w:rPr>
                <w:sz w:val="28"/>
              </w:rPr>
              <w:t xml:space="preserve"> Средняя фактическая ставка по рублевым кредитам.</w:t>
            </w:r>
          </w:p>
        </w:tc>
        <w:tc>
          <w:tcPr>
            <w:tcW w:w="1222" w:type="dxa"/>
            <w:vAlign w:val="center"/>
          </w:tcPr>
          <w:p w:rsidR="00124F79" w:rsidRDefault="00124F79">
            <w:pPr>
              <w:jc w:val="center"/>
              <w:rPr>
                <w:sz w:val="36"/>
              </w:rPr>
            </w:pPr>
          </w:p>
          <w:p w:rsidR="00124F79" w:rsidRDefault="00657E76">
            <w:pPr>
              <w:jc w:val="center"/>
              <w:rPr>
                <w:sz w:val="36"/>
              </w:rPr>
            </w:pPr>
            <w:r>
              <w:rPr>
                <w:sz w:val="36"/>
              </w:rPr>
              <w:t>38,1</w:t>
            </w:r>
          </w:p>
        </w:tc>
        <w:tc>
          <w:tcPr>
            <w:tcW w:w="1133" w:type="dxa"/>
            <w:vAlign w:val="center"/>
          </w:tcPr>
          <w:p w:rsidR="00124F79" w:rsidRDefault="00124F79">
            <w:pPr>
              <w:jc w:val="center"/>
              <w:rPr>
                <w:sz w:val="36"/>
              </w:rPr>
            </w:pPr>
          </w:p>
          <w:p w:rsidR="00124F79" w:rsidRDefault="00657E76">
            <w:pPr>
              <w:jc w:val="center"/>
              <w:rPr>
                <w:sz w:val="36"/>
              </w:rPr>
            </w:pPr>
            <w:r>
              <w:rPr>
                <w:sz w:val="36"/>
              </w:rPr>
              <w:t>24,3</w:t>
            </w:r>
          </w:p>
        </w:tc>
        <w:tc>
          <w:tcPr>
            <w:tcW w:w="1139" w:type="dxa"/>
            <w:vAlign w:val="center"/>
          </w:tcPr>
          <w:p w:rsidR="00124F79" w:rsidRDefault="00124F79">
            <w:pPr>
              <w:jc w:val="center"/>
              <w:rPr>
                <w:sz w:val="36"/>
              </w:rPr>
            </w:pPr>
          </w:p>
          <w:p w:rsidR="00124F79" w:rsidRDefault="00657E76">
            <w:pPr>
              <w:jc w:val="center"/>
              <w:rPr>
                <w:sz w:val="36"/>
              </w:rPr>
            </w:pPr>
            <w:r>
              <w:rPr>
                <w:sz w:val="36"/>
              </w:rPr>
              <w:t>17,9</w:t>
            </w:r>
          </w:p>
        </w:tc>
        <w:tc>
          <w:tcPr>
            <w:tcW w:w="2208" w:type="dxa"/>
            <w:vAlign w:val="center"/>
          </w:tcPr>
          <w:p w:rsidR="00124F79" w:rsidRDefault="00124F79">
            <w:pPr>
              <w:jc w:val="center"/>
              <w:rPr>
                <w:sz w:val="36"/>
              </w:rPr>
            </w:pPr>
          </w:p>
          <w:p w:rsidR="00124F79" w:rsidRDefault="00657E76">
            <w:pPr>
              <w:jc w:val="center"/>
              <w:rPr>
                <w:sz w:val="36"/>
              </w:rPr>
            </w:pPr>
            <w:r>
              <w:rPr>
                <w:sz w:val="36"/>
              </w:rPr>
              <w:t>17,1</w:t>
            </w:r>
          </w:p>
        </w:tc>
      </w:tr>
    </w:tbl>
    <w:p w:rsidR="00124F79" w:rsidRDefault="00657E76">
      <w:pPr>
        <w:pStyle w:val="BodyText"/>
        <w:jc w:val="right"/>
      </w:pPr>
      <w:r>
        <w:t>Таблица 1.</w:t>
      </w:r>
    </w:p>
    <w:p w:rsidR="00124F79" w:rsidRDefault="00124F79">
      <w:pPr>
        <w:pStyle w:val="BodyText"/>
      </w:pPr>
    </w:p>
    <w:p w:rsidR="00124F79" w:rsidRDefault="00657E76">
      <w:pPr>
        <w:pStyle w:val="BodyText"/>
        <w:rPr>
          <w:b/>
          <w:bCs/>
        </w:rPr>
      </w:pPr>
      <w:r>
        <w:rPr>
          <w:b/>
          <w:bCs/>
        </w:rPr>
        <w:t>Предельные ставки привлечения и ставки предложения кредитных ресурсов (% годовых).</w:t>
      </w:r>
    </w:p>
    <w:p w:rsidR="00124F79" w:rsidRDefault="00124F79">
      <w:pPr>
        <w:pStyle w:val="BodyText"/>
      </w:pPr>
    </w:p>
    <w:p w:rsidR="00124F79" w:rsidRDefault="00124F79">
      <w:pPr>
        <w:pStyle w:val="BodyText"/>
      </w:pPr>
    </w:p>
    <w:p w:rsidR="00124F79" w:rsidRDefault="00657E76">
      <w:pPr>
        <w:pStyle w:val="BodyText"/>
        <w:rPr>
          <w:b/>
          <w:bCs/>
        </w:rPr>
      </w:pPr>
      <w:r>
        <w:rPr>
          <w:b/>
          <w:bCs/>
        </w:rPr>
        <w:t>Источник Госкомстат России, Банк России, РЭБ, расчеты Центра развития.</w:t>
      </w: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124F79">
      <w:pPr>
        <w:spacing w:line="360" w:lineRule="auto"/>
        <w:jc w:val="both"/>
        <w:rPr>
          <w:sz w:val="28"/>
        </w:rPr>
      </w:pPr>
    </w:p>
    <w:p w:rsidR="00124F79" w:rsidRDefault="00657E76">
      <w:pPr>
        <w:jc w:val="right"/>
        <w:rPr>
          <w:sz w:val="28"/>
        </w:rPr>
      </w:pPr>
      <w:r>
        <w:rPr>
          <w:sz w:val="28"/>
        </w:rPr>
        <w:t>Таблица 2.</w:t>
      </w:r>
    </w:p>
    <w:p w:rsidR="00124F79" w:rsidRDefault="00124F79">
      <w:pPr>
        <w:rPr>
          <w:b/>
          <w:bCs/>
          <w:sz w:val="28"/>
        </w:rPr>
      </w:pPr>
    </w:p>
    <w:p w:rsidR="00124F79" w:rsidRDefault="00657E76">
      <w:pPr>
        <w:jc w:val="center"/>
        <w:rPr>
          <w:b/>
          <w:bCs/>
          <w:sz w:val="28"/>
        </w:rPr>
      </w:pPr>
      <w:r>
        <w:rPr>
          <w:b/>
          <w:bCs/>
          <w:sz w:val="28"/>
        </w:rPr>
        <w:t>Банки с наибольшей эффективностью кредитных операций.</w:t>
      </w:r>
    </w:p>
    <w:p w:rsidR="00124F79" w:rsidRDefault="00124F79">
      <w:pPr>
        <w:rPr>
          <w:sz w:val="28"/>
        </w:rPr>
      </w:pPr>
    </w:p>
    <w:tbl>
      <w:tblPr>
        <w:tblW w:w="1006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883"/>
        <w:gridCol w:w="2520"/>
        <w:gridCol w:w="1800"/>
        <w:gridCol w:w="1716"/>
        <w:gridCol w:w="1340"/>
        <w:gridCol w:w="1804"/>
      </w:tblGrid>
      <w:tr w:rsidR="00124F79">
        <w:trPr>
          <w:tblCellSpacing w:w="20" w:type="dxa"/>
        </w:trPr>
        <w:tc>
          <w:tcPr>
            <w:tcW w:w="823" w:type="dxa"/>
            <w:vAlign w:val="center"/>
          </w:tcPr>
          <w:p w:rsidR="00124F79" w:rsidRDefault="00657E76">
            <w:pPr>
              <w:jc w:val="center"/>
              <w:rPr>
                <w:sz w:val="28"/>
              </w:rPr>
            </w:pPr>
            <w:r>
              <w:rPr>
                <w:sz w:val="28"/>
              </w:rPr>
              <w:t>№ п./п.</w:t>
            </w:r>
          </w:p>
        </w:tc>
        <w:tc>
          <w:tcPr>
            <w:tcW w:w="2480" w:type="dxa"/>
            <w:vAlign w:val="center"/>
          </w:tcPr>
          <w:p w:rsidR="00124F79" w:rsidRDefault="00657E76">
            <w:pPr>
              <w:pStyle w:val="Heading2"/>
            </w:pPr>
            <w:r>
              <w:t>Банк</w:t>
            </w:r>
          </w:p>
        </w:tc>
        <w:tc>
          <w:tcPr>
            <w:tcW w:w="1760" w:type="dxa"/>
            <w:vAlign w:val="center"/>
          </w:tcPr>
          <w:p w:rsidR="00124F79" w:rsidRDefault="00657E76">
            <w:pPr>
              <w:jc w:val="center"/>
              <w:rPr>
                <w:sz w:val="28"/>
              </w:rPr>
            </w:pPr>
            <w:r>
              <w:rPr>
                <w:sz w:val="28"/>
              </w:rPr>
              <w:t>Доходность</w:t>
            </w:r>
          </w:p>
          <w:p w:rsidR="00124F79" w:rsidRDefault="00657E76">
            <w:pPr>
              <w:jc w:val="center"/>
              <w:rPr>
                <w:sz w:val="28"/>
              </w:rPr>
            </w:pPr>
            <w:r>
              <w:rPr>
                <w:sz w:val="28"/>
              </w:rPr>
              <w:t>кредитов</w:t>
            </w:r>
          </w:p>
          <w:p w:rsidR="00124F79" w:rsidRDefault="00657E76">
            <w:pPr>
              <w:jc w:val="center"/>
              <w:rPr>
                <w:sz w:val="28"/>
              </w:rPr>
            </w:pPr>
            <w:r>
              <w:rPr>
                <w:sz w:val="28"/>
              </w:rPr>
              <w:t>(% годовых)</w:t>
            </w:r>
          </w:p>
        </w:tc>
        <w:tc>
          <w:tcPr>
            <w:tcW w:w="1676" w:type="dxa"/>
          </w:tcPr>
          <w:p w:rsidR="00124F79" w:rsidRDefault="00657E76">
            <w:pPr>
              <w:jc w:val="center"/>
              <w:rPr>
                <w:sz w:val="28"/>
              </w:rPr>
            </w:pPr>
            <w:r>
              <w:rPr>
                <w:sz w:val="28"/>
              </w:rPr>
              <w:t>Чистая доходность кредитов (% годовых)</w:t>
            </w:r>
          </w:p>
        </w:tc>
        <w:tc>
          <w:tcPr>
            <w:tcW w:w="1300" w:type="dxa"/>
            <w:vAlign w:val="center"/>
          </w:tcPr>
          <w:p w:rsidR="00124F79" w:rsidRDefault="00657E76">
            <w:pPr>
              <w:jc w:val="center"/>
              <w:rPr>
                <w:sz w:val="28"/>
              </w:rPr>
            </w:pPr>
            <w:r>
              <w:rPr>
                <w:sz w:val="28"/>
              </w:rPr>
              <w:t>Кредиты</w:t>
            </w:r>
          </w:p>
          <w:p w:rsidR="00124F79" w:rsidRDefault="00657E76">
            <w:pPr>
              <w:jc w:val="center"/>
              <w:rPr>
                <w:sz w:val="28"/>
              </w:rPr>
            </w:pPr>
            <w:r>
              <w:rPr>
                <w:sz w:val="28"/>
              </w:rPr>
              <w:t>к активам</w:t>
            </w:r>
          </w:p>
          <w:p w:rsidR="00124F79" w:rsidRDefault="00657E76">
            <w:pPr>
              <w:jc w:val="center"/>
              <w:rPr>
                <w:sz w:val="28"/>
              </w:rPr>
            </w:pPr>
            <w:r>
              <w:rPr>
                <w:sz w:val="28"/>
              </w:rPr>
              <w:t>(%)</w:t>
            </w:r>
          </w:p>
        </w:tc>
        <w:tc>
          <w:tcPr>
            <w:tcW w:w="1744" w:type="dxa"/>
            <w:vAlign w:val="center"/>
          </w:tcPr>
          <w:p w:rsidR="00124F79" w:rsidRDefault="00657E76">
            <w:pPr>
              <w:jc w:val="center"/>
              <w:rPr>
                <w:sz w:val="28"/>
              </w:rPr>
            </w:pPr>
            <w:r>
              <w:rPr>
                <w:sz w:val="28"/>
              </w:rPr>
              <w:t>Доля</w:t>
            </w:r>
          </w:p>
          <w:p w:rsidR="00124F79" w:rsidRDefault="00657E76">
            <w:pPr>
              <w:jc w:val="center"/>
              <w:rPr>
                <w:sz w:val="28"/>
              </w:rPr>
            </w:pPr>
            <w:r>
              <w:rPr>
                <w:sz w:val="28"/>
              </w:rPr>
              <w:t>процентных</w:t>
            </w:r>
          </w:p>
          <w:p w:rsidR="00124F79" w:rsidRDefault="00657E76">
            <w:pPr>
              <w:jc w:val="center"/>
              <w:rPr>
                <w:sz w:val="28"/>
              </w:rPr>
            </w:pPr>
            <w:r>
              <w:rPr>
                <w:sz w:val="28"/>
              </w:rPr>
              <w:t>доходов (%)</w:t>
            </w:r>
          </w:p>
        </w:tc>
      </w:tr>
      <w:tr w:rsidR="00124F79">
        <w:trPr>
          <w:tblCellSpacing w:w="20" w:type="dxa"/>
        </w:trPr>
        <w:tc>
          <w:tcPr>
            <w:tcW w:w="823" w:type="dxa"/>
            <w:vAlign w:val="center"/>
          </w:tcPr>
          <w:p w:rsidR="00124F79" w:rsidRDefault="00657E76">
            <w:pPr>
              <w:jc w:val="center"/>
              <w:rPr>
                <w:sz w:val="28"/>
              </w:rPr>
            </w:pPr>
            <w:r>
              <w:rPr>
                <w:sz w:val="28"/>
              </w:rPr>
              <w:t>1</w:t>
            </w:r>
          </w:p>
        </w:tc>
        <w:tc>
          <w:tcPr>
            <w:tcW w:w="2480" w:type="dxa"/>
            <w:vAlign w:val="center"/>
          </w:tcPr>
          <w:p w:rsidR="00124F79" w:rsidRDefault="00657E76">
            <w:pPr>
              <w:jc w:val="center"/>
              <w:rPr>
                <w:sz w:val="28"/>
              </w:rPr>
            </w:pPr>
            <w:r>
              <w:rPr>
                <w:sz w:val="28"/>
              </w:rPr>
              <w:t>«Возрождение»</w:t>
            </w:r>
          </w:p>
        </w:tc>
        <w:tc>
          <w:tcPr>
            <w:tcW w:w="1760" w:type="dxa"/>
            <w:vAlign w:val="center"/>
          </w:tcPr>
          <w:p w:rsidR="00124F79" w:rsidRDefault="00657E76">
            <w:pPr>
              <w:jc w:val="center"/>
              <w:rPr>
                <w:sz w:val="28"/>
              </w:rPr>
            </w:pPr>
            <w:r>
              <w:rPr>
                <w:sz w:val="28"/>
              </w:rPr>
              <w:t>23,7</w:t>
            </w:r>
          </w:p>
        </w:tc>
        <w:tc>
          <w:tcPr>
            <w:tcW w:w="1676" w:type="dxa"/>
          </w:tcPr>
          <w:p w:rsidR="00124F79" w:rsidRDefault="00657E76">
            <w:pPr>
              <w:jc w:val="center"/>
              <w:rPr>
                <w:sz w:val="28"/>
              </w:rPr>
            </w:pPr>
            <w:r>
              <w:rPr>
                <w:sz w:val="28"/>
              </w:rPr>
              <w:t>7,3</w:t>
            </w:r>
          </w:p>
        </w:tc>
        <w:tc>
          <w:tcPr>
            <w:tcW w:w="1300" w:type="dxa"/>
            <w:vAlign w:val="center"/>
          </w:tcPr>
          <w:p w:rsidR="00124F79" w:rsidRDefault="00657E76">
            <w:pPr>
              <w:jc w:val="center"/>
              <w:rPr>
                <w:sz w:val="28"/>
              </w:rPr>
            </w:pPr>
            <w:r>
              <w:rPr>
                <w:sz w:val="28"/>
              </w:rPr>
              <w:t>60,8</w:t>
            </w:r>
          </w:p>
        </w:tc>
        <w:tc>
          <w:tcPr>
            <w:tcW w:w="1744" w:type="dxa"/>
            <w:vAlign w:val="center"/>
          </w:tcPr>
          <w:p w:rsidR="00124F79" w:rsidRDefault="00657E76">
            <w:pPr>
              <w:jc w:val="center"/>
              <w:rPr>
                <w:sz w:val="28"/>
              </w:rPr>
            </w:pPr>
            <w:r>
              <w:rPr>
                <w:sz w:val="28"/>
              </w:rPr>
              <w:t>38,0</w:t>
            </w:r>
          </w:p>
        </w:tc>
      </w:tr>
      <w:tr w:rsidR="00124F79">
        <w:trPr>
          <w:tblCellSpacing w:w="20" w:type="dxa"/>
        </w:trPr>
        <w:tc>
          <w:tcPr>
            <w:tcW w:w="823" w:type="dxa"/>
            <w:vAlign w:val="center"/>
          </w:tcPr>
          <w:p w:rsidR="00124F79" w:rsidRDefault="00657E76">
            <w:pPr>
              <w:jc w:val="center"/>
              <w:rPr>
                <w:sz w:val="28"/>
              </w:rPr>
            </w:pPr>
            <w:r>
              <w:rPr>
                <w:sz w:val="28"/>
              </w:rPr>
              <w:t>2</w:t>
            </w:r>
          </w:p>
        </w:tc>
        <w:tc>
          <w:tcPr>
            <w:tcW w:w="2480" w:type="dxa"/>
            <w:vAlign w:val="center"/>
          </w:tcPr>
          <w:p w:rsidR="00124F79" w:rsidRDefault="00657E76">
            <w:pPr>
              <w:jc w:val="center"/>
              <w:rPr>
                <w:sz w:val="28"/>
              </w:rPr>
            </w:pPr>
            <w:r>
              <w:rPr>
                <w:sz w:val="28"/>
              </w:rPr>
              <w:t>«Менатеп СПб»</w:t>
            </w:r>
          </w:p>
        </w:tc>
        <w:tc>
          <w:tcPr>
            <w:tcW w:w="1760" w:type="dxa"/>
            <w:vAlign w:val="center"/>
          </w:tcPr>
          <w:p w:rsidR="00124F79" w:rsidRDefault="00657E76">
            <w:pPr>
              <w:jc w:val="center"/>
              <w:rPr>
                <w:sz w:val="28"/>
              </w:rPr>
            </w:pPr>
            <w:r>
              <w:rPr>
                <w:sz w:val="28"/>
              </w:rPr>
              <w:t>21,1</w:t>
            </w:r>
          </w:p>
        </w:tc>
        <w:tc>
          <w:tcPr>
            <w:tcW w:w="1676" w:type="dxa"/>
          </w:tcPr>
          <w:p w:rsidR="00124F79" w:rsidRDefault="00657E76">
            <w:pPr>
              <w:jc w:val="center"/>
              <w:rPr>
                <w:sz w:val="28"/>
              </w:rPr>
            </w:pPr>
            <w:r>
              <w:rPr>
                <w:sz w:val="28"/>
              </w:rPr>
              <w:t>16,1</w:t>
            </w:r>
          </w:p>
        </w:tc>
        <w:tc>
          <w:tcPr>
            <w:tcW w:w="1300" w:type="dxa"/>
            <w:vAlign w:val="center"/>
          </w:tcPr>
          <w:p w:rsidR="00124F79" w:rsidRDefault="00657E76">
            <w:pPr>
              <w:jc w:val="center"/>
              <w:rPr>
                <w:sz w:val="28"/>
              </w:rPr>
            </w:pPr>
            <w:r>
              <w:rPr>
                <w:sz w:val="28"/>
              </w:rPr>
              <w:t>61,9</w:t>
            </w:r>
          </w:p>
        </w:tc>
        <w:tc>
          <w:tcPr>
            <w:tcW w:w="1744" w:type="dxa"/>
            <w:vAlign w:val="center"/>
          </w:tcPr>
          <w:p w:rsidR="00124F79" w:rsidRDefault="00657E76">
            <w:pPr>
              <w:jc w:val="center"/>
              <w:rPr>
                <w:sz w:val="28"/>
              </w:rPr>
            </w:pPr>
            <w:r>
              <w:rPr>
                <w:sz w:val="28"/>
              </w:rPr>
              <w:t>33,9</w:t>
            </w:r>
          </w:p>
        </w:tc>
      </w:tr>
      <w:tr w:rsidR="00124F79">
        <w:trPr>
          <w:tblCellSpacing w:w="20" w:type="dxa"/>
        </w:trPr>
        <w:tc>
          <w:tcPr>
            <w:tcW w:w="823" w:type="dxa"/>
            <w:vAlign w:val="center"/>
          </w:tcPr>
          <w:p w:rsidR="00124F79" w:rsidRDefault="00657E76">
            <w:pPr>
              <w:jc w:val="center"/>
              <w:rPr>
                <w:sz w:val="28"/>
              </w:rPr>
            </w:pPr>
            <w:r>
              <w:rPr>
                <w:sz w:val="28"/>
              </w:rPr>
              <w:t>3</w:t>
            </w:r>
          </w:p>
        </w:tc>
        <w:tc>
          <w:tcPr>
            <w:tcW w:w="2480" w:type="dxa"/>
            <w:vAlign w:val="center"/>
          </w:tcPr>
          <w:p w:rsidR="00124F79" w:rsidRDefault="00657E76">
            <w:pPr>
              <w:jc w:val="center"/>
              <w:rPr>
                <w:sz w:val="28"/>
              </w:rPr>
            </w:pPr>
            <w:r>
              <w:rPr>
                <w:sz w:val="28"/>
              </w:rPr>
              <w:t>Транскредитбанк</w:t>
            </w:r>
          </w:p>
        </w:tc>
        <w:tc>
          <w:tcPr>
            <w:tcW w:w="1760" w:type="dxa"/>
            <w:vAlign w:val="center"/>
          </w:tcPr>
          <w:p w:rsidR="00124F79" w:rsidRDefault="00657E76">
            <w:pPr>
              <w:jc w:val="center"/>
              <w:rPr>
                <w:sz w:val="28"/>
              </w:rPr>
            </w:pPr>
            <w:r>
              <w:rPr>
                <w:sz w:val="28"/>
              </w:rPr>
              <w:t>18,4</w:t>
            </w:r>
          </w:p>
        </w:tc>
        <w:tc>
          <w:tcPr>
            <w:tcW w:w="1676" w:type="dxa"/>
          </w:tcPr>
          <w:p w:rsidR="00124F79" w:rsidRDefault="00657E76">
            <w:pPr>
              <w:jc w:val="center"/>
              <w:rPr>
                <w:sz w:val="28"/>
              </w:rPr>
            </w:pPr>
            <w:r>
              <w:rPr>
                <w:sz w:val="28"/>
              </w:rPr>
              <w:t>17,5</w:t>
            </w:r>
          </w:p>
        </w:tc>
        <w:tc>
          <w:tcPr>
            <w:tcW w:w="1300" w:type="dxa"/>
            <w:vAlign w:val="center"/>
          </w:tcPr>
          <w:p w:rsidR="00124F79" w:rsidRDefault="00657E76">
            <w:pPr>
              <w:jc w:val="center"/>
              <w:rPr>
                <w:sz w:val="28"/>
              </w:rPr>
            </w:pPr>
            <w:r>
              <w:rPr>
                <w:sz w:val="28"/>
              </w:rPr>
              <w:t>56,1</w:t>
            </w:r>
          </w:p>
        </w:tc>
        <w:tc>
          <w:tcPr>
            <w:tcW w:w="1744" w:type="dxa"/>
            <w:vAlign w:val="center"/>
          </w:tcPr>
          <w:p w:rsidR="00124F79" w:rsidRDefault="00657E76">
            <w:pPr>
              <w:jc w:val="center"/>
              <w:rPr>
                <w:sz w:val="28"/>
              </w:rPr>
            </w:pPr>
            <w:r>
              <w:rPr>
                <w:sz w:val="28"/>
              </w:rPr>
              <w:t>45,0</w:t>
            </w:r>
          </w:p>
        </w:tc>
      </w:tr>
      <w:tr w:rsidR="00124F79">
        <w:trPr>
          <w:tblCellSpacing w:w="20" w:type="dxa"/>
        </w:trPr>
        <w:tc>
          <w:tcPr>
            <w:tcW w:w="823" w:type="dxa"/>
            <w:vAlign w:val="center"/>
          </w:tcPr>
          <w:p w:rsidR="00124F79" w:rsidRDefault="00657E76">
            <w:pPr>
              <w:jc w:val="center"/>
              <w:rPr>
                <w:sz w:val="28"/>
              </w:rPr>
            </w:pPr>
            <w:r>
              <w:rPr>
                <w:sz w:val="28"/>
              </w:rPr>
              <w:t>4</w:t>
            </w:r>
          </w:p>
        </w:tc>
        <w:tc>
          <w:tcPr>
            <w:tcW w:w="2480" w:type="dxa"/>
            <w:vAlign w:val="center"/>
          </w:tcPr>
          <w:p w:rsidR="00124F79" w:rsidRDefault="00657E76">
            <w:pPr>
              <w:jc w:val="center"/>
              <w:rPr>
                <w:sz w:val="28"/>
              </w:rPr>
            </w:pPr>
            <w:r>
              <w:rPr>
                <w:sz w:val="28"/>
              </w:rPr>
              <w:t>Автобанк</w:t>
            </w:r>
          </w:p>
        </w:tc>
        <w:tc>
          <w:tcPr>
            <w:tcW w:w="1760" w:type="dxa"/>
            <w:vAlign w:val="center"/>
          </w:tcPr>
          <w:p w:rsidR="00124F79" w:rsidRDefault="00657E76">
            <w:pPr>
              <w:jc w:val="center"/>
              <w:rPr>
                <w:sz w:val="28"/>
              </w:rPr>
            </w:pPr>
            <w:r>
              <w:rPr>
                <w:sz w:val="28"/>
              </w:rPr>
              <w:t>17,3</w:t>
            </w:r>
          </w:p>
        </w:tc>
        <w:tc>
          <w:tcPr>
            <w:tcW w:w="1676" w:type="dxa"/>
          </w:tcPr>
          <w:p w:rsidR="00124F79" w:rsidRDefault="00657E76">
            <w:pPr>
              <w:jc w:val="center"/>
              <w:rPr>
                <w:sz w:val="28"/>
              </w:rPr>
            </w:pPr>
            <w:r>
              <w:rPr>
                <w:sz w:val="28"/>
              </w:rPr>
              <w:t>10,2</w:t>
            </w:r>
          </w:p>
        </w:tc>
        <w:tc>
          <w:tcPr>
            <w:tcW w:w="1300" w:type="dxa"/>
            <w:vAlign w:val="center"/>
          </w:tcPr>
          <w:p w:rsidR="00124F79" w:rsidRDefault="00657E76">
            <w:pPr>
              <w:jc w:val="center"/>
              <w:rPr>
                <w:sz w:val="28"/>
              </w:rPr>
            </w:pPr>
            <w:r>
              <w:rPr>
                <w:sz w:val="28"/>
              </w:rPr>
              <w:t>58,9</w:t>
            </w:r>
          </w:p>
        </w:tc>
        <w:tc>
          <w:tcPr>
            <w:tcW w:w="1744" w:type="dxa"/>
            <w:vAlign w:val="center"/>
          </w:tcPr>
          <w:p w:rsidR="00124F79" w:rsidRDefault="00657E76">
            <w:pPr>
              <w:jc w:val="center"/>
              <w:rPr>
                <w:sz w:val="28"/>
              </w:rPr>
            </w:pPr>
            <w:r>
              <w:rPr>
                <w:sz w:val="28"/>
              </w:rPr>
              <w:t>29,3</w:t>
            </w:r>
          </w:p>
        </w:tc>
      </w:tr>
      <w:tr w:rsidR="00124F79">
        <w:trPr>
          <w:tblCellSpacing w:w="20" w:type="dxa"/>
        </w:trPr>
        <w:tc>
          <w:tcPr>
            <w:tcW w:w="823" w:type="dxa"/>
            <w:vAlign w:val="center"/>
          </w:tcPr>
          <w:p w:rsidR="00124F79" w:rsidRDefault="00657E76">
            <w:pPr>
              <w:jc w:val="center"/>
              <w:rPr>
                <w:sz w:val="28"/>
              </w:rPr>
            </w:pPr>
            <w:r>
              <w:rPr>
                <w:sz w:val="28"/>
              </w:rPr>
              <w:t>5</w:t>
            </w:r>
          </w:p>
        </w:tc>
        <w:tc>
          <w:tcPr>
            <w:tcW w:w="2480" w:type="dxa"/>
            <w:vAlign w:val="center"/>
          </w:tcPr>
          <w:p w:rsidR="00124F79" w:rsidRDefault="00657E76">
            <w:pPr>
              <w:jc w:val="center"/>
              <w:rPr>
                <w:sz w:val="28"/>
              </w:rPr>
            </w:pPr>
            <w:r>
              <w:rPr>
                <w:sz w:val="28"/>
              </w:rPr>
              <w:t>Сбербанк</w:t>
            </w:r>
          </w:p>
        </w:tc>
        <w:tc>
          <w:tcPr>
            <w:tcW w:w="1760" w:type="dxa"/>
            <w:vAlign w:val="center"/>
          </w:tcPr>
          <w:p w:rsidR="00124F79" w:rsidRDefault="00657E76">
            <w:pPr>
              <w:jc w:val="center"/>
              <w:rPr>
                <w:sz w:val="28"/>
              </w:rPr>
            </w:pPr>
            <w:r>
              <w:rPr>
                <w:sz w:val="28"/>
              </w:rPr>
              <w:t>17,1</w:t>
            </w:r>
          </w:p>
        </w:tc>
        <w:tc>
          <w:tcPr>
            <w:tcW w:w="1676" w:type="dxa"/>
          </w:tcPr>
          <w:p w:rsidR="00124F79" w:rsidRDefault="00657E76">
            <w:pPr>
              <w:jc w:val="center"/>
              <w:rPr>
                <w:sz w:val="28"/>
              </w:rPr>
            </w:pPr>
            <w:r>
              <w:rPr>
                <w:sz w:val="28"/>
              </w:rPr>
              <w:t>7,5</w:t>
            </w:r>
          </w:p>
        </w:tc>
        <w:tc>
          <w:tcPr>
            <w:tcW w:w="1300" w:type="dxa"/>
            <w:vAlign w:val="center"/>
          </w:tcPr>
          <w:p w:rsidR="00124F79" w:rsidRDefault="00657E76">
            <w:pPr>
              <w:jc w:val="center"/>
              <w:rPr>
                <w:sz w:val="28"/>
              </w:rPr>
            </w:pPr>
            <w:r>
              <w:rPr>
                <w:sz w:val="28"/>
              </w:rPr>
              <w:t>50,3</w:t>
            </w:r>
          </w:p>
        </w:tc>
        <w:tc>
          <w:tcPr>
            <w:tcW w:w="1744" w:type="dxa"/>
            <w:vAlign w:val="center"/>
          </w:tcPr>
          <w:p w:rsidR="00124F79" w:rsidRDefault="00657E76">
            <w:pPr>
              <w:jc w:val="center"/>
              <w:rPr>
                <w:sz w:val="28"/>
              </w:rPr>
            </w:pPr>
            <w:r>
              <w:rPr>
                <w:sz w:val="28"/>
              </w:rPr>
              <w:t>22,7</w:t>
            </w:r>
          </w:p>
        </w:tc>
      </w:tr>
      <w:tr w:rsidR="00124F79">
        <w:trPr>
          <w:tblCellSpacing w:w="20" w:type="dxa"/>
        </w:trPr>
        <w:tc>
          <w:tcPr>
            <w:tcW w:w="823" w:type="dxa"/>
            <w:vAlign w:val="center"/>
          </w:tcPr>
          <w:p w:rsidR="00124F79" w:rsidRDefault="00657E76">
            <w:pPr>
              <w:jc w:val="center"/>
              <w:rPr>
                <w:sz w:val="28"/>
              </w:rPr>
            </w:pPr>
            <w:r>
              <w:rPr>
                <w:sz w:val="28"/>
              </w:rPr>
              <w:t>6</w:t>
            </w:r>
          </w:p>
        </w:tc>
        <w:tc>
          <w:tcPr>
            <w:tcW w:w="2480" w:type="dxa"/>
            <w:vAlign w:val="center"/>
          </w:tcPr>
          <w:p w:rsidR="00124F79" w:rsidRDefault="00657E76">
            <w:pPr>
              <w:jc w:val="center"/>
              <w:rPr>
                <w:sz w:val="28"/>
              </w:rPr>
            </w:pPr>
            <w:r>
              <w:rPr>
                <w:sz w:val="28"/>
              </w:rPr>
              <w:t>Промсвязьбанк</w:t>
            </w:r>
          </w:p>
        </w:tc>
        <w:tc>
          <w:tcPr>
            <w:tcW w:w="1760" w:type="dxa"/>
            <w:vAlign w:val="center"/>
          </w:tcPr>
          <w:p w:rsidR="00124F79" w:rsidRDefault="00657E76">
            <w:pPr>
              <w:jc w:val="center"/>
              <w:rPr>
                <w:sz w:val="28"/>
              </w:rPr>
            </w:pPr>
            <w:r>
              <w:rPr>
                <w:sz w:val="28"/>
              </w:rPr>
              <w:t>16,6</w:t>
            </w:r>
          </w:p>
        </w:tc>
        <w:tc>
          <w:tcPr>
            <w:tcW w:w="1676" w:type="dxa"/>
          </w:tcPr>
          <w:p w:rsidR="00124F79" w:rsidRDefault="00657E76">
            <w:pPr>
              <w:jc w:val="center"/>
              <w:rPr>
                <w:sz w:val="28"/>
              </w:rPr>
            </w:pPr>
            <w:r>
              <w:rPr>
                <w:sz w:val="28"/>
              </w:rPr>
              <w:t>13,1</w:t>
            </w:r>
          </w:p>
        </w:tc>
        <w:tc>
          <w:tcPr>
            <w:tcW w:w="1300" w:type="dxa"/>
            <w:vAlign w:val="center"/>
          </w:tcPr>
          <w:p w:rsidR="00124F79" w:rsidRDefault="00657E76">
            <w:pPr>
              <w:jc w:val="center"/>
              <w:rPr>
                <w:sz w:val="28"/>
              </w:rPr>
            </w:pPr>
            <w:r>
              <w:rPr>
                <w:sz w:val="28"/>
              </w:rPr>
              <w:t>50,5</w:t>
            </w:r>
          </w:p>
        </w:tc>
        <w:tc>
          <w:tcPr>
            <w:tcW w:w="1744" w:type="dxa"/>
            <w:vAlign w:val="center"/>
          </w:tcPr>
          <w:p w:rsidR="00124F79" w:rsidRDefault="00657E76">
            <w:pPr>
              <w:jc w:val="center"/>
              <w:rPr>
                <w:sz w:val="28"/>
              </w:rPr>
            </w:pPr>
            <w:r>
              <w:rPr>
                <w:sz w:val="28"/>
              </w:rPr>
              <w:t>20,8</w:t>
            </w:r>
          </w:p>
        </w:tc>
      </w:tr>
      <w:tr w:rsidR="00124F79">
        <w:trPr>
          <w:tblCellSpacing w:w="20" w:type="dxa"/>
        </w:trPr>
        <w:tc>
          <w:tcPr>
            <w:tcW w:w="823" w:type="dxa"/>
            <w:vAlign w:val="center"/>
          </w:tcPr>
          <w:p w:rsidR="00124F79" w:rsidRDefault="00657E76">
            <w:pPr>
              <w:jc w:val="center"/>
              <w:rPr>
                <w:sz w:val="28"/>
              </w:rPr>
            </w:pPr>
            <w:r>
              <w:rPr>
                <w:sz w:val="28"/>
              </w:rPr>
              <w:t>7</w:t>
            </w:r>
          </w:p>
        </w:tc>
        <w:tc>
          <w:tcPr>
            <w:tcW w:w="2480" w:type="dxa"/>
            <w:vAlign w:val="center"/>
          </w:tcPr>
          <w:p w:rsidR="00124F79" w:rsidRDefault="00657E76">
            <w:pPr>
              <w:jc w:val="center"/>
              <w:rPr>
                <w:sz w:val="28"/>
              </w:rPr>
            </w:pPr>
            <w:r>
              <w:rPr>
                <w:sz w:val="28"/>
              </w:rPr>
              <w:t>Импексбанк</w:t>
            </w:r>
          </w:p>
        </w:tc>
        <w:tc>
          <w:tcPr>
            <w:tcW w:w="1760" w:type="dxa"/>
            <w:vAlign w:val="center"/>
          </w:tcPr>
          <w:p w:rsidR="00124F79" w:rsidRDefault="00657E76">
            <w:pPr>
              <w:jc w:val="center"/>
              <w:rPr>
                <w:sz w:val="28"/>
              </w:rPr>
            </w:pPr>
            <w:r>
              <w:rPr>
                <w:sz w:val="28"/>
              </w:rPr>
              <w:t>16,5</w:t>
            </w:r>
          </w:p>
        </w:tc>
        <w:tc>
          <w:tcPr>
            <w:tcW w:w="1676" w:type="dxa"/>
          </w:tcPr>
          <w:p w:rsidR="00124F79" w:rsidRDefault="00657E76">
            <w:pPr>
              <w:jc w:val="center"/>
              <w:rPr>
                <w:sz w:val="28"/>
              </w:rPr>
            </w:pPr>
            <w:r>
              <w:rPr>
                <w:sz w:val="28"/>
              </w:rPr>
              <w:t>12,0</w:t>
            </w:r>
          </w:p>
        </w:tc>
        <w:tc>
          <w:tcPr>
            <w:tcW w:w="1300" w:type="dxa"/>
            <w:vAlign w:val="center"/>
          </w:tcPr>
          <w:p w:rsidR="00124F79" w:rsidRDefault="00657E76">
            <w:pPr>
              <w:jc w:val="center"/>
              <w:rPr>
                <w:sz w:val="28"/>
              </w:rPr>
            </w:pPr>
            <w:r>
              <w:rPr>
                <w:sz w:val="28"/>
              </w:rPr>
              <w:t>45,6</w:t>
            </w:r>
          </w:p>
        </w:tc>
        <w:tc>
          <w:tcPr>
            <w:tcW w:w="1744" w:type="dxa"/>
            <w:vAlign w:val="center"/>
          </w:tcPr>
          <w:p w:rsidR="00124F79" w:rsidRDefault="00657E76">
            <w:pPr>
              <w:jc w:val="center"/>
              <w:rPr>
                <w:sz w:val="28"/>
              </w:rPr>
            </w:pPr>
            <w:r>
              <w:rPr>
                <w:sz w:val="28"/>
              </w:rPr>
              <w:t>28,2</w:t>
            </w:r>
          </w:p>
        </w:tc>
      </w:tr>
      <w:tr w:rsidR="00124F79">
        <w:trPr>
          <w:tblCellSpacing w:w="20" w:type="dxa"/>
        </w:trPr>
        <w:tc>
          <w:tcPr>
            <w:tcW w:w="823" w:type="dxa"/>
            <w:vAlign w:val="center"/>
          </w:tcPr>
          <w:p w:rsidR="00124F79" w:rsidRDefault="00657E76">
            <w:pPr>
              <w:jc w:val="center"/>
              <w:rPr>
                <w:sz w:val="28"/>
              </w:rPr>
            </w:pPr>
            <w:r>
              <w:rPr>
                <w:sz w:val="28"/>
              </w:rPr>
              <w:t>8</w:t>
            </w:r>
          </w:p>
        </w:tc>
        <w:tc>
          <w:tcPr>
            <w:tcW w:w="2480" w:type="dxa"/>
            <w:vAlign w:val="center"/>
          </w:tcPr>
          <w:p w:rsidR="00124F79" w:rsidRDefault="00657E76">
            <w:pPr>
              <w:jc w:val="center"/>
              <w:rPr>
                <w:sz w:val="28"/>
              </w:rPr>
            </w:pPr>
            <w:r>
              <w:rPr>
                <w:sz w:val="28"/>
              </w:rPr>
              <w:t>БИН</w:t>
            </w:r>
          </w:p>
        </w:tc>
        <w:tc>
          <w:tcPr>
            <w:tcW w:w="1760" w:type="dxa"/>
            <w:vAlign w:val="center"/>
          </w:tcPr>
          <w:p w:rsidR="00124F79" w:rsidRDefault="00657E76">
            <w:pPr>
              <w:jc w:val="center"/>
              <w:rPr>
                <w:sz w:val="28"/>
              </w:rPr>
            </w:pPr>
            <w:r>
              <w:rPr>
                <w:sz w:val="28"/>
              </w:rPr>
              <w:t>15,1</w:t>
            </w:r>
          </w:p>
        </w:tc>
        <w:tc>
          <w:tcPr>
            <w:tcW w:w="1676" w:type="dxa"/>
          </w:tcPr>
          <w:p w:rsidR="00124F79" w:rsidRDefault="00657E76">
            <w:pPr>
              <w:jc w:val="center"/>
              <w:rPr>
                <w:sz w:val="28"/>
              </w:rPr>
            </w:pPr>
            <w:r>
              <w:rPr>
                <w:sz w:val="28"/>
              </w:rPr>
              <w:t>12,1</w:t>
            </w:r>
          </w:p>
        </w:tc>
        <w:tc>
          <w:tcPr>
            <w:tcW w:w="1300" w:type="dxa"/>
            <w:vAlign w:val="center"/>
          </w:tcPr>
          <w:p w:rsidR="00124F79" w:rsidRDefault="00657E76">
            <w:pPr>
              <w:jc w:val="center"/>
              <w:rPr>
                <w:sz w:val="28"/>
              </w:rPr>
            </w:pPr>
            <w:r>
              <w:rPr>
                <w:sz w:val="28"/>
              </w:rPr>
              <w:t>55,9</w:t>
            </w:r>
          </w:p>
        </w:tc>
        <w:tc>
          <w:tcPr>
            <w:tcW w:w="1744" w:type="dxa"/>
            <w:vAlign w:val="center"/>
          </w:tcPr>
          <w:p w:rsidR="00124F79" w:rsidRDefault="00657E76">
            <w:pPr>
              <w:jc w:val="center"/>
              <w:rPr>
                <w:sz w:val="28"/>
              </w:rPr>
            </w:pPr>
            <w:r>
              <w:rPr>
                <w:sz w:val="28"/>
              </w:rPr>
              <w:t>25,8</w:t>
            </w:r>
          </w:p>
        </w:tc>
      </w:tr>
      <w:tr w:rsidR="00124F79">
        <w:trPr>
          <w:tblCellSpacing w:w="20" w:type="dxa"/>
        </w:trPr>
        <w:tc>
          <w:tcPr>
            <w:tcW w:w="823" w:type="dxa"/>
            <w:vAlign w:val="center"/>
          </w:tcPr>
          <w:p w:rsidR="00124F79" w:rsidRDefault="00657E76">
            <w:pPr>
              <w:jc w:val="center"/>
              <w:rPr>
                <w:sz w:val="28"/>
              </w:rPr>
            </w:pPr>
            <w:r>
              <w:rPr>
                <w:sz w:val="28"/>
              </w:rPr>
              <w:t>9</w:t>
            </w:r>
          </w:p>
        </w:tc>
        <w:tc>
          <w:tcPr>
            <w:tcW w:w="2480" w:type="dxa"/>
            <w:vAlign w:val="center"/>
          </w:tcPr>
          <w:p w:rsidR="00124F79" w:rsidRDefault="00657E76">
            <w:pPr>
              <w:jc w:val="center"/>
              <w:rPr>
                <w:sz w:val="28"/>
              </w:rPr>
            </w:pPr>
            <w:r>
              <w:rPr>
                <w:sz w:val="28"/>
              </w:rPr>
              <w:t>ДиБ</w:t>
            </w:r>
          </w:p>
        </w:tc>
        <w:tc>
          <w:tcPr>
            <w:tcW w:w="1760" w:type="dxa"/>
            <w:vAlign w:val="center"/>
          </w:tcPr>
          <w:p w:rsidR="00124F79" w:rsidRDefault="00657E76">
            <w:pPr>
              <w:jc w:val="center"/>
              <w:rPr>
                <w:sz w:val="28"/>
              </w:rPr>
            </w:pPr>
            <w:r>
              <w:rPr>
                <w:sz w:val="28"/>
              </w:rPr>
              <w:t>15,0</w:t>
            </w:r>
          </w:p>
        </w:tc>
        <w:tc>
          <w:tcPr>
            <w:tcW w:w="1676" w:type="dxa"/>
          </w:tcPr>
          <w:p w:rsidR="00124F79" w:rsidRDefault="00657E76">
            <w:pPr>
              <w:jc w:val="center"/>
              <w:rPr>
                <w:sz w:val="28"/>
              </w:rPr>
            </w:pPr>
            <w:r>
              <w:rPr>
                <w:sz w:val="28"/>
              </w:rPr>
              <w:t>10,4</w:t>
            </w:r>
          </w:p>
        </w:tc>
        <w:tc>
          <w:tcPr>
            <w:tcW w:w="1300" w:type="dxa"/>
            <w:vAlign w:val="center"/>
          </w:tcPr>
          <w:p w:rsidR="00124F79" w:rsidRDefault="00657E76">
            <w:pPr>
              <w:jc w:val="center"/>
              <w:rPr>
                <w:sz w:val="28"/>
              </w:rPr>
            </w:pPr>
            <w:r>
              <w:rPr>
                <w:sz w:val="28"/>
              </w:rPr>
              <w:t>44,0</w:t>
            </w:r>
          </w:p>
        </w:tc>
        <w:tc>
          <w:tcPr>
            <w:tcW w:w="1744" w:type="dxa"/>
            <w:vAlign w:val="center"/>
          </w:tcPr>
          <w:p w:rsidR="00124F79" w:rsidRDefault="00657E76">
            <w:pPr>
              <w:jc w:val="center"/>
              <w:rPr>
                <w:sz w:val="28"/>
              </w:rPr>
            </w:pPr>
            <w:r>
              <w:rPr>
                <w:sz w:val="28"/>
              </w:rPr>
              <w:t>16,1</w:t>
            </w:r>
          </w:p>
        </w:tc>
      </w:tr>
      <w:tr w:rsidR="00124F79">
        <w:trPr>
          <w:tblCellSpacing w:w="20" w:type="dxa"/>
        </w:trPr>
        <w:tc>
          <w:tcPr>
            <w:tcW w:w="823" w:type="dxa"/>
            <w:vAlign w:val="center"/>
          </w:tcPr>
          <w:p w:rsidR="00124F79" w:rsidRDefault="00657E76">
            <w:pPr>
              <w:jc w:val="center"/>
              <w:rPr>
                <w:sz w:val="28"/>
              </w:rPr>
            </w:pPr>
            <w:r>
              <w:rPr>
                <w:sz w:val="28"/>
              </w:rPr>
              <w:t>10</w:t>
            </w:r>
          </w:p>
        </w:tc>
        <w:tc>
          <w:tcPr>
            <w:tcW w:w="2480" w:type="dxa"/>
            <w:vAlign w:val="center"/>
          </w:tcPr>
          <w:p w:rsidR="00124F79" w:rsidRDefault="00657E76">
            <w:pPr>
              <w:jc w:val="center"/>
              <w:rPr>
                <w:sz w:val="28"/>
              </w:rPr>
            </w:pPr>
            <w:r>
              <w:rPr>
                <w:sz w:val="28"/>
              </w:rPr>
              <w:t>«Петрокоммерц»</w:t>
            </w:r>
          </w:p>
        </w:tc>
        <w:tc>
          <w:tcPr>
            <w:tcW w:w="1760" w:type="dxa"/>
            <w:vAlign w:val="center"/>
          </w:tcPr>
          <w:p w:rsidR="00124F79" w:rsidRDefault="00657E76">
            <w:pPr>
              <w:jc w:val="center"/>
              <w:rPr>
                <w:sz w:val="28"/>
              </w:rPr>
            </w:pPr>
            <w:r>
              <w:rPr>
                <w:sz w:val="28"/>
              </w:rPr>
              <w:t>14,9</w:t>
            </w:r>
          </w:p>
        </w:tc>
        <w:tc>
          <w:tcPr>
            <w:tcW w:w="1676" w:type="dxa"/>
          </w:tcPr>
          <w:p w:rsidR="00124F79" w:rsidRDefault="00657E76">
            <w:pPr>
              <w:jc w:val="center"/>
              <w:rPr>
                <w:sz w:val="28"/>
              </w:rPr>
            </w:pPr>
            <w:r>
              <w:rPr>
                <w:sz w:val="28"/>
              </w:rPr>
              <w:t>12,9</w:t>
            </w:r>
          </w:p>
        </w:tc>
        <w:tc>
          <w:tcPr>
            <w:tcW w:w="1300" w:type="dxa"/>
            <w:vAlign w:val="center"/>
          </w:tcPr>
          <w:p w:rsidR="00124F79" w:rsidRDefault="00657E76">
            <w:pPr>
              <w:jc w:val="center"/>
              <w:rPr>
                <w:sz w:val="28"/>
              </w:rPr>
            </w:pPr>
            <w:r>
              <w:rPr>
                <w:sz w:val="28"/>
              </w:rPr>
              <w:t>58,0</w:t>
            </w:r>
          </w:p>
        </w:tc>
        <w:tc>
          <w:tcPr>
            <w:tcW w:w="1744" w:type="dxa"/>
            <w:vAlign w:val="center"/>
          </w:tcPr>
          <w:p w:rsidR="00124F79" w:rsidRDefault="00657E76">
            <w:pPr>
              <w:jc w:val="center"/>
              <w:rPr>
                <w:sz w:val="28"/>
              </w:rPr>
            </w:pPr>
            <w:r>
              <w:rPr>
                <w:sz w:val="28"/>
              </w:rPr>
              <w:t>20,6</w:t>
            </w:r>
          </w:p>
        </w:tc>
      </w:tr>
      <w:tr w:rsidR="00124F79">
        <w:trPr>
          <w:tblCellSpacing w:w="20" w:type="dxa"/>
        </w:trPr>
        <w:tc>
          <w:tcPr>
            <w:tcW w:w="823" w:type="dxa"/>
            <w:vAlign w:val="center"/>
          </w:tcPr>
          <w:p w:rsidR="00124F79" w:rsidRDefault="00657E76">
            <w:pPr>
              <w:jc w:val="center"/>
              <w:rPr>
                <w:sz w:val="28"/>
              </w:rPr>
            </w:pPr>
            <w:r>
              <w:rPr>
                <w:sz w:val="28"/>
              </w:rPr>
              <w:t>11</w:t>
            </w:r>
          </w:p>
        </w:tc>
        <w:tc>
          <w:tcPr>
            <w:tcW w:w="2480" w:type="dxa"/>
            <w:vAlign w:val="center"/>
          </w:tcPr>
          <w:p w:rsidR="00124F79" w:rsidRDefault="00657E76">
            <w:pPr>
              <w:jc w:val="center"/>
              <w:rPr>
                <w:sz w:val="28"/>
              </w:rPr>
            </w:pPr>
            <w:r>
              <w:rPr>
                <w:sz w:val="28"/>
              </w:rPr>
              <w:t>Промстройбанк СПб</w:t>
            </w:r>
          </w:p>
        </w:tc>
        <w:tc>
          <w:tcPr>
            <w:tcW w:w="1760" w:type="dxa"/>
            <w:vAlign w:val="center"/>
          </w:tcPr>
          <w:p w:rsidR="00124F79" w:rsidRDefault="00657E76">
            <w:pPr>
              <w:jc w:val="center"/>
              <w:rPr>
                <w:sz w:val="28"/>
              </w:rPr>
            </w:pPr>
            <w:r>
              <w:rPr>
                <w:sz w:val="28"/>
              </w:rPr>
              <w:t>14,7</w:t>
            </w:r>
          </w:p>
        </w:tc>
        <w:tc>
          <w:tcPr>
            <w:tcW w:w="1676" w:type="dxa"/>
          </w:tcPr>
          <w:p w:rsidR="00124F79" w:rsidRDefault="00657E76">
            <w:pPr>
              <w:jc w:val="center"/>
              <w:rPr>
                <w:sz w:val="28"/>
              </w:rPr>
            </w:pPr>
            <w:r>
              <w:rPr>
                <w:sz w:val="28"/>
              </w:rPr>
              <w:t>12,4</w:t>
            </w:r>
          </w:p>
        </w:tc>
        <w:tc>
          <w:tcPr>
            <w:tcW w:w="1300" w:type="dxa"/>
            <w:vAlign w:val="center"/>
          </w:tcPr>
          <w:p w:rsidR="00124F79" w:rsidRDefault="00657E76">
            <w:pPr>
              <w:jc w:val="center"/>
              <w:rPr>
                <w:sz w:val="28"/>
              </w:rPr>
            </w:pPr>
            <w:r>
              <w:rPr>
                <w:sz w:val="28"/>
              </w:rPr>
              <w:t>49,6</w:t>
            </w:r>
          </w:p>
        </w:tc>
        <w:tc>
          <w:tcPr>
            <w:tcW w:w="1744" w:type="dxa"/>
            <w:vAlign w:val="center"/>
          </w:tcPr>
          <w:p w:rsidR="00124F79" w:rsidRDefault="00657E76">
            <w:pPr>
              <w:jc w:val="center"/>
              <w:rPr>
                <w:sz w:val="28"/>
              </w:rPr>
            </w:pPr>
            <w:r>
              <w:rPr>
                <w:sz w:val="28"/>
              </w:rPr>
              <w:t>22,2</w:t>
            </w:r>
          </w:p>
        </w:tc>
      </w:tr>
      <w:tr w:rsidR="00124F79">
        <w:trPr>
          <w:tblCellSpacing w:w="20" w:type="dxa"/>
        </w:trPr>
        <w:tc>
          <w:tcPr>
            <w:tcW w:w="823" w:type="dxa"/>
            <w:vAlign w:val="center"/>
          </w:tcPr>
          <w:p w:rsidR="00124F79" w:rsidRDefault="00657E76">
            <w:pPr>
              <w:jc w:val="center"/>
              <w:rPr>
                <w:sz w:val="28"/>
              </w:rPr>
            </w:pPr>
            <w:r>
              <w:rPr>
                <w:sz w:val="28"/>
              </w:rPr>
              <w:t>12</w:t>
            </w:r>
          </w:p>
        </w:tc>
        <w:tc>
          <w:tcPr>
            <w:tcW w:w="2480" w:type="dxa"/>
            <w:vAlign w:val="center"/>
          </w:tcPr>
          <w:p w:rsidR="00124F79" w:rsidRDefault="00657E76">
            <w:pPr>
              <w:jc w:val="center"/>
              <w:rPr>
                <w:sz w:val="28"/>
              </w:rPr>
            </w:pPr>
            <w:r>
              <w:rPr>
                <w:sz w:val="28"/>
              </w:rPr>
              <w:t>«Уралсиб»</w:t>
            </w:r>
          </w:p>
        </w:tc>
        <w:tc>
          <w:tcPr>
            <w:tcW w:w="1760" w:type="dxa"/>
            <w:vAlign w:val="center"/>
          </w:tcPr>
          <w:p w:rsidR="00124F79" w:rsidRDefault="00657E76">
            <w:pPr>
              <w:jc w:val="center"/>
              <w:rPr>
                <w:sz w:val="28"/>
              </w:rPr>
            </w:pPr>
            <w:r>
              <w:rPr>
                <w:sz w:val="28"/>
              </w:rPr>
              <w:t>14,6</w:t>
            </w:r>
          </w:p>
        </w:tc>
        <w:tc>
          <w:tcPr>
            <w:tcW w:w="1676" w:type="dxa"/>
          </w:tcPr>
          <w:p w:rsidR="00124F79" w:rsidRDefault="00657E76">
            <w:pPr>
              <w:jc w:val="center"/>
              <w:rPr>
                <w:sz w:val="28"/>
              </w:rPr>
            </w:pPr>
            <w:r>
              <w:rPr>
                <w:sz w:val="28"/>
              </w:rPr>
              <w:t>11,3</w:t>
            </w:r>
          </w:p>
        </w:tc>
        <w:tc>
          <w:tcPr>
            <w:tcW w:w="1300" w:type="dxa"/>
            <w:vAlign w:val="center"/>
          </w:tcPr>
          <w:p w:rsidR="00124F79" w:rsidRDefault="00657E76">
            <w:pPr>
              <w:jc w:val="center"/>
              <w:rPr>
                <w:sz w:val="28"/>
              </w:rPr>
            </w:pPr>
            <w:r>
              <w:rPr>
                <w:sz w:val="28"/>
              </w:rPr>
              <w:t>45,5</w:t>
            </w:r>
          </w:p>
        </w:tc>
        <w:tc>
          <w:tcPr>
            <w:tcW w:w="1744" w:type="dxa"/>
            <w:vAlign w:val="center"/>
          </w:tcPr>
          <w:p w:rsidR="00124F79" w:rsidRDefault="00657E76">
            <w:pPr>
              <w:jc w:val="center"/>
              <w:rPr>
                <w:sz w:val="28"/>
              </w:rPr>
            </w:pPr>
            <w:r>
              <w:rPr>
                <w:sz w:val="28"/>
              </w:rPr>
              <w:t>17,7</w:t>
            </w:r>
          </w:p>
        </w:tc>
      </w:tr>
      <w:tr w:rsidR="00124F79">
        <w:trPr>
          <w:tblCellSpacing w:w="20" w:type="dxa"/>
        </w:trPr>
        <w:tc>
          <w:tcPr>
            <w:tcW w:w="823" w:type="dxa"/>
            <w:vAlign w:val="center"/>
          </w:tcPr>
          <w:p w:rsidR="00124F79" w:rsidRDefault="00657E76">
            <w:pPr>
              <w:jc w:val="center"/>
              <w:rPr>
                <w:sz w:val="28"/>
              </w:rPr>
            </w:pPr>
            <w:r>
              <w:rPr>
                <w:sz w:val="28"/>
              </w:rPr>
              <w:t>13</w:t>
            </w:r>
          </w:p>
        </w:tc>
        <w:tc>
          <w:tcPr>
            <w:tcW w:w="2480" w:type="dxa"/>
            <w:vAlign w:val="center"/>
          </w:tcPr>
          <w:p w:rsidR="00124F79" w:rsidRDefault="00657E76">
            <w:pPr>
              <w:jc w:val="center"/>
              <w:rPr>
                <w:sz w:val="28"/>
              </w:rPr>
            </w:pPr>
            <w:r>
              <w:rPr>
                <w:sz w:val="28"/>
              </w:rPr>
              <w:t>ИБГ «НИКоил»</w:t>
            </w:r>
          </w:p>
        </w:tc>
        <w:tc>
          <w:tcPr>
            <w:tcW w:w="1760" w:type="dxa"/>
            <w:vAlign w:val="center"/>
          </w:tcPr>
          <w:p w:rsidR="00124F79" w:rsidRDefault="00657E76">
            <w:pPr>
              <w:jc w:val="center"/>
              <w:rPr>
                <w:sz w:val="28"/>
              </w:rPr>
            </w:pPr>
            <w:r>
              <w:rPr>
                <w:sz w:val="28"/>
              </w:rPr>
              <w:t>14,4</w:t>
            </w:r>
          </w:p>
        </w:tc>
        <w:tc>
          <w:tcPr>
            <w:tcW w:w="1676" w:type="dxa"/>
          </w:tcPr>
          <w:p w:rsidR="00124F79" w:rsidRDefault="00657E76">
            <w:pPr>
              <w:jc w:val="center"/>
              <w:rPr>
                <w:sz w:val="28"/>
              </w:rPr>
            </w:pPr>
            <w:r>
              <w:rPr>
                <w:sz w:val="28"/>
              </w:rPr>
              <w:t>9,9</w:t>
            </w:r>
          </w:p>
        </w:tc>
        <w:tc>
          <w:tcPr>
            <w:tcW w:w="1300" w:type="dxa"/>
            <w:vAlign w:val="center"/>
          </w:tcPr>
          <w:p w:rsidR="00124F79" w:rsidRDefault="00657E76">
            <w:pPr>
              <w:jc w:val="center"/>
              <w:rPr>
                <w:sz w:val="28"/>
              </w:rPr>
            </w:pPr>
            <w:r>
              <w:rPr>
                <w:sz w:val="28"/>
              </w:rPr>
              <w:t>46,1</w:t>
            </w:r>
          </w:p>
        </w:tc>
        <w:tc>
          <w:tcPr>
            <w:tcW w:w="1744" w:type="dxa"/>
            <w:vAlign w:val="center"/>
          </w:tcPr>
          <w:p w:rsidR="00124F79" w:rsidRDefault="00657E76">
            <w:pPr>
              <w:jc w:val="center"/>
              <w:rPr>
                <w:sz w:val="28"/>
              </w:rPr>
            </w:pPr>
            <w:r>
              <w:rPr>
                <w:sz w:val="28"/>
              </w:rPr>
              <w:t>17,6</w:t>
            </w:r>
          </w:p>
        </w:tc>
      </w:tr>
      <w:tr w:rsidR="00124F79">
        <w:trPr>
          <w:tblCellSpacing w:w="20" w:type="dxa"/>
        </w:trPr>
        <w:tc>
          <w:tcPr>
            <w:tcW w:w="823" w:type="dxa"/>
            <w:vAlign w:val="center"/>
          </w:tcPr>
          <w:p w:rsidR="00124F79" w:rsidRDefault="00657E76">
            <w:pPr>
              <w:jc w:val="center"/>
              <w:rPr>
                <w:sz w:val="28"/>
              </w:rPr>
            </w:pPr>
            <w:r>
              <w:rPr>
                <w:sz w:val="28"/>
              </w:rPr>
              <w:t>14</w:t>
            </w:r>
          </w:p>
        </w:tc>
        <w:tc>
          <w:tcPr>
            <w:tcW w:w="2480" w:type="dxa"/>
            <w:vAlign w:val="center"/>
          </w:tcPr>
          <w:p w:rsidR="00124F79" w:rsidRDefault="00657E76">
            <w:pPr>
              <w:jc w:val="center"/>
              <w:rPr>
                <w:sz w:val="28"/>
              </w:rPr>
            </w:pPr>
            <w:r>
              <w:rPr>
                <w:sz w:val="28"/>
              </w:rPr>
              <w:t>Сургутнефтегазбанк</w:t>
            </w:r>
          </w:p>
        </w:tc>
        <w:tc>
          <w:tcPr>
            <w:tcW w:w="1760" w:type="dxa"/>
            <w:vAlign w:val="center"/>
          </w:tcPr>
          <w:p w:rsidR="00124F79" w:rsidRDefault="00657E76">
            <w:pPr>
              <w:jc w:val="center"/>
              <w:rPr>
                <w:sz w:val="28"/>
              </w:rPr>
            </w:pPr>
            <w:r>
              <w:rPr>
                <w:sz w:val="28"/>
              </w:rPr>
              <w:t>14,4</w:t>
            </w:r>
          </w:p>
        </w:tc>
        <w:tc>
          <w:tcPr>
            <w:tcW w:w="1676" w:type="dxa"/>
          </w:tcPr>
          <w:p w:rsidR="00124F79" w:rsidRDefault="00657E76">
            <w:pPr>
              <w:jc w:val="center"/>
              <w:rPr>
                <w:sz w:val="28"/>
              </w:rPr>
            </w:pPr>
            <w:r>
              <w:rPr>
                <w:sz w:val="28"/>
              </w:rPr>
              <w:t>13,5</w:t>
            </w:r>
          </w:p>
        </w:tc>
        <w:tc>
          <w:tcPr>
            <w:tcW w:w="1300" w:type="dxa"/>
            <w:vAlign w:val="center"/>
          </w:tcPr>
          <w:p w:rsidR="00124F79" w:rsidRDefault="00657E76">
            <w:pPr>
              <w:jc w:val="center"/>
              <w:rPr>
                <w:sz w:val="28"/>
              </w:rPr>
            </w:pPr>
            <w:r>
              <w:rPr>
                <w:sz w:val="28"/>
              </w:rPr>
              <w:t>26,9</w:t>
            </w:r>
          </w:p>
        </w:tc>
        <w:tc>
          <w:tcPr>
            <w:tcW w:w="1744" w:type="dxa"/>
            <w:vAlign w:val="center"/>
          </w:tcPr>
          <w:p w:rsidR="00124F79" w:rsidRDefault="00657E76">
            <w:pPr>
              <w:jc w:val="center"/>
              <w:rPr>
                <w:sz w:val="28"/>
              </w:rPr>
            </w:pPr>
            <w:r>
              <w:rPr>
                <w:sz w:val="28"/>
              </w:rPr>
              <w:t>14,9</w:t>
            </w:r>
          </w:p>
        </w:tc>
      </w:tr>
      <w:tr w:rsidR="00124F79">
        <w:trPr>
          <w:tblCellSpacing w:w="20" w:type="dxa"/>
        </w:trPr>
        <w:tc>
          <w:tcPr>
            <w:tcW w:w="823" w:type="dxa"/>
            <w:vAlign w:val="center"/>
          </w:tcPr>
          <w:p w:rsidR="00124F79" w:rsidRDefault="00657E76">
            <w:pPr>
              <w:jc w:val="center"/>
              <w:rPr>
                <w:sz w:val="28"/>
              </w:rPr>
            </w:pPr>
            <w:r>
              <w:rPr>
                <w:sz w:val="28"/>
              </w:rPr>
              <w:t>15</w:t>
            </w:r>
          </w:p>
        </w:tc>
        <w:tc>
          <w:tcPr>
            <w:tcW w:w="2480" w:type="dxa"/>
            <w:vAlign w:val="center"/>
          </w:tcPr>
          <w:p w:rsidR="00124F79" w:rsidRDefault="00657E76">
            <w:pPr>
              <w:jc w:val="center"/>
              <w:rPr>
                <w:sz w:val="28"/>
              </w:rPr>
            </w:pPr>
            <w:r>
              <w:rPr>
                <w:sz w:val="28"/>
              </w:rPr>
              <w:t>«АК Барс»</w:t>
            </w:r>
          </w:p>
        </w:tc>
        <w:tc>
          <w:tcPr>
            <w:tcW w:w="1760" w:type="dxa"/>
            <w:vAlign w:val="center"/>
          </w:tcPr>
          <w:p w:rsidR="00124F79" w:rsidRDefault="00657E76">
            <w:pPr>
              <w:jc w:val="center"/>
              <w:rPr>
                <w:sz w:val="28"/>
              </w:rPr>
            </w:pPr>
            <w:r>
              <w:rPr>
                <w:sz w:val="28"/>
              </w:rPr>
              <w:t>14,0</w:t>
            </w:r>
          </w:p>
        </w:tc>
        <w:tc>
          <w:tcPr>
            <w:tcW w:w="1676" w:type="dxa"/>
          </w:tcPr>
          <w:p w:rsidR="00124F79" w:rsidRDefault="00657E76">
            <w:pPr>
              <w:jc w:val="center"/>
              <w:rPr>
                <w:sz w:val="28"/>
              </w:rPr>
            </w:pPr>
            <w:r>
              <w:rPr>
                <w:sz w:val="28"/>
              </w:rPr>
              <w:t>13,3</w:t>
            </w:r>
          </w:p>
        </w:tc>
        <w:tc>
          <w:tcPr>
            <w:tcW w:w="1300" w:type="dxa"/>
            <w:vAlign w:val="center"/>
          </w:tcPr>
          <w:p w:rsidR="00124F79" w:rsidRDefault="00657E76">
            <w:pPr>
              <w:jc w:val="center"/>
              <w:rPr>
                <w:sz w:val="28"/>
              </w:rPr>
            </w:pPr>
            <w:r>
              <w:rPr>
                <w:sz w:val="28"/>
              </w:rPr>
              <w:t>47,9</w:t>
            </w:r>
          </w:p>
        </w:tc>
        <w:tc>
          <w:tcPr>
            <w:tcW w:w="1744" w:type="dxa"/>
            <w:vAlign w:val="center"/>
          </w:tcPr>
          <w:p w:rsidR="00124F79" w:rsidRDefault="00657E76">
            <w:pPr>
              <w:jc w:val="center"/>
              <w:rPr>
                <w:sz w:val="28"/>
              </w:rPr>
            </w:pPr>
            <w:r>
              <w:rPr>
                <w:sz w:val="28"/>
              </w:rPr>
              <w:t>17,9</w:t>
            </w:r>
          </w:p>
        </w:tc>
      </w:tr>
    </w:tbl>
    <w:p w:rsidR="00124F79" w:rsidRDefault="00124F79">
      <w:pPr>
        <w:rPr>
          <w:b/>
          <w:bCs/>
          <w:sz w:val="28"/>
        </w:rPr>
      </w:pPr>
    </w:p>
    <w:p w:rsidR="00124F79" w:rsidRDefault="00657E76">
      <w:pPr>
        <w:pStyle w:val="Heading1"/>
        <w:rPr>
          <w:b/>
          <w:bCs/>
        </w:rPr>
      </w:pPr>
      <w:r>
        <w:rPr>
          <w:b/>
          <w:bCs/>
        </w:rPr>
        <w:t>Источник: рейтинговое агентство «Эксперт РА»</w:t>
      </w:r>
    </w:p>
    <w:p w:rsidR="00124F79" w:rsidRDefault="00657E76">
      <w:pPr>
        <w:pStyle w:val="BodyText"/>
      </w:pPr>
      <w:r>
        <w:t>В качестве оценки эффективности проведения кредитных операций принята доходность кредитного портфеля - отношение процентных доходов к объему выданных кредитов в годовом выражении. Этот показатель наиболее полно характеризует эффективность именно кредитных операций, тогда как другой часто используемый при анализе эффективности банковской деятельности показатель - чистая доходность кредитов (отношение чистого процентного дохода к кредитному портфелю) - затрагивает не только активные, но и пассивные операции. («Эксперт РА»)</w:t>
      </w:r>
    </w:p>
    <w:p w:rsidR="00124F79" w:rsidRDefault="00124F79">
      <w:pPr>
        <w:spacing w:line="360" w:lineRule="auto"/>
        <w:jc w:val="both"/>
        <w:rPr>
          <w:sz w:val="28"/>
        </w:rPr>
      </w:pPr>
      <w:bookmarkStart w:id="0" w:name="_GoBack"/>
      <w:bookmarkEnd w:id="0"/>
    </w:p>
    <w:sectPr w:rsidR="00124F79">
      <w:headerReference w:type="even" r:id="rId11"/>
      <w:headerReference w:type="default" r:id="rId12"/>
      <w:footerReference w:type="even" r:id="rId13"/>
      <w:footerReference w:type="default" r:id="rId1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F79" w:rsidRDefault="00657E76">
      <w:r>
        <w:separator/>
      </w:r>
    </w:p>
  </w:endnote>
  <w:endnote w:type="continuationSeparator" w:id="0">
    <w:p w:rsidR="00124F79" w:rsidRDefault="0065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79" w:rsidRDefault="00657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4F79" w:rsidRDefault="00124F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79" w:rsidRDefault="00657E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124F79" w:rsidRDefault="00124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F79" w:rsidRDefault="00657E76">
      <w:r>
        <w:separator/>
      </w:r>
    </w:p>
  </w:footnote>
  <w:footnote w:type="continuationSeparator" w:id="0">
    <w:p w:rsidR="00124F79" w:rsidRDefault="00657E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79" w:rsidRDefault="00657E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4F79" w:rsidRDefault="00124F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F79" w:rsidRDefault="00657E7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rsidR="00124F79" w:rsidRDefault="00124F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F706B"/>
    <w:multiLevelType w:val="hybridMultilevel"/>
    <w:tmpl w:val="6A68B4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2C52C9"/>
    <w:multiLevelType w:val="hybridMultilevel"/>
    <w:tmpl w:val="2424F762"/>
    <w:lvl w:ilvl="0" w:tplc="AD62FE4E">
      <w:start w:val="1"/>
      <w:numFmt w:val="decimal"/>
      <w:lvlText w:val="%1."/>
      <w:lvlJc w:val="left"/>
      <w:pPr>
        <w:tabs>
          <w:tab w:val="num" w:pos="585"/>
        </w:tabs>
        <w:ind w:left="585" w:hanging="360"/>
      </w:pPr>
      <w:rPr>
        <w:rFonts w:hint="default"/>
      </w:rPr>
    </w:lvl>
    <w:lvl w:ilvl="1" w:tplc="22DEEAB0">
      <w:start w:val="1"/>
      <w:numFmt w:val="bullet"/>
      <w:lvlText w:val="-"/>
      <w:lvlJc w:val="left"/>
      <w:pPr>
        <w:tabs>
          <w:tab w:val="num" w:pos="1305"/>
        </w:tabs>
        <w:ind w:left="1305" w:hanging="360"/>
      </w:pPr>
      <w:rPr>
        <w:rFonts w:ascii="Times New Roman" w:eastAsia="Times New Roman" w:hAnsi="Times New Roman" w:cs="Times New Roman" w:hint="default"/>
      </w:r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E76"/>
    <w:rsid w:val="00124F79"/>
    <w:rsid w:val="00657E76"/>
    <w:rsid w:val="00D3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8D50BFCA-B414-4DFF-BA68-71E0D119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widowControl w:val="0"/>
      <w:autoSpaceDE w:val="0"/>
      <w:autoSpaceDN w:val="0"/>
      <w:adjustRightInd w:val="0"/>
      <w:spacing w:line="360" w:lineRule="auto"/>
      <w:jc w:val="center"/>
      <w:outlineLvl w:val="1"/>
    </w:pPr>
    <w:rPr>
      <w:rFonts w:ascii="Times New Roman CYR" w:hAnsi="Times New Roman CYR" w:cs="Times New Roman CY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Pr>
      <w:rFonts w:ascii="Courier New" w:hAnsi="Courier New" w:cs="Courier New"/>
      <w:sz w:val="20"/>
      <w:szCs w:val="20"/>
    </w:rPr>
  </w:style>
  <w:style w:type="paragraph" w:styleId="Footer">
    <w:name w:val="footer"/>
    <w:basedOn w:val="Normal"/>
    <w:semiHidden/>
    <w:pPr>
      <w:tabs>
        <w:tab w:val="center" w:pos="4677"/>
        <w:tab w:val="right" w:pos="9355"/>
      </w:tabs>
    </w:pPr>
  </w:style>
  <w:style w:type="character" w:styleId="PageNumber">
    <w:name w:val="page number"/>
    <w:basedOn w:val="DefaultParagraphFont"/>
    <w:semiHidden/>
  </w:style>
  <w:style w:type="paragraph" w:styleId="BodyText">
    <w:name w:val="Body Text"/>
    <w:basedOn w:val="Normal"/>
    <w:semiHidden/>
    <w:pPr>
      <w:spacing w:line="360" w:lineRule="auto"/>
    </w:pPr>
    <w:rPr>
      <w:sz w:val="28"/>
    </w:rPr>
  </w:style>
  <w:style w:type="paragraph" w:styleId="Title">
    <w:name w:val="Title"/>
    <w:basedOn w:val="Normal"/>
    <w:qFormat/>
    <w:pPr>
      <w:spacing w:line="360" w:lineRule="auto"/>
      <w:jc w:val="center"/>
    </w:pPr>
    <w:rPr>
      <w:sz w:val="28"/>
    </w:rPr>
  </w:style>
  <w:style w:type="paragraph" w:styleId="Header">
    <w:name w:val="header"/>
    <w:basedOn w:val="Normal"/>
    <w:semiHidden/>
    <w:pPr>
      <w:tabs>
        <w:tab w:val="center" w:pos="4677"/>
        <w:tab w:val="right" w:pos="9355"/>
      </w:tabs>
    </w:pPr>
  </w:style>
  <w:style w:type="paragraph" w:styleId="Caption">
    <w:name w:val="caption"/>
    <w:basedOn w:val="Normal"/>
    <w:next w:val="Normal"/>
    <w:qFormat/>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6469</Words>
  <Characters>36876</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КЛАССИФИКАЦИЯ КРЕДИТНЫХ ОПЕРАЦИЙ И КРЕДИТОВ</vt:lpstr>
    </vt:vector>
  </TitlesOfParts>
  <Company/>
  <LinksUpToDate>false</LinksUpToDate>
  <CharactersWithSpaces>43259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КРЕДИТНЫХ ОПЕРАЦИЙ И КРЕДИТОВ</dc:title>
  <dc:subject/>
  <dc:creator>Максим</dc:creator>
  <cp:keywords/>
  <dc:description/>
  <cp:lastModifiedBy>Irina</cp:lastModifiedBy>
  <cp:revision>2</cp:revision>
  <dcterms:created xsi:type="dcterms:W3CDTF">2014-11-29T12:55:00Z</dcterms:created>
  <dcterms:modified xsi:type="dcterms:W3CDTF">2014-11-29T12:55:00Z</dcterms:modified>
</cp:coreProperties>
</file>